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E9F8" w14:textId="77777777" w:rsidR="00CA2636" w:rsidRPr="003177DB" w:rsidRDefault="00CA2636" w:rsidP="005F4036">
      <w:pPr>
        <w:pStyle w:val="Paragraph1"/>
      </w:pPr>
      <w:r w:rsidRPr="003177DB">
        <w:rPr>
          <w:noProof/>
          <w:lang w:eastAsia="en-ZA"/>
        </w:rPr>
        <w:drawing>
          <wp:anchor distT="0" distB="0" distL="114300" distR="114300" simplePos="0" relativeHeight="251658240" behindDoc="0" locked="0" layoutInCell="1" allowOverlap="1" wp14:anchorId="3F49D29E" wp14:editId="0E21BE36">
            <wp:simplePos x="0" y="0"/>
            <wp:positionH relativeFrom="column">
              <wp:posOffset>2438400</wp:posOffset>
            </wp:positionH>
            <wp:positionV relativeFrom="paragraph">
              <wp:posOffset>114300</wp:posOffset>
            </wp:positionV>
            <wp:extent cx="1028700" cy="1600200"/>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1600200"/>
                    </a:xfrm>
                    <a:prstGeom prst="rect">
                      <a:avLst/>
                    </a:prstGeom>
                    <a:noFill/>
                  </pic:spPr>
                </pic:pic>
              </a:graphicData>
            </a:graphic>
            <wp14:sizeRelH relativeFrom="page">
              <wp14:pctWidth>0</wp14:pctWidth>
            </wp14:sizeRelH>
            <wp14:sizeRelV relativeFrom="page">
              <wp14:pctHeight>0</wp14:pctHeight>
            </wp14:sizeRelV>
          </wp:anchor>
        </w:drawing>
      </w:r>
    </w:p>
    <w:p w14:paraId="59E0B8EC" w14:textId="0FD68D55" w:rsidR="00CA2636" w:rsidRPr="003177DB" w:rsidRDefault="773C9599" w:rsidP="00EB39D3">
      <w:pPr>
        <w:pStyle w:val="92Titlepage"/>
        <w:rPr>
          <w:i/>
        </w:rPr>
      </w:pPr>
      <w:r>
        <w:t xml:space="preserve"> </w:t>
      </w:r>
      <w:r w:rsidR="00CA2636" w:rsidRPr="003177DB">
        <w:t>REPUBLIC OF SOUTH AFRICA</w:t>
      </w:r>
    </w:p>
    <w:p w14:paraId="1D2324C8" w14:textId="77777777" w:rsidR="00CA2636" w:rsidRPr="003177DB" w:rsidRDefault="00CA2636" w:rsidP="00A72F5D">
      <w:pPr>
        <w:ind w:left="-1418"/>
      </w:pPr>
    </w:p>
    <w:p w14:paraId="6846C779" w14:textId="77777777" w:rsidR="00CA2636" w:rsidRPr="003177DB" w:rsidRDefault="00CA2636" w:rsidP="00FC0786">
      <w:r w:rsidRPr="003177DB">
        <w:rPr>
          <w:noProof/>
          <w:lang w:eastAsia="en-ZA"/>
        </w:rPr>
        <mc:AlternateContent>
          <mc:Choice Requires="wps">
            <w:drawing>
              <wp:anchor distT="0" distB="0" distL="114300" distR="114300" simplePos="0" relativeHeight="251658241" behindDoc="0" locked="0" layoutInCell="1" allowOverlap="1" wp14:anchorId="3F8AC3AE" wp14:editId="4981CE8A">
                <wp:simplePos x="0" y="0"/>
                <wp:positionH relativeFrom="column">
                  <wp:posOffset>2019300</wp:posOffset>
                </wp:positionH>
                <wp:positionV relativeFrom="paragraph">
                  <wp:posOffset>635</wp:posOffset>
                </wp:positionV>
                <wp:extent cx="1943100" cy="0"/>
                <wp:effectExtent l="0" t="19050" r="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5B64"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05pt" to="3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" strokeweight="3pt">
                <v:stroke linestyle="thinThin"/>
              </v:line>
            </w:pict>
          </mc:Fallback>
        </mc:AlternateContent>
      </w:r>
    </w:p>
    <w:p w14:paraId="7E5F5D59" w14:textId="34F8AA8E" w:rsidR="00CA2636" w:rsidRPr="003177DB" w:rsidRDefault="00EBAE4E" w:rsidP="0BFF9FE6">
      <w:pPr>
        <w:pStyle w:val="92Titlepage"/>
        <w:rPr>
          <w:i/>
          <w:iCs/>
        </w:rPr>
      </w:pPr>
      <w:r>
        <w:t>EXPLANATORY MEMORANDUM</w:t>
      </w:r>
    </w:p>
    <w:p w14:paraId="2B8D0ADB" w14:textId="77777777" w:rsidR="00CA2636" w:rsidRPr="003177DB" w:rsidRDefault="00CA2636" w:rsidP="00FC0786"/>
    <w:p w14:paraId="5CE64035" w14:textId="77777777" w:rsidR="00CA2636" w:rsidRPr="003177DB" w:rsidRDefault="00CA2636" w:rsidP="00EB39D3">
      <w:pPr>
        <w:pStyle w:val="92Titlepage"/>
        <w:rPr>
          <w:i/>
        </w:rPr>
      </w:pPr>
      <w:r w:rsidRPr="003177DB">
        <w:t>ON THE</w:t>
      </w:r>
    </w:p>
    <w:p w14:paraId="083A2A7E" w14:textId="77777777" w:rsidR="00CA2636" w:rsidRPr="003177DB" w:rsidRDefault="00CA2636" w:rsidP="00FC0786"/>
    <w:p w14:paraId="3A7CD334" w14:textId="42B3D7A9" w:rsidR="00CA2636" w:rsidRDefault="00EBAE4E" w:rsidP="00EB39D3">
      <w:pPr>
        <w:pStyle w:val="92Titlepage"/>
      </w:pPr>
      <w:r>
        <w:t>TA</w:t>
      </w:r>
      <w:r w:rsidR="5F7C09B9">
        <w:t>XATION LAWS AMENDMENT</w:t>
      </w:r>
      <w:r w:rsidR="06D52AB5">
        <w:t xml:space="preserve"> BILL</w:t>
      </w:r>
      <w:r w:rsidR="5F7C09B9">
        <w:t>, 20</w:t>
      </w:r>
      <w:r w:rsidR="57762157">
        <w:t>2</w:t>
      </w:r>
      <w:r w:rsidR="47097763">
        <w:t>4</w:t>
      </w:r>
    </w:p>
    <w:p w14:paraId="61BF4AE7" w14:textId="77777777" w:rsidR="00CA2636" w:rsidRPr="003177DB" w:rsidRDefault="00CA2636" w:rsidP="00EB39D3">
      <w:pPr>
        <w:pStyle w:val="92Titlepage"/>
      </w:pPr>
    </w:p>
    <w:p w14:paraId="02A97808" w14:textId="77777777" w:rsidR="00CA2636" w:rsidRPr="003177DB" w:rsidRDefault="00CA2636" w:rsidP="00FC0786"/>
    <w:p w14:paraId="3A6E84E7" w14:textId="77777777" w:rsidR="00CA2636" w:rsidRPr="003177DB" w:rsidRDefault="00CA2636" w:rsidP="00FC0786"/>
    <w:p w14:paraId="3CED5C06" w14:textId="77777777" w:rsidR="00CA2636" w:rsidRPr="003177DB" w:rsidRDefault="00CA2636" w:rsidP="00FC0786"/>
    <w:p w14:paraId="78F0354F" w14:textId="412DC0C1" w:rsidR="00CA2636" w:rsidRPr="003177DB" w:rsidRDefault="3FD6FA71" w:rsidP="0BFF9FE6">
      <w:pPr>
        <w:pStyle w:val="92Titlepage"/>
        <w:rPr>
          <w:i/>
          <w:iCs/>
        </w:rPr>
      </w:pPr>
      <w:r>
        <w:t>30 October</w:t>
      </w:r>
      <w:r w:rsidR="1A3C095F">
        <w:t xml:space="preserve"> </w:t>
      </w:r>
      <w:r w:rsidR="06D52AB5">
        <w:t>202</w:t>
      </w:r>
      <w:r w:rsidR="47097763">
        <w:t>4</w:t>
      </w:r>
    </w:p>
    <w:p w14:paraId="3239FD74" w14:textId="77777777" w:rsidR="00CA2636" w:rsidRPr="003177DB" w:rsidRDefault="00CA2636" w:rsidP="005F4036">
      <w:pPr>
        <w:pStyle w:val="Paragraph1"/>
      </w:pPr>
    </w:p>
    <w:p w14:paraId="75BD1864" w14:textId="77777777" w:rsidR="00CA2636" w:rsidRDefault="00CA2636" w:rsidP="005F4036">
      <w:pPr>
        <w:pStyle w:val="Paragraph1"/>
      </w:pPr>
      <w:bookmarkStart w:id="0" w:name="_Toc230763862"/>
      <w:bookmarkStart w:id="1" w:name="_Toc230764142"/>
      <w:bookmarkStart w:id="2" w:name="_Toc230764235"/>
      <w:bookmarkStart w:id="3" w:name="_Toc231185911"/>
      <w:bookmarkStart w:id="4" w:name="_Toc231186214"/>
    </w:p>
    <w:p w14:paraId="725D9894" w14:textId="77777777" w:rsidR="00713EC1" w:rsidRDefault="00713EC1" w:rsidP="005F4036">
      <w:pPr>
        <w:pStyle w:val="Paragraph1"/>
      </w:pPr>
    </w:p>
    <w:p w14:paraId="774731F5" w14:textId="77777777" w:rsidR="00E10A81" w:rsidRDefault="00E10A81" w:rsidP="005F4036">
      <w:pPr>
        <w:pStyle w:val="Paragraph1"/>
      </w:pPr>
    </w:p>
    <w:p w14:paraId="1F3EBB03" w14:textId="77777777" w:rsidR="00E10A81" w:rsidRDefault="00E10A81" w:rsidP="005F4036">
      <w:pPr>
        <w:pStyle w:val="Paragraph1"/>
      </w:pPr>
    </w:p>
    <w:p w14:paraId="0BB36778" w14:textId="77777777" w:rsidR="00713EC1" w:rsidRPr="003177DB" w:rsidRDefault="00713EC1" w:rsidP="005F4036">
      <w:pPr>
        <w:pStyle w:val="Paragraph1"/>
      </w:pPr>
    </w:p>
    <w:p w14:paraId="7C952A40" w14:textId="1D329F07" w:rsidR="00CA2636" w:rsidRPr="003177DB" w:rsidRDefault="00CA2636" w:rsidP="00677478">
      <w:pPr>
        <w:pStyle w:val="4Body"/>
      </w:pPr>
      <w:r w:rsidRPr="003177DB">
        <w:t>[W.P. – ‘</w:t>
      </w:r>
      <w:r w:rsidR="00783F45">
        <w:t>2</w:t>
      </w:r>
      <w:r w:rsidR="002B2FE6">
        <w:t>4</w:t>
      </w:r>
      <w:r w:rsidRPr="003177DB">
        <w:t>]</w:t>
      </w:r>
      <w:bookmarkEnd w:id="0"/>
      <w:bookmarkEnd w:id="1"/>
      <w:bookmarkEnd w:id="2"/>
      <w:bookmarkEnd w:id="3"/>
      <w:bookmarkEnd w:id="4"/>
    </w:p>
    <w:p w14:paraId="0182DA48" w14:textId="77777777" w:rsidR="00CA2636" w:rsidRPr="003177DB" w:rsidRDefault="00CA2636" w:rsidP="00677478">
      <w:pPr>
        <w:pStyle w:val="4Body"/>
      </w:pPr>
      <w:r w:rsidRPr="003177DB">
        <w:br w:type="page"/>
        <w:t>TABLE OF CONTENTS</w:t>
      </w:r>
    </w:p>
    <w:p w14:paraId="13FCA78B" w14:textId="77777777" w:rsidR="00CA2636" w:rsidRPr="003177DB" w:rsidRDefault="00CA2636" w:rsidP="00677478">
      <w:pPr>
        <w:pStyle w:val="4Body"/>
      </w:pPr>
      <w:r w:rsidRPr="003177DB">
        <w:t>EXPLANATION OF MAIN AMENDMENTS</w:t>
      </w:r>
    </w:p>
    <w:p w14:paraId="1DA660DC" w14:textId="2E6732B0" w:rsidR="009248A6" w:rsidRDefault="00CA2636">
      <w:pPr>
        <w:pStyle w:val="TOC2"/>
        <w:rPr>
          <w:rFonts w:asciiTheme="minorHAnsi" w:eastAsiaTheme="minorEastAsia" w:hAnsiTheme="minorHAnsi" w:cstheme="minorBidi"/>
          <w:b w:val="0"/>
          <w:noProof/>
          <w:kern w:val="2"/>
          <w:sz w:val="24"/>
          <w:lang w:eastAsia="en-ZA"/>
          <w14:ligatures w14:val="standardContextual"/>
        </w:rPr>
      </w:pPr>
      <w:r w:rsidRPr="003177DB">
        <w:rPr>
          <w:rFonts w:cs="Arial"/>
        </w:rPr>
        <w:fldChar w:fldCharType="begin"/>
      </w:r>
      <w:r w:rsidRPr="003177DB">
        <w:rPr>
          <w:rFonts w:cs="Arial"/>
        </w:rPr>
        <w:instrText xml:space="preserve"> TOC \o "1-3" \h \z \u </w:instrText>
      </w:r>
      <w:r w:rsidRPr="003177DB">
        <w:rPr>
          <w:rFonts w:cs="Arial"/>
        </w:rPr>
        <w:fldChar w:fldCharType="separate"/>
      </w:r>
      <w:hyperlink w:anchor="_Toc198158735" w:history="1">
        <w:r w:rsidR="009248A6" w:rsidRPr="00D7654E">
          <w:rPr>
            <w:rStyle w:val="Hyperlink"/>
            <w:noProof/>
          </w:rPr>
          <w:t>1.</w:t>
        </w:r>
        <w:r w:rsidR="009248A6">
          <w:rPr>
            <w:rFonts w:asciiTheme="minorHAnsi" w:eastAsiaTheme="minorEastAsia" w:hAnsiTheme="minorHAnsi" w:cstheme="minorBidi"/>
            <w:b w:val="0"/>
            <w:noProof/>
            <w:kern w:val="2"/>
            <w:sz w:val="24"/>
            <w:lang w:eastAsia="en-ZA"/>
            <w14:ligatures w14:val="standardContextual"/>
          </w:rPr>
          <w:tab/>
        </w:r>
        <w:r w:rsidR="009248A6" w:rsidRPr="00D7654E">
          <w:rPr>
            <w:rStyle w:val="Hyperlink"/>
            <w:noProof/>
          </w:rPr>
          <w:t>INCOME TAX: INDIVIDUALS, SAVINGS AND EMPLOYMENT</w:t>
        </w:r>
        <w:r w:rsidR="009248A6">
          <w:rPr>
            <w:noProof/>
            <w:webHidden/>
          </w:rPr>
          <w:tab/>
        </w:r>
        <w:r w:rsidR="009248A6">
          <w:rPr>
            <w:noProof/>
            <w:webHidden/>
          </w:rPr>
          <w:fldChar w:fldCharType="begin"/>
        </w:r>
        <w:r w:rsidR="009248A6">
          <w:rPr>
            <w:noProof/>
            <w:webHidden/>
          </w:rPr>
          <w:instrText xml:space="preserve"> PAGEREF _Toc198158735 \h </w:instrText>
        </w:r>
        <w:r w:rsidR="009248A6">
          <w:rPr>
            <w:noProof/>
            <w:webHidden/>
          </w:rPr>
        </w:r>
        <w:r w:rsidR="009248A6">
          <w:rPr>
            <w:noProof/>
            <w:webHidden/>
          </w:rPr>
          <w:fldChar w:fldCharType="separate"/>
        </w:r>
        <w:r w:rsidR="009248A6">
          <w:rPr>
            <w:noProof/>
            <w:webHidden/>
          </w:rPr>
          <w:t>4</w:t>
        </w:r>
        <w:r w:rsidR="009248A6">
          <w:rPr>
            <w:noProof/>
            <w:webHidden/>
          </w:rPr>
          <w:fldChar w:fldCharType="end"/>
        </w:r>
      </w:hyperlink>
    </w:p>
    <w:p w14:paraId="12DEAB8C" w14:textId="5EC8B586"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36" w:history="1">
        <w:r w:rsidRPr="00D7654E">
          <w:rPr>
            <w:rStyle w:val="Hyperlink"/>
            <w:noProof/>
          </w:rPr>
          <w:t>1.1.</w:t>
        </w:r>
        <w:r>
          <w:rPr>
            <w:rFonts w:asciiTheme="minorHAnsi" w:eastAsiaTheme="minorEastAsia" w:hAnsiTheme="minorHAnsi" w:cstheme="minorBidi"/>
            <w:noProof/>
            <w:kern w:val="2"/>
            <w:sz w:val="24"/>
            <w:lang w:eastAsia="en-ZA"/>
            <w14:ligatures w14:val="standardContextual"/>
          </w:rPr>
          <w:tab/>
        </w:r>
        <w:r w:rsidRPr="00D7654E">
          <w:rPr>
            <w:rStyle w:val="Hyperlink"/>
            <w:noProof/>
          </w:rPr>
          <w:t>CURBING THE ABUSE OF THE EMPLOYMENT TAX INCENTIVE SCHEME</w:t>
        </w:r>
        <w:r>
          <w:rPr>
            <w:noProof/>
            <w:webHidden/>
          </w:rPr>
          <w:tab/>
        </w:r>
        <w:r>
          <w:rPr>
            <w:noProof/>
            <w:webHidden/>
          </w:rPr>
          <w:fldChar w:fldCharType="begin"/>
        </w:r>
        <w:r>
          <w:rPr>
            <w:noProof/>
            <w:webHidden/>
          </w:rPr>
          <w:instrText xml:space="preserve"> PAGEREF _Toc198158736 \h </w:instrText>
        </w:r>
        <w:r>
          <w:rPr>
            <w:noProof/>
            <w:webHidden/>
          </w:rPr>
        </w:r>
        <w:r>
          <w:rPr>
            <w:noProof/>
            <w:webHidden/>
          </w:rPr>
          <w:fldChar w:fldCharType="separate"/>
        </w:r>
        <w:r>
          <w:rPr>
            <w:noProof/>
            <w:webHidden/>
          </w:rPr>
          <w:t>4</w:t>
        </w:r>
        <w:r>
          <w:rPr>
            <w:noProof/>
            <w:webHidden/>
          </w:rPr>
          <w:fldChar w:fldCharType="end"/>
        </w:r>
      </w:hyperlink>
    </w:p>
    <w:p w14:paraId="0367C240" w14:textId="3D46B84B"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37" w:history="1">
        <w:r w:rsidRPr="00D7654E">
          <w:rPr>
            <w:rStyle w:val="Hyperlink"/>
            <w:rFonts w:eastAsia="Calibri"/>
            <w:noProof/>
          </w:rPr>
          <w:t>1.2.</w:t>
        </w:r>
        <w:r>
          <w:rPr>
            <w:rFonts w:asciiTheme="minorHAnsi" w:eastAsiaTheme="minorEastAsia" w:hAnsiTheme="minorHAnsi" w:cstheme="minorBidi"/>
            <w:noProof/>
            <w:kern w:val="2"/>
            <w:sz w:val="24"/>
            <w:lang w:eastAsia="en-ZA"/>
            <w14:ligatures w14:val="standardContextual"/>
          </w:rPr>
          <w:tab/>
        </w:r>
        <w:r w:rsidRPr="00D7654E">
          <w:rPr>
            <w:rStyle w:val="Hyperlink"/>
            <w:rFonts w:eastAsia="Calibri"/>
            <w:noProof/>
          </w:rPr>
          <w:t>AMENDING THE DEFINITION OF “REMUNERATION PROXY” IN SECTION 1</w:t>
        </w:r>
        <w:r>
          <w:rPr>
            <w:noProof/>
            <w:webHidden/>
          </w:rPr>
          <w:tab/>
        </w:r>
        <w:r>
          <w:rPr>
            <w:noProof/>
            <w:webHidden/>
          </w:rPr>
          <w:fldChar w:fldCharType="begin"/>
        </w:r>
        <w:r>
          <w:rPr>
            <w:noProof/>
            <w:webHidden/>
          </w:rPr>
          <w:instrText xml:space="preserve"> PAGEREF _Toc198158737 \h </w:instrText>
        </w:r>
        <w:r>
          <w:rPr>
            <w:noProof/>
            <w:webHidden/>
          </w:rPr>
        </w:r>
        <w:r>
          <w:rPr>
            <w:noProof/>
            <w:webHidden/>
          </w:rPr>
          <w:fldChar w:fldCharType="separate"/>
        </w:r>
        <w:r>
          <w:rPr>
            <w:noProof/>
            <w:webHidden/>
          </w:rPr>
          <w:t>4</w:t>
        </w:r>
        <w:r>
          <w:rPr>
            <w:noProof/>
            <w:webHidden/>
          </w:rPr>
          <w:fldChar w:fldCharType="end"/>
        </w:r>
      </w:hyperlink>
    </w:p>
    <w:p w14:paraId="3E93C10E" w14:textId="47E49432"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38" w:history="1">
        <w:r w:rsidRPr="00D7654E">
          <w:rPr>
            <w:rStyle w:val="Hyperlink"/>
            <w:noProof/>
          </w:rPr>
          <w:t>1.3.</w:t>
        </w:r>
        <w:r>
          <w:rPr>
            <w:rFonts w:asciiTheme="minorHAnsi" w:eastAsiaTheme="minorEastAsia" w:hAnsiTheme="minorHAnsi" w:cstheme="minorBidi"/>
            <w:noProof/>
            <w:kern w:val="2"/>
            <w:sz w:val="24"/>
            <w:lang w:eastAsia="en-ZA"/>
            <w14:ligatures w14:val="standardContextual"/>
          </w:rPr>
          <w:tab/>
        </w:r>
        <w:r w:rsidRPr="00D7654E">
          <w:rPr>
            <w:rStyle w:val="Hyperlink"/>
            <w:noProof/>
          </w:rPr>
          <w:t>PAYROLL AMENDMENTS AND REFUNDS MADE IN THE CURRENT YEAR</w:t>
        </w:r>
        <w:r>
          <w:rPr>
            <w:noProof/>
            <w:webHidden/>
          </w:rPr>
          <w:tab/>
        </w:r>
        <w:r>
          <w:rPr>
            <w:noProof/>
            <w:webHidden/>
          </w:rPr>
          <w:fldChar w:fldCharType="begin"/>
        </w:r>
        <w:r>
          <w:rPr>
            <w:noProof/>
            <w:webHidden/>
          </w:rPr>
          <w:instrText xml:space="preserve"> PAGEREF _Toc198158738 \h </w:instrText>
        </w:r>
        <w:r>
          <w:rPr>
            <w:noProof/>
            <w:webHidden/>
          </w:rPr>
        </w:r>
        <w:r>
          <w:rPr>
            <w:noProof/>
            <w:webHidden/>
          </w:rPr>
          <w:fldChar w:fldCharType="separate"/>
        </w:r>
        <w:r>
          <w:rPr>
            <w:noProof/>
            <w:webHidden/>
          </w:rPr>
          <w:t>6</w:t>
        </w:r>
        <w:r>
          <w:rPr>
            <w:noProof/>
            <w:webHidden/>
          </w:rPr>
          <w:fldChar w:fldCharType="end"/>
        </w:r>
      </w:hyperlink>
    </w:p>
    <w:p w14:paraId="45620B94" w14:textId="42F99DFB"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39" w:history="1">
        <w:r w:rsidRPr="00D7654E">
          <w:rPr>
            <w:rStyle w:val="Hyperlink"/>
            <w:rFonts w:eastAsia="Calibri"/>
            <w:noProof/>
          </w:rPr>
          <w:t>1.4.</w:t>
        </w:r>
        <w:r>
          <w:rPr>
            <w:rFonts w:asciiTheme="minorHAnsi" w:eastAsiaTheme="minorEastAsia" w:hAnsiTheme="minorHAnsi" w:cstheme="minorBidi"/>
            <w:noProof/>
            <w:kern w:val="2"/>
            <w:sz w:val="24"/>
            <w:lang w:eastAsia="en-ZA"/>
            <w14:ligatures w14:val="standardContextual"/>
          </w:rPr>
          <w:tab/>
        </w:r>
        <w:r w:rsidRPr="00D7654E">
          <w:rPr>
            <w:rStyle w:val="Hyperlink"/>
            <w:rFonts w:eastAsia="Calibri"/>
            <w:noProof/>
          </w:rPr>
          <w:t>CLARIFYING ANTI-AVOIDANCE RULES FOR LOW-INTEREST OR INTEREST-FREE LOANS TO TRUSTS</w:t>
        </w:r>
        <w:r>
          <w:rPr>
            <w:noProof/>
            <w:webHidden/>
          </w:rPr>
          <w:tab/>
        </w:r>
        <w:r>
          <w:rPr>
            <w:noProof/>
            <w:webHidden/>
          </w:rPr>
          <w:fldChar w:fldCharType="begin"/>
        </w:r>
        <w:r>
          <w:rPr>
            <w:noProof/>
            <w:webHidden/>
          </w:rPr>
          <w:instrText xml:space="preserve"> PAGEREF _Toc198158739 \h </w:instrText>
        </w:r>
        <w:r>
          <w:rPr>
            <w:noProof/>
            <w:webHidden/>
          </w:rPr>
        </w:r>
        <w:r>
          <w:rPr>
            <w:noProof/>
            <w:webHidden/>
          </w:rPr>
          <w:fldChar w:fldCharType="separate"/>
        </w:r>
        <w:r>
          <w:rPr>
            <w:noProof/>
            <w:webHidden/>
          </w:rPr>
          <w:t>7</w:t>
        </w:r>
        <w:r>
          <w:rPr>
            <w:noProof/>
            <w:webHidden/>
          </w:rPr>
          <w:fldChar w:fldCharType="end"/>
        </w:r>
      </w:hyperlink>
    </w:p>
    <w:p w14:paraId="5D631045" w14:textId="6D2DA72C"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0" w:history="1">
        <w:r w:rsidRPr="00D7654E">
          <w:rPr>
            <w:rStyle w:val="Hyperlink"/>
            <w:noProof/>
          </w:rPr>
          <w:t>1.5.</w:t>
        </w:r>
        <w:r>
          <w:rPr>
            <w:rFonts w:asciiTheme="minorHAnsi" w:eastAsiaTheme="minorEastAsia" w:hAnsiTheme="minorHAnsi" w:cstheme="minorBidi"/>
            <w:noProof/>
            <w:kern w:val="2"/>
            <w:sz w:val="24"/>
            <w:lang w:eastAsia="en-ZA"/>
            <w14:ligatures w14:val="standardContextual"/>
          </w:rPr>
          <w:tab/>
        </w:r>
        <w:r w:rsidRPr="00D7654E">
          <w:rPr>
            <w:rStyle w:val="Hyperlink"/>
            <w:noProof/>
          </w:rPr>
          <w:t>TRANSFERS BETWEEN RETIREMENT FUNDS BY MEMBERS WHO REACHED NORMAL RETIREMENT AGE BEFORE RETIREMENT DATE</w:t>
        </w:r>
        <w:r>
          <w:rPr>
            <w:noProof/>
            <w:webHidden/>
          </w:rPr>
          <w:tab/>
        </w:r>
        <w:r>
          <w:rPr>
            <w:noProof/>
            <w:webHidden/>
          </w:rPr>
          <w:fldChar w:fldCharType="begin"/>
        </w:r>
        <w:r>
          <w:rPr>
            <w:noProof/>
            <w:webHidden/>
          </w:rPr>
          <w:instrText xml:space="preserve"> PAGEREF _Toc198158740 \h </w:instrText>
        </w:r>
        <w:r>
          <w:rPr>
            <w:noProof/>
            <w:webHidden/>
          </w:rPr>
        </w:r>
        <w:r>
          <w:rPr>
            <w:noProof/>
            <w:webHidden/>
          </w:rPr>
          <w:fldChar w:fldCharType="separate"/>
        </w:r>
        <w:r>
          <w:rPr>
            <w:noProof/>
            <w:webHidden/>
          </w:rPr>
          <w:t>8</w:t>
        </w:r>
        <w:r>
          <w:rPr>
            <w:noProof/>
            <w:webHidden/>
          </w:rPr>
          <w:fldChar w:fldCharType="end"/>
        </w:r>
      </w:hyperlink>
    </w:p>
    <w:p w14:paraId="3C74094C" w14:textId="6572783C"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41" w:history="1">
        <w:r w:rsidRPr="00D7654E">
          <w:rPr>
            <w:rStyle w:val="Hyperlink"/>
            <w:noProof/>
          </w:rPr>
          <w:t>2.</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INCOME TAX: BUSINESS (GENERAL)</w:t>
        </w:r>
        <w:r>
          <w:rPr>
            <w:noProof/>
            <w:webHidden/>
          </w:rPr>
          <w:tab/>
        </w:r>
        <w:r>
          <w:rPr>
            <w:noProof/>
            <w:webHidden/>
          </w:rPr>
          <w:fldChar w:fldCharType="begin"/>
        </w:r>
        <w:r>
          <w:rPr>
            <w:noProof/>
            <w:webHidden/>
          </w:rPr>
          <w:instrText xml:space="preserve"> PAGEREF _Toc198158741 \h </w:instrText>
        </w:r>
        <w:r>
          <w:rPr>
            <w:noProof/>
            <w:webHidden/>
          </w:rPr>
        </w:r>
        <w:r>
          <w:rPr>
            <w:noProof/>
            <w:webHidden/>
          </w:rPr>
          <w:fldChar w:fldCharType="separate"/>
        </w:r>
        <w:r>
          <w:rPr>
            <w:noProof/>
            <w:webHidden/>
          </w:rPr>
          <w:t>9</w:t>
        </w:r>
        <w:r>
          <w:rPr>
            <w:noProof/>
            <w:webHidden/>
          </w:rPr>
          <w:fldChar w:fldCharType="end"/>
        </w:r>
      </w:hyperlink>
    </w:p>
    <w:p w14:paraId="4A958778" w14:textId="58F44BE7"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2" w:history="1">
        <w:r w:rsidRPr="00D7654E">
          <w:rPr>
            <w:rStyle w:val="Hyperlink"/>
            <w:noProof/>
          </w:rPr>
          <w:t>2.1.</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REVIEWING THE CONNECTED PERSON DEFINITION IN RELATION TO PARTNERSHIPS</w:t>
        </w:r>
        <w:r>
          <w:rPr>
            <w:noProof/>
            <w:webHidden/>
          </w:rPr>
          <w:tab/>
        </w:r>
        <w:r>
          <w:rPr>
            <w:noProof/>
            <w:webHidden/>
          </w:rPr>
          <w:fldChar w:fldCharType="begin"/>
        </w:r>
        <w:r>
          <w:rPr>
            <w:noProof/>
            <w:webHidden/>
          </w:rPr>
          <w:instrText xml:space="preserve"> PAGEREF _Toc198158742 \h </w:instrText>
        </w:r>
        <w:r>
          <w:rPr>
            <w:noProof/>
            <w:webHidden/>
          </w:rPr>
        </w:r>
        <w:r>
          <w:rPr>
            <w:noProof/>
            <w:webHidden/>
          </w:rPr>
          <w:fldChar w:fldCharType="separate"/>
        </w:r>
        <w:r>
          <w:rPr>
            <w:noProof/>
            <w:webHidden/>
          </w:rPr>
          <w:t>9</w:t>
        </w:r>
        <w:r>
          <w:rPr>
            <w:noProof/>
            <w:webHidden/>
          </w:rPr>
          <w:fldChar w:fldCharType="end"/>
        </w:r>
      </w:hyperlink>
    </w:p>
    <w:p w14:paraId="657ADEC8" w14:textId="7A8DCD4E"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3" w:history="1">
        <w:r w:rsidRPr="00D7654E">
          <w:rPr>
            <w:rStyle w:val="Hyperlink"/>
            <w:noProof/>
          </w:rPr>
          <w:t>2.2.</w:t>
        </w:r>
        <w:r>
          <w:rPr>
            <w:rFonts w:asciiTheme="minorHAnsi" w:eastAsiaTheme="minorEastAsia" w:hAnsiTheme="minorHAnsi" w:cstheme="minorBidi"/>
            <w:noProof/>
            <w:kern w:val="2"/>
            <w:sz w:val="24"/>
            <w:lang w:eastAsia="en-ZA"/>
            <w14:ligatures w14:val="standardContextual"/>
          </w:rPr>
          <w:tab/>
        </w:r>
        <w:r w:rsidRPr="00D7654E">
          <w:rPr>
            <w:rStyle w:val="Hyperlink"/>
            <w:noProof/>
          </w:rPr>
          <w:t>LIMITING INTEREST DEDUCTIONS IN RESPECT OF REORGANISATION AND ACQUISITION TRANSACTIONS</w:t>
        </w:r>
        <w:r>
          <w:rPr>
            <w:noProof/>
            <w:webHidden/>
          </w:rPr>
          <w:tab/>
        </w:r>
        <w:r>
          <w:rPr>
            <w:noProof/>
            <w:webHidden/>
          </w:rPr>
          <w:fldChar w:fldCharType="begin"/>
        </w:r>
        <w:r>
          <w:rPr>
            <w:noProof/>
            <w:webHidden/>
          </w:rPr>
          <w:instrText xml:space="preserve"> PAGEREF _Toc198158743 \h </w:instrText>
        </w:r>
        <w:r>
          <w:rPr>
            <w:noProof/>
            <w:webHidden/>
          </w:rPr>
        </w:r>
        <w:r>
          <w:rPr>
            <w:noProof/>
            <w:webHidden/>
          </w:rPr>
          <w:fldChar w:fldCharType="separate"/>
        </w:r>
        <w:r>
          <w:rPr>
            <w:noProof/>
            <w:webHidden/>
          </w:rPr>
          <w:t>10</w:t>
        </w:r>
        <w:r>
          <w:rPr>
            <w:noProof/>
            <w:webHidden/>
          </w:rPr>
          <w:fldChar w:fldCharType="end"/>
        </w:r>
      </w:hyperlink>
    </w:p>
    <w:p w14:paraId="35C196D8" w14:textId="1AA5AF99"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4" w:history="1">
        <w:r w:rsidRPr="00D7654E">
          <w:rPr>
            <w:rStyle w:val="Hyperlink"/>
            <w:noProof/>
          </w:rPr>
          <w:t>2.3.</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RELAXING THE ASSESSED LOSS RESTRICTION RULE UNDER CERTAIN CIRCUMSTANCES</w:t>
        </w:r>
        <w:r>
          <w:rPr>
            <w:noProof/>
            <w:webHidden/>
          </w:rPr>
          <w:tab/>
        </w:r>
        <w:r>
          <w:rPr>
            <w:noProof/>
            <w:webHidden/>
          </w:rPr>
          <w:fldChar w:fldCharType="begin"/>
        </w:r>
        <w:r>
          <w:rPr>
            <w:noProof/>
            <w:webHidden/>
          </w:rPr>
          <w:instrText xml:space="preserve"> PAGEREF _Toc198158744 \h </w:instrText>
        </w:r>
        <w:r>
          <w:rPr>
            <w:noProof/>
            <w:webHidden/>
          </w:rPr>
        </w:r>
        <w:r>
          <w:rPr>
            <w:noProof/>
            <w:webHidden/>
          </w:rPr>
          <w:fldChar w:fldCharType="separate"/>
        </w:r>
        <w:r>
          <w:rPr>
            <w:noProof/>
            <w:webHidden/>
          </w:rPr>
          <w:t>12</w:t>
        </w:r>
        <w:r>
          <w:rPr>
            <w:noProof/>
            <w:webHidden/>
          </w:rPr>
          <w:fldChar w:fldCharType="end"/>
        </w:r>
      </w:hyperlink>
    </w:p>
    <w:p w14:paraId="5EC49D6E" w14:textId="22770FE9"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5" w:history="1">
        <w:r w:rsidRPr="00D7654E">
          <w:rPr>
            <w:rStyle w:val="Hyperlink"/>
            <w:noProof/>
          </w:rPr>
          <w:t>2.4.</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REVIEWING THE PROHIBITION AGAINST THE TRANSFER OF ASSETS IN TERMS OF AN AMALGAMATION TRANSACTION</w:t>
        </w:r>
        <w:r>
          <w:rPr>
            <w:noProof/>
            <w:webHidden/>
          </w:rPr>
          <w:tab/>
        </w:r>
        <w:r>
          <w:rPr>
            <w:noProof/>
            <w:webHidden/>
          </w:rPr>
          <w:fldChar w:fldCharType="begin"/>
        </w:r>
        <w:r>
          <w:rPr>
            <w:noProof/>
            <w:webHidden/>
          </w:rPr>
          <w:instrText xml:space="preserve"> PAGEREF _Toc198158745 \h </w:instrText>
        </w:r>
        <w:r>
          <w:rPr>
            <w:noProof/>
            <w:webHidden/>
          </w:rPr>
        </w:r>
        <w:r>
          <w:rPr>
            <w:noProof/>
            <w:webHidden/>
          </w:rPr>
          <w:fldChar w:fldCharType="separate"/>
        </w:r>
        <w:r>
          <w:rPr>
            <w:noProof/>
            <w:webHidden/>
          </w:rPr>
          <w:t>12</w:t>
        </w:r>
        <w:r>
          <w:rPr>
            <w:noProof/>
            <w:webHidden/>
          </w:rPr>
          <w:fldChar w:fldCharType="end"/>
        </w:r>
      </w:hyperlink>
    </w:p>
    <w:p w14:paraId="37D8714F" w14:textId="4BB4CD6B"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6" w:history="1">
        <w:r w:rsidRPr="00D7654E">
          <w:rPr>
            <w:rStyle w:val="Hyperlink"/>
            <w:noProof/>
          </w:rPr>
          <w:t>2.5.</w:t>
        </w:r>
        <w:r>
          <w:rPr>
            <w:rFonts w:asciiTheme="minorHAnsi" w:eastAsiaTheme="minorEastAsia" w:hAnsiTheme="minorHAnsi" w:cstheme="minorBidi"/>
            <w:noProof/>
            <w:kern w:val="2"/>
            <w:sz w:val="24"/>
            <w:lang w:eastAsia="en-ZA"/>
            <w14:ligatures w14:val="standardContextual"/>
          </w:rPr>
          <w:tab/>
        </w:r>
        <w:r w:rsidRPr="00D7654E">
          <w:rPr>
            <w:rStyle w:val="Hyperlink"/>
            <w:noProof/>
          </w:rPr>
          <w:t>THIRD-PARTY BACKED SHARES: EXTENDING THE DEFINITION OF “ENFORCEMENT RIGHT” TO A CONNECTED PERSON</w:t>
        </w:r>
        <w:r>
          <w:rPr>
            <w:noProof/>
            <w:webHidden/>
          </w:rPr>
          <w:tab/>
        </w:r>
        <w:r>
          <w:rPr>
            <w:noProof/>
            <w:webHidden/>
          </w:rPr>
          <w:fldChar w:fldCharType="begin"/>
        </w:r>
        <w:r>
          <w:rPr>
            <w:noProof/>
            <w:webHidden/>
          </w:rPr>
          <w:instrText xml:space="preserve"> PAGEREF _Toc198158746 \h </w:instrText>
        </w:r>
        <w:r>
          <w:rPr>
            <w:noProof/>
            <w:webHidden/>
          </w:rPr>
        </w:r>
        <w:r>
          <w:rPr>
            <w:noProof/>
            <w:webHidden/>
          </w:rPr>
          <w:fldChar w:fldCharType="separate"/>
        </w:r>
        <w:r>
          <w:rPr>
            <w:noProof/>
            <w:webHidden/>
          </w:rPr>
          <w:t>13</w:t>
        </w:r>
        <w:r>
          <w:rPr>
            <w:noProof/>
            <w:webHidden/>
          </w:rPr>
          <w:fldChar w:fldCharType="end"/>
        </w:r>
      </w:hyperlink>
    </w:p>
    <w:p w14:paraId="057FB034" w14:textId="3A9E6CBF"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7" w:history="1">
        <w:r w:rsidRPr="00D7654E">
          <w:rPr>
            <w:rStyle w:val="Hyperlink"/>
            <w:noProof/>
          </w:rPr>
          <w:t>2.6.</w:t>
        </w:r>
        <w:r>
          <w:rPr>
            <w:rFonts w:asciiTheme="minorHAnsi" w:eastAsiaTheme="minorEastAsia" w:hAnsiTheme="minorHAnsi" w:cstheme="minorBidi"/>
            <w:noProof/>
            <w:kern w:val="2"/>
            <w:sz w:val="24"/>
            <w:lang w:eastAsia="en-ZA"/>
            <w14:ligatures w14:val="standardContextual"/>
          </w:rPr>
          <w:tab/>
        </w:r>
        <w:r w:rsidRPr="00D7654E">
          <w:rPr>
            <w:rStyle w:val="Hyperlink"/>
            <w:noProof/>
          </w:rPr>
          <w:t>THIRD-PARTY BACKED SHARES: EXTENDING EXCLUSIONS TO THE OWNERSHIP REQUIREMENT</w:t>
        </w:r>
        <w:r>
          <w:rPr>
            <w:noProof/>
            <w:webHidden/>
          </w:rPr>
          <w:tab/>
        </w:r>
        <w:r>
          <w:rPr>
            <w:noProof/>
            <w:webHidden/>
          </w:rPr>
          <w:fldChar w:fldCharType="begin"/>
        </w:r>
        <w:r>
          <w:rPr>
            <w:noProof/>
            <w:webHidden/>
          </w:rPr>
          <w:instrText xml:space="preserve"> PAGEREF _Toc198158747 \h </w:instrText>
        </w:r>
        <w:r>
          <w:rPr>
            <w:noProof/>
            <w:webHidden/>
          </w:rPr>
        </w:r>
        <w:r>
          <w:rPr>
            <w:noProof/>
            <w:webHidden/>
          </w:rPr>
          <w:fldChar w:fldCharType="separate"/>
        </w:r>
        <w:r>
          <w:rPr>
            <w:noProof/>
            <w:webHidden/>
          </w:rPr>
          <w:t>14</w:t>
        </w:r>
        <w:r>
          <w:rPr>
            <w:noProof/>
            <w:webHidden/>
          </w:rPr>
          <w:fldChar w:fldCharType="end"/>
        </w:r>
      </w:hyperlink>
    </w:p>
    <w:p w14:paraId="0E977FD4" w14:textId="63744434"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8" w:history="1">
        <w:r w:rsidRPr="00D7654E">
          <w:rPr>
            <w:rStyle w:val="Hyperlink"/>
            <w:noProof/>
          </w:rPr>
          <w:t>2.7.</w:t>
        </w:r>
        <w:r>
          <w:rPr>
            <w:rFonts w:asciiTheme="minorHAnsi" w:eastAsiaTheme="minorEastAsia" w:hAnsiTheme="minorHAnsi" w:cstheme="minorBidi"/>
            <w:noProof/>
            <w:kern w:val="2"/>
            <w:sz w:val="24"/>
            <w:lang w:eastAsia="en-ZA"/>
            <w14:ligatures w14:val="standardContextual"/>
          </w:rPr>
          <w:tab/>
        </w:r>
        <w:r w:rsidRPr="00D7654E">
          <w:rPr>
            <w:rStyle w:val="Hyperlink"/>
            <w:noProof/>
          </w:rPr>
          <w:t>TRANSLATING “CONTRIBUTED TAX CAPITAL” FROM FOREIGN CURRENCY TO RANDS</w:t>
        </w:r>
        <w:r>
          <w:rPr>
            <w:noProof/>
            <w:webHidden/>
          </w:rPr>
          <w:tab/>
        </w:r>
        <w:r>
          <w:rPr>
            <w:noProof/>
            <w:webHidden/>
          </w:rPr>
          <w:fldChar w:fldCharType="begin"/>
        </w:r>
        <w:r>
          <w:rPr>
            <w:noProof/>
            <w:webHidden/>
          </w:rPr>
          <w:instrText xml:space="preserve"> PAGEREF _Toc198158748 \h </w:instrText>
        </w:r>
        <w:r>
          <w:rPr>
            <w:noProof/>
            <w:webHidden/>
          </w:rPr>
        </w:r>
        <w:r>
          <w:rPr>
            <w:noProof/>
            <w:webHidden/>
          </w:rPr>
          <w:fldChar w:fldCharType="separate"/>
        </w:r>
        <w:r>
          <w:rPr>
            <w:noProof/>
            <w:webHidden/>
          </w:rPr>
          <w:t>16</w:t>
        </w:r>
        <w:r>
          <w:rPr>
            <w:noProof/>
            <w:webHidden/>
          </w:rPr>
          <w:fldChar w:fldCharType="end"/>
        </w:r>
      </w:hyperlink>
    </w:p>
    <w:p w14:paraId="650F9FAF" w14:textId="0DAFBFCD"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49" w:history="1">
        <w:r w:rsidRPr="00D7654E">
          <w:rPr>
            <w:rStyle w:val="Hyperlink"/>
            <w:noProof/>
          </w:rPr>
          <w:t>2.8.</w:t>
        </w:r>
        <w:r>
          <w:rPr>
            <w:rFonts w:asciiTheme="minorHAnsi" w:eastAsiaTheme="minorEastAsia" w:hAnsiTheme="minorHAnsi" w:cstheme="minorBidi"/>
            <w:noProof/>
            <w:kern w:val="2"/>
            <w:sz w:val="24"/>
            <w:lang w:eastAsia="en-ZA"/>
            <w14:ligatures w14:val="standardContextual"/>
          </w:rPr>
          <w:tab/>
        </w:r>
        <w:r w:rsidRPr="00D7654E">
          <w:rPr>
            <w:rStyle w:val="Hyperlink"/>
            <w:noProof/>
          </w:rPr>
          <w:t>TAXATION ISSUES INVOLVING UNLISTED PROPERTY COMPANIES</w:t>
        </w:r>
        <w:r>
          <w:rPr>
            <w:noProof/>
            <w:webHidden/>
          </w:rPr>
          <w:tab/>
        </w:r>
        <w:r>
          <w:rPr>
            <w:noProof/>
            <w:webHidden/>
          </w:rPr>
          <w:fldChar w:fldCharType="begin"/>
        </w:r>
        <w:r>
          <w:rPr>
            <w:noProof/>
            <w:webHidden/>
          </w:rPr>
          <w:instrText xml:space="preserve"> PAGEREF _Toc198158749 \h </w:instrText>
        </w:r>
        <w:r>
          <w:rPr>
            <w:noProof/>
            <w:webHidden/>
          </w:rPr>
        </w:r>
        <w:r>
          <w:rPr>
            <w:noProof/>
            <w:webHidden/>
          </w:rPr>
          <w:fldChar w:fldCharType="separate"/>
        </w:r>
        <w:r>
          <w:rPr>
            <w:noProof/>
            <w:webHidden/>
          </w:rPr>
          <w:t>19</w:t>
        </w:r>
        <w:r>
          <w:rPr>
            <w:noProof/>
            <w:webHidden/>
          </w:rPr>
          <w:fldChar w:fldCharType="end"/>
        </w:r>
      </w:hyperlink>
    </w:p>
    <w:p w14:paraId="236DFB35" w14:textId="643147F5"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50" w:history="1">
        <w:r w:rsidRPr="00D7654E">
          <w:rPr>
            <w:rStyle w:val="Hyperlink"/>
            <w:noProof/>
          </w:rPr>
          <w:t>3.</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INCOME TAX: BUSINESS (FINANCIAL INSTITUTIONS AND PRODUCTS)</w:t>
        </w:r>
        <w:r>
          <w:rPr>
            <w:noProof/>
            <w:webHidden/>
          </w:rPr>
          <w:tab/>
        </w:r>
        <w:r>
          <w:rPr>
            <w:noProof/>
            <w:webHidden/>
          </w:rPr>
          <w:fldChar w:fldCharType="begin"/>
        </w:r>
        <w:r>
          <w:rPr>
            <w:noProof/>
            <w:webHidden/>
          </w:rPr>
          <w:instrText xml:space="preserve"> PAGEREF _Toc198158750 \h </w:instrText>
        </w:r>
        <w:r>
          <w:rPr>
            <w:noProof/>
            <w:webHidden/>
          </w:rPr>
        </w:r>
        <w:r>
          <w:rPr>
            <w:noProof/>
            <w:webHidden/>
          </w:rPr>
          <w:fldChar w:fldCharType="separate"/>
        </w:r>
        <w:r>
          <w:rPr>
            <w:noProof/>
            <w:webHidden/>
          </w:rPr>
          <w:t>20</w:t>
        </w:r>
        <w:r>
          <w:rPr>
            <w:noProof/>
            <w:webHidden/>
          </w:rPr>
          <w:fldChar w:fldCharType="end"/>
        </w:r>
      </w:hyperlink>
    </w:p>
    <w:p w14:paraId="4D4AD2AE" w14:textId="4C64C8EC"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51" w:history="1">
        <w:r w:rsidRPr="00D7654E">
          <w:rPr>
            <w:rStyle w:val="Hyperlink"/>
            <w:noProof/>
          </w:rPr>
          <w:t>3.1.</w:t>
        </w:r>
        <w:r>
          <w:rPr>
            <w:rFonts w:asciiTheme="minorHAnsi" w:eastAsiaTheme="minorEastAsia" w:hAnsiTheme="minorHAnsi" w:cstheme="minorBidi"/>
            <w:noProof/>
            <w:kern w:val="2"/>
            <w:sz w:val="24"/>
            <w:lang w:eastAsia="en-ZA"/>
            <w14:ligatures w14:val="standardContextual"/>
          </w:rPr>
          <w:tab/>
        </w:r>
        <w:r w:rsidRPr="00D7654E">
          <w:rPr>
            <w:rStyle w:val="Hyperlink"/>
            <w:noProof/>
          </w:rPr>
          <w:t>CLARIFYING THE INTERACTION OF SECTION 24JB(3) OF THE INCOME TAX ACT AND THE GROSS INCOME DEFINITION</w:t>
        </w:r>
        <w:r>
          <w:rPr>
            <w:noProof/>
            <w:webHidden/>
          </w:rPr>
          <w:tab/>
        </w:r>
        <w:r>
          <w:rPr>
            <w:noProof/>
            <w:webHidden/>
          </w:rPr>
          <w:fldChar w:fldCharType="begin"/>
        </w:r>
        <w:r>
          <w:rPr>
            <w:noProof/>
            <w:webHidden/>
          </w:rPr>
          <w:instrText xml:space="preserve"> PAGEREF _Toc198158751 \h </w:instrText>
        </w:r>
        <w:r>
          <w:rPr>
            <w:noProof/>
            <w:webHidden/>
          </w:rPr>
        </w:r>
        <w:r>
          <w:rPr>
            <w:noProof/>
            <w:webHidden/>
          </w:rPr>
          <w:fldChar w:fldCharType="separate"/>
        </w:r>
        <w:r>
          <w:rPr>
            <w:noProof/>
            <w:webHidden/>
          </w:rPr>
          <w:t>20</w:t>
        </w:r>
        <w:r>
          <w:rPr>
            <w:noProof/>
            <w:webHidden/>
          </w:rPr>
          <w:fldChar w:fldCharType="end"/>
        </w:r>
      </w:hyperlink>
    </w:p>
    <w:p w14:paraId="4A81406A" w14:textId="0249A670"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52" w:history="1">
        <w:r w:rsidRPr="00D7654E">
          <w:rPr>
            <w:rStyle w:val="Hyperlink"/>
            <w:noProof/>
          </w:rPr>
          <w:t>3.2.</w:t>
        </w:r>
        <w:r>
          <w:rPr>
            <w:rFonts w:asciiTheme="minorHAnsi" w:eastAsiaTheme="minorEastAsia" w:hAnsiTheme="minorHAnsi" w:cstheme="minorBidi"/>
            <w:noProof/>
            <w:kern w:val="2"/>
            <w:sz w:val="24"/>
            <w:lang w:eastAsia="en-ZA"/>
            <w14:ligatures w14:val="standardContextual"/>
          </w:rPr>
          <w:tab/>
        </w:r>
        <w:r w:rsidRPr="00D7654E">
          <w:rPr>
            <w:rStyle w:val="Hyperlink"/>
            <w:noProof/>
          </w:rPr>
          <w:t>IMPACT OF IFRS 17 ON THE TAXATION OF INSURERS</w:t>
        </w:r>
        <w:r>
          <w:rPr>
            <w:noProof/>
            <w:webHidden/>
          </w:rPr>
          <w:tab/>
        </w:r>
        <w:r>
          <w:rPr>
            <w:noProof/>
            <w:webHidden/>
          </w:rPr>
          <w:fldChar w:fldCharType="begin"/>
        </w:r>
        <w:r>
          <w:rPr>
            <w:noProof/>
            <w:webHidden/>
          </w:rPr>
          <w:instrText xml:space="preserve"> PAGEREF _Toc198158752 \h </w:instrText>
        </w:r>
        <w:r>
          <w:rPr>
            <w:noProof/>
            <w:webHidden/>
          </w:rPr>
        </w:r>
        <w:r>
          <w:rPr>
            <w:noProof/>
            <w:webHidden/>
          </w:rPr>
          <w:fldChar w:fldCharType="separate"/>
        </w:r>
        <w:r>
          <w:rPr>
            <w:noProof/>
            <w:webHidden/>
          </w:rPr>
          <w:t>21</w:t>
        </w:r>
        <w:r>
          <w:rPr>
            <w:noProof/>
            <w:webHidden/>
          </w:rPr>
          <w:fldChar w:fldCharType="end"/>
        </w:r>
      </w:hyperlink>
    </w:p>
    <w:p w14:paraId="5B910F3A" w14:textId="19DB6C82"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53" w:history="1">
        <w:r w:rsidRPr="00D7654E">
          <w:rPr>
            <w:rStyle w:val="Hyperlink"/>
            <w:noProof/>
          </w:rPr>
          <w:t>4.</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INCOME TAX: BUSINESS (INCENTIVES)</w:t>
        </w:r>
        <w:r>
          <w:rPr>
            <w:noProof/>
            <w:webHidden/>
          </w:rPr>
          <w:tab/>
        </w:r>
        <w:r>
          <w:rPr>
            <w:noProof/>
            <w:webHidden/>
          </w:rPr>
          <w:fldChar w:fldCharType="begin"/>
        </w:r>
        <w:r>
          <w:rPr>
            <w:noProof/>
            <w:webHidden/>
          </w:rPr>
          <w:instrText xml:space="preserve"> PAGEREF _Toc198158753 \h </w:instrText>
        </w:r>
        <w:r>
          <w:rPr>
            <w:noProof/>
            <w:webHidden/>
          </w:rPr>
        </w:r>
        <w:r>
          <w:rPr>
            <w:noProof/>
            <w:webHidden/>
          </w:rPr>
          <w:fldChar w:fldCharType="separate"/>
        </w:r>
        <w:r>
          <w:rPr>
            <w:noProof/>
            <w:webHidden/>
          </w:rPr>
          <w:t>23</w:t>
        </w:r>
        <w:r>
          <w:rPr>
            <w:noProof/>
            <w:webHidden/>
          </w:rPr>
          <w:fldChar w:fldCharType="end"/>
        </w:r>
      </w:hyperlink>
    </w:p>
    <w:p w14:paraId="67021369" w14:textId="2401D8B0"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54" w:history="1">
        <w:r w:rsidRPr="00D7654E">
          <w:rPr>
            <w:rStyle w:val="Hyperlink"/>
            <w:noProof/>
            <w:lang w:val="en-US"/>
          </w:rPr>
          <w:t>4.1.</w:t>
        </w:r>
        <w:r>
          <w:rPr>
            <w:rFonts w:asciiTheme="minorHAnsi" w:eastAsiaTheme="minorEastAsia" w:hAnsiTheme="minorHAnsi" w:cstheme="minorBidi"/>
            <w:noProof/>
            <w:kern w:val="2"/>
            <w:sz w:val="24"/>
            <w:lang w:eastAsia="en-ZA"/>
            <w14:ligatures w14:val="standardContextual"/>
          </w:rPr>
          <w:tab/>
        </w:r>
        <w:r w:rsidRPr="00D7654E">
          <w:rPr>
            <w:rStyle w:val="Hyperlink"/>
            <w:noProof/>
            <w:lang w:val="en-US"/>
          </w:rPr>
          <w:t>DEDUCTION IN RESPECT OF CERTAIN ASSETS USED IN DOMESTIC PRODUCTION OF BATTERY ELECTRIC AND HYDROGEN-POWERED VEHICLES</w:t>
        </w:r>
        <w:r>
          <w:rPr>
            <w:noProof/>
            <w:webHidden/>
          </w:rPr>
          <w:tab/>
        </w:r>
        <w:r>
          <w:rPr>
            <w:noProof/>
            <w:webHidden/>
          </w:rPr>
          <w:fldChar w:fldCharType="begin"/>
        </w:r>
        <w:r>
          <w:rPr>
            <w:noProof/>
            <w:webHidden/>
          </w:rPr>
          <w:instrText xml:space="preserve"> PAGEREF _Toc198158754 \h </w:instrText>
        </w:r>
        <w:r>
          <w:rPr>
            <w:noProof/>
            <w:webHidden/>
          </w:rPr>
        </w:r>
        <w:r>
          <w:rPr>
            <w:noProof/>
            <w:webHidden/>
          </w:rPr>
          <w:fldChar w:fldCharType="separate"/>
        </w:r>
        <w:r>
          <w:rPr>
            <w:noProof/>
            <w:webHidden/>
          </w:rPr>
          <w:t>23</w:t>
        </w:r>
        <w:r>
          <w:rPr>
            <w:noProof/>
            <w:webHidden/>
          </w:rPr>
          <w:fldChar w:fldCharType="end"/>
        </w:r>
      </w:hyperlink>
    </w:p>
    <w:p w14:paraId="55AFA033" w14:textId="07F4F27D"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55" w:history="1">
        <w:r w:rsidRPr="00D7654E">
          <w:rPr>
            <w:rStyle w:val="Hyperlink"/>
            <w:noProof/>
          </w:rPr>
          <w:t>5.</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INCOME TAX: INTERNATIONAL</w:t>
        </w:r>
        <w:r>
          <w:rPr>
            <w:noProof/>
            <w:webHidden/>
          </w:rPr>
          <w:tab/>
        </w:r>
        <w:r>
          <w:rPr>
            <w:noProof/>
            <w:webHidden/>
          </w:rPr>
          <w:fldChar w:fldCharType="begin"/>
        </w:r>
        <w:r>
          <w:rPr>
            <w:noProof/>
            <w:webHidden/>
          </w:rPr>
          <w:instrText xml:space="preserve"> PAGEREF _Toc198158755 \h </w:instrText>
        </w:r>
        <w:r>
          <w:rPr>
            <w:noProof/>
            <w:webHidden/>
          </w:rPr>
        </w:r>
        <w:r>
          <w:rPr>
            <w:noProof/>
            <w:webHidden/>
          </w:rPr>
          <w:fldChar w:fldCharType="separate"/>
        </w:r>
        <w:r>
          <w:rPr>
            <w:noProof/>
            <w:webHidden/>
          </w:rPr>
          <w:t>25</w:t>
        </w:r>
        <w:r>
          <w:rPr>
            <w:noProof/>
            <w:webHidden/>
          </w:rPr>
          <w:fldChar w:fldCharType="end"/>
        </w:r>
      </w:hyperlink>
    </w:p>
    <w:p w14:paraId="4DA1A46F" w14:textId="1D41535E"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57" w:history="1">
        <w:r w:rsidRPr="00D7654E">
          <w:rPr>
            <w:rStyle w:val="Hyperlink"/>
            <w:noProof/>
          </w:rPr>
          <w:t>5.1.</w:t>
        </w:r>
        <w:r>
          <w:rPr>
            <w:rFonts w:asciiTheme="minorHAnsi" w:eastAsiaTheme="minorEastAsia" w:hAnsiTheme="minorHAnsi" w:cstheme="minorBidi"/>
            <w:noProof/>
            <w:kern w:val="2"/>
            <w:sz w:val="24"/>
            <w:lang w:eastAsia="en-ZA"/>
            <w14:ligatures w14:val="standardContextual"/>
          </w:rPr>
          <w:tab/>
        </w:r>
        <w:r w:rsidRPr="00D7654E">
          <w:rPr>
            <w:rStyle w:val="Hyperlink"/>
            <w:noProof/>
          </w:rPr>
          <w:t>CLARIFYING THE TRANSLATION FOR HYPERINFLATIONARY CURRENCIES</w:t>
        </w:r>
        <w:r>
          <w:rPr>
            <w:noProof/>
            <w:webHidden/>
          </w:rPr>
          <w:tab/>
        </w:r>
        <w:r>
          <w:rPr>
            <w:noProof/>
            <w:webHidden/>
          </w:rPr>
          <w:fldChar w:fldCharType="begin"/>
        </w:r>
        <w:r>
          <w:rPr>
            <w:noProof/>
            <w:webHidden/>
          </w:rPr>
          <w:instrText xml:space="preserve"> PAGEREF _Toc198158757 \h </w:instrText>
        </w:r>
        <w:r>
          <w:rPr>
            <w:noProof/>
            <w:webHidden/>
          </w:rPr>
        </w:r>
        <w:r>
          <w:rPr>
            <w:noProof/>
            <w:webHidden/>
          </w:rPr>
          <w:fldChar w:fldCharType="separate"/>
        </w:r>
        <w:r>
          <w:rPr>
            <w:noProof/>
            <w:webHidden/>
          </w:rPr>
          <w:t>25</w:t>
        </w:r>
        <w:r>
          <w:rPr>
            <w:noProof/>
            <w:webHidden/>
          </w:rPr>
          <w:fldChar w:fldCharType="end"/>
        </w:r>
      </w:hyperlink>
    </w:p>
    <w:p w14:paraId="4D2E2358" w14:textId="749507CA"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58" w:history="1">
        <w:r w:rsidRPr="00D7654E">
          <w:rPr>
            <w:rStyle w:val="Hyperlink"/>
            <w:noProof/>
          </w:rPr>
          <w:t>5.2.</w:t>
        </w:r>
        <w:r>
          <w:rPr>
            <w:rFonts w:asciiTheme="minorHAnsi" w:eastAsiaTheme="minorEastAsia" w:hAnsiTheme="minorHAnsi" w:cstheme="minorBidi"/>
            <w:noProof/>
            <w:kern w:val="2"/>
            <w:sz w:val="24"/>
            <w:lang w:eastAsia="en-ZA"/>
            <w14:ligatures w14:val="standardContextual"/>
          </w:rPr>
          <w:tab/>
        </w:r>
        <w:r w:rsidRPr="00D7654E">
          <w:rPr>
            <w:rStyle w:val="Hyperlink"/>
            <w:noProof/>
          </w:rPr>
          <w:t>CLARIFYING THE 18-MONTH PERIOD IN RELATION TO SHAREHOLDINGS BY GROUP ENTITIES</w:t>
        </w:r>
        <w:r>
          <w:rPr>
            <w:noProof/>
            <w:webHidden/>
          </w:rPr>
          <w:tab/>
        </w:r>
        <w:r>
          <w:rPr>
            <w:noProof/>
            <w:webHidden/>
          </w:rPr>
          <w:fldChar w:fldCharType="begin"/>
        </w:r>
        <w:r>
          <w:rPr>
            <w:noProof/>
            <w:webHidden/>
          </w:rPr>
          <w:instrText xml:space="preserve"> PAGEREF _Toc198158758 \h </w:instrText>
        </w:r>
        <w:r>
          <w:rPr>
            <w:noProof/>
            <w:webHidden/>
          </w:rPr>
        </w:r>
        <w:r>
          <w:rPr>
            <w:noProof/>
            <w:webHidden/>
          </w:rPr>
          <w:fldChar w:fldCharType="separate"/>
        </w:r>
        <w:r>
          <w:rPr>
            <w:noProof/>
            <w:webHidden/>
          </w:rPr>
          <w:t>26</w:t>
        </w:r>
        <w:r>
          <w:rPr>
            <w:noProof/>
            <w:webHidden/>
          </w:rPr>
          <w:fldChar w:fldCharType="end"/>
        </w:r>
      </w:hyperlink>
    </w:p>
    <w:p w14:paraId="7E0ECBD2" w14:textId="77397DBF"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59" w:history="1">
        <w:r w:rsidRPr="00D7654E">
          <w:rPr>
            <w:rStyle w:val="Hyperlink"/>
            <w:noProof/>
          </w:rPr>
          <w:t>5.3.</w:t>
        </w:r>
        <w:r>
          <w:rPr>
            <w:rFonts w:asciiTheme="minorHAnsi" w:eastAsiaTheme="minorEastAsia" w:hAnsiTheme="minorHAnsi" w:cstheme="minorBidi"/>
            <w:noProof/>
            <w:kern w:val="2"/>
            <w:sz w:val="24"/>
            <w:lang w:eastAsia="en-ZA"/>
            <w14:ligatures w14:val="standardContextual"/>
          </w:rPr>
          <w:tab/>
        </w:r>
        <w:r w:rsidRPr="00D7654E">
          <w:rPr>
            <w:rStyle w:val="Hyperlink"/>
            <w:noProof/>
          </w:rPr>
          <w:t>CLARIFYING THE REBATE FOR FOREIGN TAXES ON INCOME IN RESPECT OF CAPITAL GAINS</w:t>
        </w:r>
        <w:r>
          <w:rPr>
            <w:noProof/>
            <w:webHidden/>
          </w:rPr>
          <w:tab/>
        </w:r>
        <w:r>
          <w:rPr>
            <w:noProof/>
            <w:webHidden/>
          </w:rPr>
          <w:fldChar w:fldCharType="begin"/>
        </w:r>
        <w:r>
          <w:rPr>
            <w:noProof/>
            <w:webHidden/>
          </w:rPr>
          <w:instrText xml:space="preserve"> PAGEREF _Toc198158759 \h </w:instrText>
        </w:r>
        <w:r>
          <w:rPr>
            <w:noProof/>
            <w:webHidden/>
          </w:rPr>
        </w:r>
        <w:r>
          <w:rPr>
            <w:noProof/>
            <w:webHidden/>
          </w:rPr>
          <w:fldChar w:fldCharType="separate"/>
        </w:r>
        <w:r>
          <w:rPr>
            <w:noProof/>
            <w:webHidden/>
          </w:rPr>
          <w:t>27</w:t>
        </w:r>
        <w:r>
          <w:rPr>
            <w:noProof/>
            <w:webHidden/>
          </w:rPr>
          <w:fldChar w:fldCharType="end"/>
        </w:r>
      </w:hyperlink>
    </w:p>
    <w:p w14:paraId="18AE23DD" w14:textId="2D8A6C2A"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0" w:history="1">
        <w:r w:rsidRPr="00D7654E">
          <w:rPr>
            <w:rStyle w:val="Hyperlink"/>
            <w:noProof/>
          </w:rPr>
          <w:t>5.4.</w:t>
        </w:r>
        <w:r>
          <w:rPr>
            <w:rFonts w:asciiTheme="minorHAnsi" w:eastAsiaTheme="minorEastAsia" w:hAnsiTheme="minorHAnsi" w:cstheme="minorBidi"/>
            <w:noProof/>
            <w:kern w:val="2"/>
            <w:sz w:val="24"/>
            <w:lang w:eastAsia="en-ZA"/>
            <w14:ligatures w14:val="standardContextual"/>
          </w:rPr>
          <w:tab/>
        </w:r>
        <w:r w:rsidRPr="00D7654E">
          <w:rPr>
            <w:rStyle w:val="Hyperlink"/>
            <w:noProof/>
          </w:rPr>
          <w:t>ALIGNING TIMING OF THE SECTION 6QUAT REBATE AND TRANSLATION OF NET INCOME RULE FOR CFCs</w:t>
        </w:r>
        <w:r>
          <w:rPr>
            <w:noProof/>
            <w:webHidden/>
          </w:rPr>
          <w:tab/>
        </w:r>
        <w:r>
          <w:rPr>
            <w:noProof/>
            <w:webHidden/>
          </w:rPr>
          <w:fldChar w:fldCharType="begin"/>
        </w:r>
        <w:r>
          <w:rPr>
            <w:noProof/>
            <w:webHidden/>
          </w:rPr>
          <w:instrText xml:space="preserve"> PAGEREF _Toc198158760 \h </w:instrText>
        </w:r>
        <w:r>
          <w:rPr>
            <w:noProof/>
            <w:webHidden/>
          </w:rPr>
        </w:r>
        <w:r>
          <w:rPr>
            <w:noProof/>
            <w:webHidden/>
          </w:rPr>
          <w:fldChar w:fldCharType="separate"/>
        </w:r>
        <w:r>
          <w:rPr>
            <w:noProof/>
            <w:webHidden/>
          </w:rPr>
          <w:t>28</w:t>
        </w:r>
        <w:r>
          <w:rPr>
            <w:noProof/>
            <w:webHidden/>
          </w:rPr>
          <w:fldChar w:fldCharType="end"/>
        </w:r>
      </w:hyperlink>
    </w:p>
    <w:p w14:paraId="6BA29067" w14:textId="6B085818"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1" w:history="1">
        <w:r w:rsidRPr="00D7654E">
          <w:rPr>
            <w:rStyle w:val="Hyperlink"/>
            <w:noProof/>
          </w:rPr>
          <w:t>5.5.</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REFINING THE DEFINITION OF “EXCHANGE ITEM” FOR DETERMINING EXCHANGE DIFFERENCES</w:t>
        </w:r>
        <w:r>
          <w:rPr>
            <w:noProof/>
            <w:webHidden/>
          </w:rPr>
          <w:tab/>
        </w:r>
        <w:r>
          <w:rPr>
            <w:noProof/>
            <w:webHidden/>
          </w:rPr>
          <w:fldChar w:fldCharType="begin"/>
        </w:r>
        <w:r>
          <w:rPr>
            <w:noProof/>
            <w:webHidden/>
          </w:rPr>
          <w:instrText xml:space="preserve"> PAGEREF _Toc198158761 \h </w:instrText>
        </w:r>
        <w:r>
          <w:rPr>
            <w:noProof/>
            <w:webHidden/>
          </w:rPr>
        </w:r>
        <w:r>
          <w:rPr>
            <w:noProof/>
            <w:webHidden/>
          </w:rPr>
          <w:fldChar w:fldCharType="separate"/>
        </w:r>
        <w:r>
          <w:rPr>
            <w:noProof/>
            <w:webHidden/>
          </w:rPr>
          <w:t>29</w:t>
        </w:r>
        <w:r>
          <w:rPr>
            <w:noProof/>
            <w:webHidden/>
          </w:rPr>
          <w:fldChar w:fldCharType="end"/>
        </w:r>
      </w:hyperlink>
    </w:p>
    <w:p w14:paraId="568AA552" w14:textId="4C65B4D5"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2" w:history="1">
        <w:r w:rsidRPr="00D7654E">
          <w:rPr>
            <w:rStyle w:val="Hyperlink"/>
            <w:noProof/>
          </w:rPr>
          <w:t>5.6.</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REVIEWING THE TAX TREATMENT OF EXCHANGE DIFFERENCES ON FOREIGN EXCHANGE TRANSACTIONS WHERE TRADE IS NOT CARRIED ON</w:t>
        </w:r>
        <w:r>
          <w:rPr>
            <w:noProof/>
            <w:webHidden/>
          </w:rPr>
          <w:tab/>
        </w:r>
        <w:r>
          <w:rPr>
            <w:noProof/>
            <w:webHidden/>
          </w:rPr>
          <w:fldChar w:fldCharType="begin"/>
        </w:r>
        <w:r>
          <w:rPr>
            <w:noProof/>
            <w:webHidden/>
          </w:rPr>
          <w:instrText xml:space="preserve"> PAGEREF _Toc198158762 \h </w:instrText>
        </w:r>
        <w:r>
          <w:rPr>
            <w:noProof/>
            <w:webHidden/>
          </w:rPr>
        </w:r>
        <w:r>
          <w:rPr>
            <w:noProof/>
            <w:webHidden/>
          </w:rPr>
          <w:fldChar w:fldCharType="separate"/>
        </w:r>
        <w:r>
          <w:rPr>
            <w:noProof/>
            <w:webHidden/>
          </w:rPr>
          <w:t>29</w:t>
        </w:r>
        <w:r>
          <w:rPr>
            <w:noProof/>
            <w:webHidden/>
          </w:rPr>
          <w:fldChar w:fldCharType="end"/>
        </w:r>
      </w:hyperlink>
    </w:p>
    <w:p w14:paraId="1FF515D4" w14:textId="3F075B70"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63" w:history="1">
        <w:r w:rsidRPr="00D7654E">
          <w:rPr>
            <w:rStyle w:val="Hyperlink"/>
            <w:noProof/>
          </w:rPr>
          <w:t>6.</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VALUE ADDED TAX</w:t>
        </w:r>
        <w:r>
          <w:rPr>
            <w:noProof/>
            <w:webHidden/>
          </w:rPr>
          <w:tab/>
        </w:r>
        <w:r>
          <w:rPr>
            <w:noProof/>
            <w:webHidden/>
          </w:rPr>
          <w:fldChar w:fldCharType="begin"/>
        </w:r>
        <w:r>
          <w:rPr>
            <w:noProof/>
            <w:webHidden/>
          </w:rPr>
          <w:instrText xml:space="preserve"> PAGEREF _Toc198158763 \h </w:instrText>
        </w:r>
        <w:r>
          <w:rPr>
            <w:noProof/>
            <w:webHidden/>
          </w:rPr>
        </w:r>
        <w:r>
          <w:rPr>
            <w:noProof/>
            <w:webHidden/>
          </w:rPr>
          <w:fldChar w:fldCharType="separate"/>
        </w:r>
        <w:r>
          <w:rPr>
            <w:noProof/>
            <w:webHidden/>
          </w:rPr>
          <w:t>30</w:t>
        </w:r>
        <w:r>
          <w:rPr>
            <w:noProof/>
            <w:webHidden/>
          </w:rPr>
          <w:fldChar w:fldCharType="end"/>
        </w:r>
      </w:hyperlink>
    </w:p>
    <w:p w14:paraId="18533418" w14:textId="6DF267AE"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4" w:history="1">
        <w:r w:rsidRPr="00D7654E">
          <w:rPr>
            <w:rStyle w:val="Hyperlink"/>
            <w:noProof/>
          </w:rPr>
          <w:t>6.1.</w:t>
        </w:r>
        <w:r>
          <w:rPr>
            <w:rFonts w:asciiTheme="minorHAnsi" w:eastAsiaTheme="minorEastAsia" w:hAnsiTheme="minorHAnsi" w:cstheme="minorBidi"/>
            <w:noProof/>
            <w:kern w:val="2"/>
            <w:sz w:val="24"/>
            <w:lang w:eastAsia="en-ZA"/>
            <w14:ligatures w14:val="standardContextual"/>
          </w:rPr>
          <w:tab/>
        </w:r>
        <w:r w:rsidRPr="00D7654E">
          <w:rPr>
            <w:rStyle w:val="Hyperlink"/>
            <w:noProof/>
          </w:rPr>
          <w:t>PROVIDING VAT RELIEF FOR NON-RESIDENT LESSORS OF PARTS OF SHIPS, AIRCRAFT OR ROLLING STOCK REQUIRED TO DEREGISTER AS A RESULT OF RECENT AMENDMENTS TO THE VAT ACT</w:t>
        </w:r>
        <w:r>
          <w:rPr>
            <w:noProof/>
            <w:webHidden/>
          </w:rPr>
          <w:tab/>
        </w:r>
        <w:r>
          <w:rPr>
            <w:noProof/>
            <w:webHidden/>
          </w:rPr>
          <w:fldChar w:fldCharType="begin"/>
        </w:r>
        <w:r>
          <w:rPr>
            <w:noProof/>
            <w:webHidden/>
          </w:rPr>
          <w:instrText xml:space="preserve"> PAGEREF _Toc198158764 \h </w:instrText>
        </w:r>
        <w:r>
          <w:rPr>
            <w:noProof/>
            <w:webHidden/>
          </w:rPr>
        </w:r>
        <w:r>
          <w:rPr>
            <w:noProof/>
            <w:webHidden/>
          </w:rPr>
          <w:fldChar w:fldCharType="separate"/>
        </w:r>
        <w:r>
          <w:rPr>
            <w:noProof/>
            <w:webHidden/>
          </w:rPr>
          <w:t>30</w:t>
        </w:r>
        <w:r>
          <w:rPr>
            <w:noProof/>
            <w:webHidden/>
          </w:rPr>
          <w:fldChar w:fldCharType="end"/>
        </w:r>
      </w:hyperlink>
    </w:p>
    <w:p w14:paraId="4B023A89" w14:textId="70FCF319"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5" w:history="1">
        <w:r w:rsidRPr="00D7654E">
          <w:rPr>
            <w:rStyle w:val="Hyperlink"/>
            <w:noProof/>
          </w:rPr>
          <w:t>6.2.</w:t>
        </w:r>
        <w:r>
          <w:rPr>
            <w:rFonts w:asciiTheme="minorHAnsi" w:eastAsiaTheme="minorEastAsia" w:hAnsiTheme="minorHAnsi" w:cstheme="minorBidi"/>
            <w:noProof/>
            <w:kern w:val="2"/>
            <w:sz w:val="24"/>
            <w:lang w:eastAsia="en-ZA"/>
            <w14:ligatures w14:val="standardContextual"/>
          </w:rPr>
          <w:tab/>
        </w:r>
        <w:r w:rsidRPr="00D7654E">
          <w:rPr>
            <w:rStyle w:val="Hyperlink"/>
            <w:noProof/>
          </w:rPr>
          <w:t>CLARIFYING THE VAT TREATMENT OF THE MUDARABA ISLAMIC FINANCING ARRANGEMENT</w:t>
        </w:r>
        <w:r>
          <w:rPr>
            <w:noProof/>
            <w:webHidden/>
          </w:rPr>
          <w:tab/>
        </w:r>
        <w:r>
          <w:rPr>
            <w:noProof/>
            <w:webHidden/>
          </w:rPr>
          <w:fldChar w:fldCharType="begin"/>
        </w:r>
        <w:r>
          <w:rPr>
            <w:noProof/>
            <w:webHidden/>
          </w:rPr>
          <w:instrText xml:space="preserve"> PAGEREF _Toc198158765 \h </w:instrText>
        </w:r>
        <w:r>
          <w:rPr>
            <w:noProof/>
            <w:webHidden/>
          </w:rPr>
        </w:r>
        <w:r>
          <w:rPr>
            <w:noProof/>
            <w:webHidden/>
          </w:rPr>
          <w:fldChar w:fldCharType="separate"/>
        </w:r>
        <w:r>
          <w:rPr>
            <w:noProof/>
            <w:webHidden/>
          </w:rPr>
          <w:t>32</w:t>
        </w:r>
        <w:r>
          <w:rPr>
            <w:noProof/>
            <w:webHidden/>
          </w:rPr>
          <w:fldChar w:fldCharType="end"/>
        </w:r>
      </w:hyperlink>
    </w:p>
    <w:p w14:paraId="2F8C6DFE" w14:textId="7469B317"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6" w:history="1">
        <w:r w:rsidRPr="00D7654E">
          <w:rPr>
            <w:rStyle w:val="Hyperlink"/>
            <w:noProof/>
          </w:rPr>
          <w:t>6.3.</w:t>
        </w:r>
        <w:r>
          <w:rPr>
            <w:rFonts w:asciiTheme="minorHAnsi" w:eastAsiaTheme="minorEastAsia" w:hAnsiTheme="minorHAnsi" w:cstheme="minorBidi"/>
            <w:noProof/>
            <w:kern w:val="2"/>
            <w:sz w:val="24"/>
            <w:lang w:eastAsia="en-ZA"/>
            <w14:ligatures w14:val="standardContextual"/>
          </w:rPr>
          <w:tab/>
        </w:r>
        <w:r w:rsidRPr="00D7654E">
          <w:rPr>
            <w:rStyle w:val="Hyperlink"/>
            <w:noProof/>
          </w:rPr>
          <w:t>CLARIFYING THE VAT TREATMENT OF SUPPLY OF SERVICES TO NON-RESIDENT SUBSIDIARIES OF COMPANIES BASED IN THE REPUBLIC</w:t>
        </w:r>
        <w:r>
          <w:rPr>
            <w:noProof/>
            <w:webHidden/>
          </w:rPr>
          <w:tab/>
        </w:r>
        <w:r>
          <w:rPr>
            <w:noProof/>
            <w:webHidden/>
          </w:rPr>
          <w:fldChar w:fldCharType="begin"/>
        </w:r>
        <w:r>
          <w:rPr>
            <w:noProof/>
            <w:webHidden/>
          </w:rPr>
          <w:instrText xml:space="preserve"> PAGEREF _Toc198158766 \h </w:instrText>
        </w:r>
        <w:r>
          <w:rPr>
            <w:noProof/>
            <w:webHidden/>
          </w:rPr>
        </w:r>
        <w:r>
          <w:rPr>
            <w:noProof/>
            <w:webHidden/>
          </w:rPr>
          <w:fldChar w:fldCharType="separate"/>
        </w:r>
        <w:r>
          <w:rPr>
            <w:noProof/>
            <w:webHidden/>
          </w:rPr>
          <w:t>32</w:t>
        </w:r>
        <w:r>
          <w:rPr>
            <w:noProof/>
            <w:webHidden/>
          </w:rPr>
          <w:fldChar w:fldCharType="end"/>
        </w:r>
      </w:hyperlink>
    </w:p>
    <w:p w14:paraId="3964630B" w14:textId="2FECCE25"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7" w:history="1">
        <w:r w:rsidRPr="00D7654E">
          <w:rPr>
            <w:rStyle w:val="Hyperlink"/>
            <w:noProof/>
          </w:rPr>
          <w:t>6.4.</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REVIEWING THE FOREIGN DONOR FUNDED PROJECT REGIME</w:t>
        </w:r>
        <w:r>
          <w:rPr>
            <w:noProof/>
            <w:webHidden/>
          </w:rPr>
          <w:tab/>
        </w:r>
        <w:r>
          <w:rPr>
            <w:noProof/>
            <w:webHidden/>
          </w:rPr>
          <w:fldChar w:fldCharType="begin"/>
        </w:r>
        <w:r>
          <w:rPr>
            <w:noProof/>
            <w:webHidden/>
          </w:rPr>
          <w:instrText xml:space="preserve"> PAGEREF _Toc198158767 \h </w:instrText>
        </w:r>
        <w:r>
          <w:rPr>
            <w:noProof/>
            <w:webHidden/>
          </w:rPr>
        </w:r>
        <w:r>
          <w:rPr>
            <w:noProof/>
            <w:webHidden/>
          </w:rPr>
          <w:fldChar w:fldCharType="separate"/>
        </w:r>
        <w:r>
          <w:rPr>
            <w:noProof/>
            <w:webHidden/>
          </w:rPr>
          <w:t>34</w:t>
        </w:r>
        <w:r>
          <w:rPr>
            <w:noProof/>
            <w:webHidden/>
          </w:rPr>
          <w:fldChar w:fldCharType="end"/>
        </w:r>
      </w:hyperlink>
    </w:p>
    <w:p w14:paraId="5B38788F" w14:textId="015CFCFE"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68" w:history="1">
        <w:r w:rsidRPr="00D7654E">
          <w:rPr>
            <w:rStyle w:val="Hyperlink"/>
            <w:noProof/>
          </w:rPr>
          <w:t>6.5.</w:t>
        </w:r>
        <w:r>
          <w:rPr>
            <w:rFonts w:asciiTheme="minorHAnsi" w:eastAsiaTheme="minorEastAsia" w:hAnsiTheme="minorHAnsi" w:cstheme="minorBidi"/>
            <w:noProof/>
            <w:kern w:val="2"/>
            <w:sz w:val="24"/>
            <w:lang w:eastAsia="en-ZA"/>
            <w14:ligatures w14:val="standardContextual"/>
          </w:rPr>
          <w:tab/>
        </w:r>
        <w:r w:rsidRPr="00D7654E">
          <w:rPr>
            <w:rStyle w:val="Hyperlink"/>
            <w:noProof/>
          </w:rPr>
          <w:t>VAT CLAW-BACK ON IRRECOVERABLE DEBTS SUBSEQUENTLY RECOVERED</w:t>
        </w:r>
        <w:r>
          <w:rPr>
            <w:noProof/>
            <w:webHidden/>
          </w:rPr>
          <w:tab/>
        </w:r>
        <w:r>
          <w:rPr>
            <w:noProof/>
            <w:webHidden/>
          </w:rPr>
          <w:fldChar w:fldCharType="begin"/>
        </w:r>
        <w:r>
          <w:rPr>
            <w:noProof/>
            <w:webHidden/>
          </w:rPr>
          <w:instrText xml:space="preserve"> PAGEREF _Toc198158768 \h </w:instrText>
        </w:r>
        <w:r>
          <w:rPr>
            <w:noProof/>
            <w:webHidden/>
          </w:rPr>
        </w:r>
        <w:r>
          <w:rPr>
            <w:noProof/>
            <w:webHidden/>
          </w:rPr>
          <w:fldChar w:fldCharType="separate"/>
        </w:r>
        <w:r>
          <w:rPr>
            <w:noProof/>
            <w:webHidden/>
          </w:rPr>
          <w:t>35</w:t>
        </w:r>
        <w:r>
          <w:rPr>
            <w:noProof/>
            <w:webHidden/>
          </w:rPr>
          <w:fldChar w:fldCharType="end"/>
        </w:r>
      </w:hyperlink>
    </w:p>
    <w:p w14:paraId="2075DE71" w14:textId="632AE001"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69" w:history="1">
        <w:r w:rsidRPr="00D7654E">
          <w:rPr>
            <w:rStyle w:val="Hyperlink"/>
            <w:noProof/>
          </w:rPr>
          <w:t>7.</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CARBON TAX ACT</w:t>
        </w:r>
        <w:r>
          <w:rPr>
            <w:noProof/>
            <w:webHidden/>
          </w:rPr>
          <w:tab/>
        </w:r>
        <w:r>
          <w:rPr>
            <w:noProof/>
            <w:webHidden/>
          </w:rPr>
          <w:fldChar w:fldCharType="begin"/>
        </w:r>
        <w:r>
          <w:rPr>
            <w:noProof/>
            <w:webHidden/>
          </w:rPr>
          <w:instrText xml:space="preserve"> PAGEREF _Toc198158769 \h </w:instrText>
        </w:r>
        <w:r>
          <w:rPr>
            <w:noProof/>
            <w:webHidden/>
          </w:rPr>
        </w:r>
        <w:r>
          <w:rPr>
            <w:noProof/>
            <w:webHidden/>
          </w:rPr>
          <w:fldChar w:fldCharType="separate"/>
        </w:r>
        <w:r>
          <w:rPr>
            <w:noProof/>
            <w:webHidden/>
          </w:rPr>
          <w:t>36</w:t>
        </w:r>
        <w:r>
          <w:rPr>
            <w:noProof/>
            <w:webHidden/>
          </w:rPr>
          <w:fldChar w:fldCharType="end"/>
        </w:r>
      </w:hyperlink>
    </w:p>
    <w:p w14:paraId="64E35C61" w14:textId="5F823C0D"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70" w:history="1">
        <w:r w:rsidRPr="00D7654E">
          <w:rPr>
            <w:rStyle w:val="Hyperlink"/>
            <w:noProof/>
          </w:rPr>
          <w:t>7.1.</w:t>
        </w:r>
        <w:r>
          <w:rPr>
            <w:rFonts w:asciiTheme="minorHAnsi" w:eastAsiaTheme="minorEastAsia" w:hAnsiTheme="minorHAnsi" w:cstheme="minorBidi"/>
            <w:noProof/>
            <w:kern w:val="2"/>
            <w:sz w:val="24"/>
            <w:lang w:eastAsia="en-ZA"/>
            <w14:ligatures w14:val="standardContextual"/>
          </w:rPr>
          <w:tab/>
        </w:r>
        <w:r w:rsidRPr="00D7654E">
          <w:rPr>
            <w:rStyle w:val="Hyperlink"/>
            <w:noProof/>
          </w:rPr>
          <w:t>ALIGNING SCHEDULE 1 OF THE CARBON TAX ACT WITH THE UPDATED GREENHOUSE GAS EMISSIONS METHODOLOGICAL GUIDELINES</w:t>
        </w:r>
        <w:r>
          <w:rPr>
            <w:noProof/>
            <w:webHidden/>
          </w:rPr>
          <w:tab/>
        </w:r>
        <w:r>
          <w:rPr>
            <w:noProof/>
            <w:webHidden/>
          </w:rPr>
          <w:fldChar w:fldCharType="begin"/>
        </w:r>
        <w:r>
          <w:rPr>
            <w:noProof/>
            <w:webHidden/>
          </w:rPr>
          <w:instrText xml:space="preserve"> PAGEREF _Toc198158770 \h </w:instrText>
        </w:r>
        <w:r>
          <w:rPr>
            <w:noProof/>
            <w:webHidden/>
          </w:rPr>
        </w:r>
        <w:r>
          <w:rPr>
            <w:noProof/>
            <w:webHidden/>
          </w:rPr>
          <w:fldChar w:fldCharType="separate"/>
        </w:r>
        <w:r>
          <w:rPr>
            <w:noProof/>
            <w:webHidden/>
          </w:rPr>
          <w:t>36</w:t>
        </w:r>
        <w:r>
          <w:rPr>
            <w:noProof/>
            <w:webHidden/>
          </w:rPr>
          <w:fldChar w:fldCharType="end"/>
        </w:r>
      </w:hyperlink>
    </w:p>
    <w:p w14:paraId="015BF273" w14:textId="1680B458"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71" w:history="1">
        <w:r w:rsidRPr="00D7654E">
          <w:rPr>
            <w:rStyle w:val="Hyperlink"/>
            <w:noProof/>
          </w:rPr>
          <w:t>7.2.</w:t>
        </w:r>
        <w:r>
          <w:rPr>
            <w:rFonts w:asciiTheme="minorHAnsi" w:eastAsiaTheme="minorEastAsia" w:hAnsiTheme="minorHAnsi" w:cstheme="minorBidi"/>
            <w:noProof/>
            <w:kern w:val="2"/>
            <w:sz w:val="24"/>
            <w:lang w:eastAsia="en-ZA"/>
            <w14:ligatures w14:val="standardContextual"/>
          </w:rPr>
          <w:tab/>
        </w:r>
        <w:r w:rsidRPr="00D7654E">
          <w:rPr>
            <w:rStyle w:val="Hyperlink"/>
            <w:noProof/>
          </w:rPr>
          <w:t>INCLUDING DEFAULT EMISSION FACTORS FOR ADDITIONAL FUGITIVE EMISSIONS SOURCE CATEGORIES</w:t>
        </w:r>
        <w:r>
          <w:rPr>
            <w:noProof/>
            <w:webHidden/>
          </w:rPr>
          <w:tab/>
        </w:r>
        <w:r>
          <w:rPr>
            <w:noProof/>
            <w:webHidden/>
          </w:rPr>
          <w:fldChar w:fldCharType="begin"/>
        </w:r>
        <w:r>
          <w:rPr>
            <w:noProof/>
            <w:webHidden/>
          </w:rPr>
          <w:instrText xml:space="preserve"> PAGEREF _Toc198158771 \h </w:instrText>
        </w:r>
        <w:r>
          <w:rPr>
            <w:noProof/>
            <w:webHidden/>
          </w:rPr>
        </w:r>
        <w:r>
          <w:rPr>
            <w:noProof/>
            <w:webHidden/>
          </w:rPr>
          <w:fldChar w:fldCharType="separate"/>
        </w:r>
        <w:r>
          <w:rPr>
            <w:noProof/>
            <w:webHidden/>
          </w:rPr>
          <w:t>39</w:t>
        </w:r>
        <w:r>
          <w:rPr>
            <w:noProof/>
            <w:webHidden/>
          </w:rPr>
          <w:fldChar w:fldCharType="end"/>
        </w:r>
      </w:hyperlink>
    </w:p>
    <w:p w14:paraId="3F70C6E5" w14:textId="5D1CF5B1" w:rsidR="009248A6" w:rsidRDefault="009248A6">
      <w:pPr>
        <w:pStyle w:val="TOC3"/>
        <w:tabs>
          <w:tab w:val="left" w:pos="960"/>
        </w:tabs>
        <w:rPr>
          <w:rFonts w:asciiTheme="minorHAnsi" w:eastAsiaTheme="minorEastAsia" w:hAnsiTheme="minorHAnsi" w:cstheme="minorBidi"/>
          <w:noProof/>
          <w:kern w:val="2"/>
          <w:sz w:val="24"/>
          <w:lang w:eastAsia="en-ZA"/>
          <w14:ligatures w14:val="standardContextual"/>
        </w:rPr>
      </w:pPr>
      <w:hyperlink w:anchor="_Toc198158772" w:history="1">
        <w:r w:rsidRPr="00D7654E">
          <w:rPr>
            <w:rStyle w:val="Hyperlink"/>
            <w:noProof/>
          </w:rPr>
          <w:t>7.3.</w:t>
        </w:r>
        <w:r>
          <w:rPr>
            <w:rFonts w:asciiTheme="minorHAnsi" w:eastAsiaTheme="minorEastAsia" w:hAnsiTheme="minorHAnsi" w:cstheme="minorBidi"/>
            <w:noProof/>
            <w:kern w:val="2"/>
            <w:sz w:val="24"/>
            <w:lang w:eastAsia="en-ZA"/>
            <w14:ligatures w14:val="standardContextual"/>
          </w:rPr>
          <w:tab/>
        </w:r>
        <w:r w:rsidRPr="00D7654E">
          <w:rPr>
            <w:rStyle w:val="Hyperlink"/>
            <w:noProof/>
          </w:rPr>
          <w:t>RENEWABLE ENERGY PREMIUM DEDUCTION</w:t>
        </w:r>
        <w:r>
          <w:rPr>
            <w:noProof/>
            <w:webHidden/>
          </w:rPr>
          <w:tab/>
        </w:r>
        <w:r>
          <w:rPr>
            <w:noProof/>
            <w:webHidden/>
          </w:rPr>
          <w:fldChar w:fldCharType="begin"/>
        </w:r>
        <w:r>
          <w:rPr>
            <w:noProof/>
            <w:webHidden/>
          </w:rPr>
          <w:instrText xml:space="preserve"> PAGEREF _Toc198158772 \h </w:instrText>
        </w:r>
        <w:r>
          <w:rPr>
            <w:noProof/>
            <w:webHidden/>
          </w:rPr>
        </w:r>
        <w:r>
          <w:rPr>
            <w:noProof/>
            <w:webHidden/>
          </w:rPr>
          <w:fldChar w:fldCharType="separate"/>
        </w:r>
        <w:r>
          <w:rPr>
            <w:noProof/>
            <w:webHidden/>
          </w:rPr>
          <w:t>42</w:t>
        </w:r>
        <w:r>
          <w:rPr>
            <w:noProof/>
            <w:webHidden/>
          </w:rPr>
          <w:fldChar w:fldCharType="end"/>
        </w:r>
      </w:hyperlink>
    </w:p>
    <w:p w14:paraId="648B23F8" w14:textId="72A9B094" w:rsidR="009248A6" w:rsidRDefault="009248A6">
      <w:pPr>
        <w:pStyle w:val="TOC2"/>
        <w:rPr>
          <w:rFonts w:asciiTheme="minorHAnsi" w:eastAsiaTheme="minorEastAsia" w:hAnsiTheme="minorHAnsi" w:cstheme="minorBidi"/>
          <w:b w:val="0"/>
          <w:noProof/>
          <w:kern w:val="2"/>
          <w:sz w:val="24"/>
          <w:lang w:eastAsia="en-ZA"/>
          <w14:ligatures w14:val="standardContextual"/>
        </w:rPr>
      </w:pPr>
      <w:hyperlink w:anchor="_Toc198158773" w:history="1">
        <w:r w:rsidRPr="00D7654E">
          <w:rPr>
            <w:rStyle w:val="Hyperlink"/>
            <w:noProof/>
          </w:rPr>
          <w:t>8.</w:t>
        </w:r>
        <w:r>
          <w:rPr>
            <w:rFonts w:asciiTheme="minorHAnsi" w:eastAsiaTheme="minorEastAsia" w:hAnsiTheme="minorHAnsi" w:cstheme="minorBidi"/>
            <w:b w:val="0"/>
            <w:noProof/>
            <w:kern w:val="2"/>
            <w:sz w:val="24"/>
            <w:lang w:eastAsia="en-ZA"/>
            <w14:ligatures w14:val="standardContextual"/>
          </w:rPr>
          <w:tab/>
        </w:r>
        <w:r w:rsidRPr="00D7654E">
          <w:rPr>
            <w:rStyle w:val="Hyperlink"/>
            <w:noProof/>
          </w:rPr>
          <w:t>CLAUSE BY CLAUSE</w:t>
        </w:r>
        <w:r>
          <w:rPr>
            <w:noProof/>
            <w:webHidden/>
          </w:rPr>
          <w:tab/>
        </w:r>
        <w:r>
          <w:rPr>
            <w:noProof/>
            <w:webHidden/>
          </w:rPr>
          <w:fldChar w:fldCharType="begin"/>
        </w:r>
        <w:r>
          <w:rPr>
            <w:noProof/>
            <w:webHidden/>
          </w:rPr>
          <w:instrText xml:space="preserve"> PAGEREF _Toc198158773 \h </w:instrText>
        </w:r>
        <w:r>
          <w:rPr>
            <w:noProof/>
            <w:webHidden/>
          </w:rPr>
        </w:r>
        <w:r>
          <w:rPr>
            <w:noProof/>
            <w:webHidden/>
          </w:rPr>
          <w:fldChar w:fldCharType="separate"/>
        </w:r>
        <w:r>
          <w:rPr>
            <w:noProof/>
            <w:webHidden/>
          </w:rPr>
          <w:t>43</w:t>
        </w:r>
        <w:r>
          <w:rPr>
            <w:noProof/>
            <w:webHidden/>
          </w:rPr>
          <w:fldChar w:fldCharType="end"/>
        </w:r>
      </w:hyperlink>
    </w:p>
    <w:p w14:paraId="06CF7CB2" w14:textId="48EFD229" w:rsidR="00FA4EFB" w:rsidRPr="003177DB" w:rsidRDefault="00CA2636" w:rsidP="006E6250">
      <w:pPr>
        <w:pStyle w:val="TOC2"/>
      </w:pPr>
      <w:r w:rsidRPr="003177DB">
        <w:fldChar w:fldCharType="end"/>
      </w:r>
      <w:bookmarkStart w:id="5" w:name="_Toc320004445"/>
      <w:r w:rsidR="00853D42" w:rsidRPr="003177DB">
        <w:br w:type="page"/>
      </w:r>
    </w:p>
    <w:p w14:paraId="60EF5CDA" w14:textId="35A22DC3" w:rsidR="00CA2636" w:rsidRPr="003177DB" w:rsidRDefault="00A62DEB" w:rsidP="002D5681">
      <w:pPr>
        <w:pStyle w:val="Heading2"/>
      </w:pPr>
      <w:bookmarkStart w:id="6" w:name="_Toc46433512"/>
      <w:bookmarkStart w:id="7" w:name="_Toc198158735"/>
      <w:bookmarkEnd w:id="5"/>
      <w:r>
        <w:t xml:space="preserve">INCOME TAX: </w:t>
      </w:r>
      <w:r w:rsidR="00DC5E3B">
        <w:t>INDIVIDUALS, SAVINGS</w:t>
      </w:r>
      <w:r>
        <w:t xml:space="preserve"> AND EMPLOYMENT</w:t>
      </w:r>
      <w:bookmarkEnd w:id="6"/>
      <w:bookmarkEnd w:id="7"/>
      <w:r>
        <w:t xml:space="preserve">  </w:t>
      </w:r>
    </w:p>
    <w:p w14:paraId="11105B20" w14:textId="594549D8" w:rsidR="009D38F0" w:rsidRPr="00F20336" w:rsidRDefault="00E5181D" w:rsidP="009709FD">
      <w:pPr>
        <w:pStyle w:val="Heading3"/>
      </w:pPr>
      <w:bookmarkStart w:id="8" w:name="_Toc189132283"/>
      <w:bookmarkStart w:id="9" w:name="_Toc392663358"/>
      <w:bookmarkStart w:id="10" w:name="_Toc424133997"/>
      <w:bookmarkStart w:id="11" w:name="_Toc198158736"/>
      <w:r w:rsidRPr="00F20336">
        <w:t>CURBING THE ABUSE OF THE EMPLOYMENT TAX INCENTIVE SCHEME</w:t>
      </w:r>
      <w:bookmarkEnd w:id="8"/>
      <w:bookmarkEnd w:id="11"/>
      <w:r w:rsidR="001361EB" w:rsidRPr="00F20336">
        <w:t xml:space="preserve"> </w:t>
      </w:r>
    </w:p>
    <w:p w14:paraId="5E0BF0A5" w14:textId="37109144" w:rsidR="00054EA8" w:rsidRDefault="4FE78DFE" w:rsidP="00054EA8">
      <w:pPr>
        <w:rPr>
          <w:lang w:val="en-US"/>
        </w:rPr>
      </w:pPr>
      <w:r w:rsidRPr="0BFF9FE6">
        <w:rPr>
          <w:lang w:val="en-US"/>
        </w:rPr>
        <w:t>[</w:t>
      </w:r>
      <w:r w:rsidR="3E322034" w:rsidRPr="0BFF9FE6">
        <w:rPr>
          <w:lang w:val="en-US"/>
        </w:rPr>
        <w:t xml:space="preserve">Applicable provisions: Sections 1(1) and </w:t>
      </w:r>
      <w:r w:rsidR="7548D1F0" w:rsidRPr="0BFF9FE6">
        <w:rPr>
          <w:lang w:val="en-US"/>
        </w:rPr>
        <w:t xml:space="preserve">new </w:t>
      </w:r>
      <w:r w:rsidR="3E322034" w:rsidRPr="0BFF9FE6">
        <w:rPr>
          <w:lang w:val="en-US"/>
        </w:rPr>
        <w:t>5(3) of the Employment Tax Incentive Act, No. 26 of 2013 (“the ETI Act”)]</w:t>
      </w:r>
      <w:r w:rsidRPr="0BFF9FE6">
        <w:rPr>
          <w:lang w:val="en-US"/>
        </w:rPr>
        <w:t>]</w:t>
      </w:r>
    </w:p>
    <w:p w14:paraId="78328EF0" w14:textId="77777777" w:rsidR="00AC6278" w:rsidRPr="00FC0786" w:rsidRDefault="00AC6278" w:rsidP="00FC0786">
      <w:pPr>
        <w:rPr>
          <w:b/>
        </w:rPr>
      </w:pPr>
      <w:r w:rsidRPr="00FC0786">
        <w:rPr>
          <w:b/>
        </w:rPr>
        <w:t>I. Background</w:t>
      </w:r>
    </w:p>
    <w:p w14:paraId="44199D22" w14:textId="77777777" w:rsidR="00B42748" w:rsidRPr="00B42748" w:rsidRDefault="00B42748" w:rsidP="00B42748">
      <w:r w:rsidRPr="00B42748">
        <w:rPr>
          <w:lang w:val="en-US"/>
        </w:rPr>
        <w:t xml:space="preserve">In 2013, the Government introduced the Employment Tax Incentive (ETI) as an incentive aimed at encouraging employers to hire young work seekers. </w:t>
      </w:r>
      <w:r w:rsidRPr="00B42748">
        <w:t xml:space="preserve">The ETI reduces the cost of hiring young people to employers through a cost-sharing mechanism with the government while leaving the wage the employee receives unaffected. The ETI commenced on 1 January 2014 and is due to expire on 28 February 2029. </w:t>
      </w:r>
    </w:p>
    <w:p w14:paraId="753F981F" w14:textId="77777777" w:rsidR="00783F45" w:rsidRPr="00FC0786" w:rsidRDefault="00AC6278" w:rsidP="00FC0786">
      <w:pPr>
        <w:rPr>
          <w:b/>
        </w:rPr>
      </w:pPr>
      <w:r w:rsidRPr="00FC0786">
        <w:rPr>
          <w:b/>
        </w:rPr>
        <w:t>II. Reasons for change</w:t>
      </w:r>
    </w:p>
    <w:p w14:paraId="751CA9BF" w14:textId="77777777" w:rsidR="00B42748" w:rsidRPr="00B42748" w:rsidRDefault="00B42748" w:rsidP="00B42748">
      <w:r w:rsidRPr="00B42748">
        <w:t xml:space="preserve">In the past three years, the Government has amended the ETI Act to curb abuse of the incentive through aggressive tax schemes. These schemes often involved training institutions claiming the incentive for students classified as employees under the ETI Act, who, however, never received cash payouts in their bank accounts. Instead, the training institutions would deduct training fees from their wages. The Government's position is that training costs should be the responsibility of the employer. The misuse of the ETI for creating fictitious employment, primarily to exploit the incentive, contradicts the policy's </w:t>
      </w:r>
      <w:proofErr w:type="spellStart"/>
      <w:r w:rsidRPr="00B42748">
        <w:t>intention.It</w:t>
      </w:r>
      <w:proofErr w:type="spellEnd"/>
      <w:r w:rsidRPr="00B42748">
        <w:t xml:space="preserve"> is essential to emphasise that millions of young South Africans are excluded from economic participation, resulting in high levels of unemployment, discouragement, and economic marginalisation. This high youth unemployment rate prevents young people from acquiring the skills and experience necessary to drive economic growth, potentially leading to long-term adverse effects on the economy. The primary purpose of the ETI is to encourage employers to hire young job seekers, providing them with a living wage and valuable work experience for future employability.</w:t>
      </w:r>
    </w:p>
    <w:p w14:paraId="75A55895" w14:textId="48F20CA0" w:rsidR="00AC6278" w:rsidRPr="00FC0786" w:rsidRDefault="00AC6278" w:rsidP="00A405A2">
      <w:pPr>
        <w:rPr>
          <w:b/>
        </w:rPr>
      </w:pPr>
      <w:r w:rsidRPr="00FC0786">
        <w:rPr>
          <w:b/>
        </w:rPr>
        <w:t>III. Proposal</w:t>
      </w:r>
    </w:p>
    <w:p w14:paraId="0484A242" w14:textId="77777777" w:rsidR="00B42748" w:rsidRPr="00B42748" w:rsidRDefault="00B42748" w:rsidP="00B42748">
      <w:r w:rsidRPr="00B42748">
        <w:t xml:space="preserve">It is proposed that punitive measures to curb the abuse of ETI be extended in the legislation to address the abusive behaviour of certain taxpayers towards the incentive. </w:t>
      </w:r>
    </w:p>
    <w:p w14:paraId="57332430" w14:textId="77777777" w:rsidR="00AC6278" w:rsidRPr="00FC0786" w:rsidRDefault="00AC6278" w:rsidP="00FC0786">
      <w:pPr>
        <w:rPr>
          <w:b/>
        </w:rPr>
      </w:pPr>
      <w:r w:rsidRPr="00FC0786">
        <w:rPr>
          <w:b/>
        </w:rPr>
        <w:t>IV. Effective date</w:t>
      </w:r>
    </w:p>
    <w:p w14:paraId="68749C9D" w14:textId="77777777" w:rsidR="00B42748" w:rsidRPr="00B42748" w:rsidRDefault="00B42748" w:rsidP="00B42748">
      <w:pPr>
        <w:rPr>
          <w:rFonts w:eastAsia="Arial"/>
          <w:lang w:val="en-US"/>
        </w:rPr>
      </w:pPr>
      <w:r w:rsidRPr="00B42748">
        <w:rPr>
          <w:rFonts w:eastAsia="Arial"/>
        </w:rPr>
        <w:t xml:space="preserve">The proposed amendments come into operation on 1 March 2025 </w:t>
      </w:r>
      <w:r w:rsidRPr="00B42748">
        <w:rPr>
          <w:rFonts w:eastAsia="Arial"/>
          <w:lang w:val="en-US"/>
        </w:rPr>
        <w:t>and apply in respect of years of assessment commencing on or after that date.</w:t>
      </w:r>
    </w:p>
    <w:p w14:paraId="5DF5D6D8" w14:textId="77777777" w:rsidR="00500545" w:rsidRPr="001B1C48" w:rsidRDefault="00500545" w:rsidP="00FC0786">
      <w:pPr>
        <w:rPr>
          <w:rFonts w:eastAsia="Arial"/>
          <w:lang w:val="en-US"/>
        </w:rPr>
      </w:pPr>
    </w:p>
    <w:p w14:paraId="3A8A44AC" w14:textId="519AD095" w:rsidR="004F548D" w:rsidRPr="005E29F8" w:rsidRDefault="00E5181D" w:rsidP="009709FD">
      <w:pPr>
        <w:pStyle w:val="Heading3"/>
        <w:rPr>
          <w:rFonts w:eastAsia="Calibri"/>
        </w:rPr>
      </w:pPr>
      <w:bookmarkStart w:id="12" w:name="_Toc198158737"/>
      <w:r w:rsidRPr="005E29F8">
        <w:rPr>
          <w:rFonts w:eastAsia="Calibri"/>
        </w:rPr>
        <w:t>AMENDING THE DEFINITION OF “REMUNERATION PROXY” IN SECTION 1</w:t>
      </w:r>
      <w:bookmarkEnd w:id="12"/>
    </w:p>
    <w:p w14:paraId="657943D6" w14:textId="68849A10" w:rsidR="00BE0F10" w:rsidRPr="00BB3EC6" w:rsidRDefault="00947B5E" w:rsidP="00FC0786">
      <w:pPr>
        <w:rPr>
          <w:rFonts w:cs="Arial"/>
        </w:rPr>
      </w:pPr>
      <w:r w:rsidRPr="00BB3EC6">
        <w:rPr>
          <w:rFonts w:cs="Arial"/>
        </w:rPr>
        <w:t>[Applicable provision:</w:t>
      </w:r>
      <w:r w:rsidR="00320AEC" w:rsidRPr="00320AEC">
        <w:rPr>
          <w:rFonts w:eastAsiaTheme="minorHAnsi" w:cs="Arial"/>
          <w:sz w:val="24"/>
        </w:rPr>
        <w:t xml:space="preserve"> </w:t>
      </w:r>
      <w:r w:rsidR="00523A65" w:rsidRPr="00523A65">
        <w:rPr>
          <w:rFonts w:eastAsia="Calibri" w:cs="Arial"/>
        </w:rPr>
        <w:t xml:space="preserve">Definition of “remuneration proxy” in section 1 of the </w:t>
      </w:r>
      <w:r w:rsidR="001B1C48">
        <w:rPr>
          <w:rFonts w:eastAsia="Calibri" w:cs="Arial"/>
        </w:rPr>
        <w:t xml:space="preserve">Income Tax </w:t>
      </w:r>
      <w:r w:rsidR="00523A65" w:rsidRPr="00523A65">
        <w:rPr>
          <w:rFonts w:eastAsia="Calibri" w:cs="Arial"/>
        </w:rPr>
        <w:t>Act</w:t>
      </w:r>
      <w:r w:rsidR="001B1C48">
        <w:rPr>
          <w:rFonts w:eastAsia="Calibri" w:cs="Arial"/>
        </w:rPr>
        <w:t xml:space="preserve"> No. 58 of 1962 (“the Act”)</w:t>
      </w:r>
      <w:r w:rsidRPr="00BB3EC6">
        <w:rPr>
          <w:rFonts w:cs="Arial"/>
        </w:rPr>
        <w:t>]</w:t>
      </w:r>
    </w:p>
    <w:p w14:paraId="782C6246" w14:textId="77777777" w:rsidR="00BE0F10" w:rsidRPr="00FC0786" w:rsidRDefault="009B7A28" w:rsidP="00FC0786">
      <w:pPr>
        <w:rPr>
          <w:b/>
        </w:rPr>
      </w:pPr>
      <w:r w:rsidRPr="00FC0786">
        <w:rPr>
          <w:b/>
        </w:rPr>
        <w:t xml:space="preserve">I. </w:t>
      </w:r>
      <w:r w:rsidR="00BE0F10" w:rsidRPr="00FC0786">
        <w:rPr>
          <w:b/>
        </w:rPr>
        <w:t>Background</w:t>
      </w:r>
    </w:p>
    <w:p w14:paraId="22923D7F" w14:textId="77777777" w:rsidR="00B42748" w:rsidRPr="00B42748" w:rsidRDefault="00B42748" w:rsidP="00B42748">
      <w:pPr>
        <w:rPr>
          <w:rFonts w:eastAsia="Arial"/>
        </w:rPr>
      </w:pPr>
      <w:r w:rsidRPr="00B42748">
        <w:rPr>
          <w:rFonts w:eastAsia="Arial"/>
        </w:rPr>
        <w:t xml:space="preserve">In the tax legislation, the meaning of an employer-employee relationship is generally expanded to include an “associated institution” as defined in paragraph 1 of the Seventh Schedule to the Act. In addition, the concept of an “associated institution” has the purpose and effect of expanding the employer-employee relationship to the granting of a taxable benefit to an employee. With effect from 1 March 2014, the definition of “remuneration proxy” was introduced in section 1 of the Act with the purpose that the design of the definition of “remuneration proxy” in section 1 to specifically refer to an “associated institution” as defined in paragraph 1 of the Seventh Schedule to the Act.     </w:t>
      </w:r>
    </w:p>
    <w:p w14:paraId="59C5E292" w14:textId="77777777" w:rsidR="00BE0F10" w:rsidRPr="00FC0786" w:rsidRDefault="009B7A28" w:rsidP="00FC0786">
      <w:pPr>
        <w:rPr>
          <w:b/>
        </w:rPr>
      </w:pPr>
      <w:r w:rsidRPr="00FC0786">
        <w:rPr>
          <w:b/>
        </w:rPr>
        <w:t xml:space="preserve">II. </w:t>
      </w:r>
      <w:r w:rsidR="00BE0F10" w:rsidRPr="00FC0786">
        <w:rPr>
          <w:b/>
        </w:rPr>
        <w:t>Reasons for change</w:t>
      </w:r>
    </w:p>
    <w:p w14:paraId="6924553F" w14:textId="1418AD45" w:rsidR="00581061" w:rsidRPr="00581061" w:rsidRDefault="00581061" w:rsidP="00581061">
      <w:pPr>
        <w:rPr>
          <w:bCs/>
          <w:color w:val="000000"/>
          <w:lang w:val="en-GB"/>
        </w:rPr>
      </w:pPr>
      <w:r w:rsidRPr="00581061">
        <w:rPr>
          <w:bCs/>
          <w:color w:val="000000"/>
          <w:lang w:val="en-GB"/>
        </w:rPr>
        <w:t xml:space="preserve">In 2013, the definition of “remuneration factor” in paragraph 9(1) of the Seventh Schedule </w:t>
      </w:r>
      <w:r w:rsidR="001B1C48">
        <w:rPr>
          <w:bCs/>
          <w:color w:val="000000"/>
          <w:lang w:val="en-GB"/>
        </w:rPr>
        <w:t xml:space="preserve">to the Act </w:t>
      </w:r>
      <w:r w:rsidRPr="00581061">
        <w:rPr>
          <w:bCs/>
          <w:color w:val="000000"/>
          <w:lang w:val="en-GB"/>
        </w:rPr>
        <w:t>was deleted and the definition of “remuneration proxy” was inserted in section 1 of the Act effective 1 March 2014. Currently, the term “associated institution” is used in the definition of “remuneration proxy” with its ordinary meaning, as “associated institution” is not defined in the main body of the Act, but in the Seventh Schedule. Since the ordinary meaning of the term “associated institution” is used in the definition of “remuneration proxy” in section 1 of the Act, this creates an inconsistency in the application of:</w:t>
      </w:r>
    </w:p>
    <w:p w14:paraId="31E7420E" w14:textId="581EE667" w:rsidR="00581061" w:rsidRPr="009E53BA" w:rsidRDefault="00581061" w:rsidP="4DA829A6">
      <w:pPr>
        <w:numPr>
          <w:ilvl w:val="0"/>
          <w:numId w:val="20"/>
        </w:numPr>
        <w:rPr>
          <w:color w:val="000000"/>
        </w:rPr>
      </w:pPr>
      <w:r w:rsidRPr="4DA829A6">
        <w:rPr>
          <w:color w:val="000000" w:themeColor="text1"/>
        </w:rPr>
        <w:t>Section 10(1)(</w:t>
      </w:r>
      <w:r w:rsidRPr="4DA829A6">
        <w:rPr>
          <w:i/>
          <w:iCs/>
          <w:color w:val="000000" w:themeColor="text1"/>
        </w:rPr>
        <w:t>q</w:t>
      </w:r>
      <w:r w:rsidRPr="4DA829A6">
        <w:rPr>
          <w:color w:val="000000" w:themeColor="text1"/>
        </w:rPr>
        <w:t>)(ii)(</w:t>
      </w:r>
      <w:r w:rsidRPr="4DA829A6">
        <w:rPr>
          <w:i/>
          <w:iCs/>
          <w:color w:val="000000" w:themeColor="text1"/>
        </w:rPr>
        <w:t>aa</w:t>
      </w:r>
      <w:r w:rsidRPr="4DA829A6">
        <w:rPr>
          <w:color w:val="000000" w:themeColor="text1"/>
        </w:rPr>
        <w:t>)</w:t>
      </w:r>
      <w:r w:rsidR="00D34883" w:rsidRPr="4DA829A6">
        <w:rPr>
          <w:color w:val="000000" w:themeColor="text1"/>
        </w:rPr>
        <w:t xml:space="preserve"> </w:t>
      </w:r>
      <w:bookmarkStart w:id="13" w:name="_Hlk173317728"/>
      <w:r w:rsidR="00D34883" w:rsidRPr="4DA829A6">
        <w:rPr>
          <w:color w:val="000000" w:themeColor="text1"/>
        </w:rPr>
        <w:t>of the Act</w:t>
      </w:r>
      <w:r w:rsidRPr="4DA829A6">
        <w:rPr>
          <w:color w:val="000000" w:themeColor="text1"/>
        </w:rPr>
        <w:t xml:space="preserve"> </w:t>
      </w:r>
      <w:bookmarkEnd w:id="13"/>
      <w:r w:rsidRPr="4DA829A6">
        <w:rPr>
          <w:color w:val="000000" w:themeColor="text1"/>
        </w:rPr>
        <w:t>for any bona fide scholarship or bursary granted by the employer to enable or assist any person to study;</w:t>
      </w:r>
    </w:p>
    <w:p w14:paraId="0FDDE9B5" w14:textId="5691CC1B" w:rsidR="00581061" w:rsidRPr="009E53BA" w:rsidRDefault="00581061" w:rsidP="4DA829A6">
      <w:pPr>
        <w:numPr>
          <w:ilvl w:val="0"/>
          <w:numId w:val="20"/>
        </w:numPr>
        <w:rPr>
          <w:color w:val="000000"/>
        </w:rPr>
      </w:pPr>
      <w:r w:rsidRPr="4DA829A6">
        <w:rPr>
          <w:color w:val="000000" w:themeColor="text1"/>
        </w:rPr>
        <w:t>Section 10(1)(</w:t>
      </w:r>
      <w:proofErr w:type="spellStart"/>
      <w:r w:rsidRPr="4DA829A6">
        <w:rPr>
          <w:i/>
          <w:iCs/>
          <w:color w:val="000000" w:themeColor="text1"/>
        </w:rPr>
        <w:t>q</w:t>
      </w:r>
      <w:r w:rsidRPr="4DA829A6">
        <w:rPr>
          <w:color w:val="000000" w:themeColor="text1"/>
        </w:rPr>
        <w:t>A</w:t>
      </w:r>
      <w:proofErr w:type="spellEnd"/>
      <w:r w:rsidRPr="4DA829A6">
        <w:rPr>
          <w:color w:val="000000" w:themeColor="text1"/>
        </w:rPr>
        <w:t>)(ii)(</w:t>
      </w:r>
      <w:r w:rsidRPr="4DA829A6">
        <w:rPr>
          <w:i/>
          <w:iCs/>
          <w:color w:val="000000" w:themeColor="text1"/>
        </w:rPr>
        <w:t>aa</w:t>
      </w:r>
      <w:r w:rsidRPr="4DA829A6">
        <w:rPr>
          <w:color w:val="000000" w:themeColor="text1"/>
        </w:rPr>
        <w:t xml:space="preserve">) </w:t>
      </w:r>
      <w:r w:rsidR="00D34883" w:rsidRPr="4DA829A6">
        <w:rPr>
          <w:color w:val="000000" w:themeColor="text1"/>
        </w:rPr>
        <w:t xml:space="preserve">of the Act </w:t>
      </w:r>
      <w:r w:rsidRPr="4DA829A6">
        <w:rPr>
          <w:color w:val="000000" w:themeColor="text1"/>
        </w:rPr>
        <w:t xml:space="preserve">for any bona fide scholarship or bursary to enable any person living with a disability to study; </w:t>
      </w:r>
    </w:p>
    <w:p w14:paraId="4F5B7754" w14:textId="2AEBC57B" w:rsidR="00581061" w:rsidRPr="009E53BA" w:rsidRDefault="00581061" w:rsidP="4DA829A6">
      <w:pPr>
        <w:numPr>
          <w:ilvl w:val="0"/>
          <w:numId w:val="20"/>
        </w:numPr>
        <w:rPr>
          <w:color w:val="000000"/>
        </w:rPr>
      </w:pPr>
      <w:r w:rsidRPr="4DA829A6">
        <w:rPr>
          <w:color w:val="000000" w:themeColor="text1"/>
        </w:rPr>
        <w:t>Paragraph 5(3A)(</w:t>
      </w:r>
      <w:r w:rsidRPr="4DA829A6">
        <w:rPr>
          <w:i/>
          <w:iCs/>
          <w:color w:val="000000" w:themeColor="text1"/>
        </w:rPr>
        <w:t>a</w:t>
      </w:r>
      <w:r w:rsidRPr="4DA829A6">
        <w:rPr>
          <w:color w:val="000000" w:themeColor="text1"/>
        </w:rPr>
        <w:t>) of the</w:t>
      </w:r>
      <w:r w:rsidR="00D34883" w:rsidRPr="4DA829A6">
        <w:rPr>
          <w:color w:val="000000" w:themeColor="text1"/>
        </w:rPr>
        <w:t xml:space="preserve"> </w:t>
      </w:r>
      <w:r w:rsidRPr="4DA829A6">
        <w:rPr>
          <w:color w:val="000000" w:themeColor="text1"/>
        </w:rPr>
        <w:t>Seventh Schedule to the Act, which caters for the no-value provision regarding the cash equivalent for employer-provided accommodation (low-cost housing); and</w:t>
      </w:r>
    </w:p>
    <w:p w14:paraId="5C218B82" w14:textId="38904682" w:rsidR="00581061" w:rsidRPr="009E53BA" w:rsidRDefault="00581061" w:rsidP="4DA829A6">
      <w:pPr>
        <w:numPr>
          <w:ilvl w:val="0"/>
          <w:numId w:val="20"/>
        </w:numPr>
        <w:rPr>
          <w:color w:val="000000"/>
        </w:rPr>
      </w:pPr>
      <w:r w:rsidRPr="4DA829A6">
        <w:rPr>
          <w:color w:val="000000" w:themeColor="text1"/>
        </w:rPr>
        <w:t>Paragraph 9(3)(</w:t>
      </w:r>
      <w:proofErr w:type="spellStart"/>
      <w:r w:rsidRPr="4DA829A6">
        <w:rPr>
          <w:i/>
          <w:iCs/>
          <w:color w:val="000000" w:themeColor="text1"/>
        </w:rPr>
        <w:t>i</w:t>
      </w:r>
      <w:proofErr w:type="spellEnd"/>
      <w:r w:rsidRPr="4DA829A6">
        <w:rPr>
          <w:color w:val="000000" w:themeColor="text1"/>
        </w:rPr>
        <w:t xml:space="preserve">) of the Seventh Schedule to the Act dealing with the rental value to be placed on employer-provided residential accommodation. </w:t>
      </w:r>
    </w:p>
    <w:p w14:paraId="0DF1EA53" w14:textId="2A7F7DD3" w:rsidR="00581061" w:rsidRPr="00581061" w:rsidRDefault="00581061" w:rsidP="00581061">
      <w:pPr>
        <w:rPr>
          <w:bCs/>
          <w:color w:val="000000"/>
          <w:lang w:val="en-GB"/>
        </w:rPr>
      </w:pPr>
      <w:r w:rsidRPr="00581061">
        <w:rPr>
          <w:bCs/>
          <w:color w:val="000000"/>
          <w:lang w:val="en-GB"/>
        </w:rPr>
        <w:t xml:space="preserve">The difficulty lies with the term “associated institution” which cannot be given its ordinary meaning but be given its meaning by reference to where it is defined in the Act, i.e. in paragraph 1 of the Seventh Schedule. Therefore, Government proposes aligning the policy objective for an “associated institution” to carry its intended meaning and use in the Act. </w:t>
      </w:r>
    </w:p>
    <w:p w14:paraId="082F2E99" w14:textId="77777777" w:rsidR="00BE0F10" w:rsidRPr="00FC0786" w:rsidRDefault="0031390A" w:rsidP="00FC0786">
      <w:pPr>
        <w:rPr>
          <w:b/>
        </w:rPr>
      </w:pPr>
      <w:r w:rsidRPr="00FC0786">
        <w:rPr>
          <w:b/>
        </w:rPr>
        <w:t xml:space="preserve">III. </w:t>
      </w:r>
      <w:r w:rsidR="00BE0F10" w:rsidRPr="00FC0786">
        <w:rPr>
          <w:b/>
        </w:rPr>
        <w:t>Proposal</w:t>
      </w:r>
    </w:p>
    <w:p w14:paraId="5DCBBA85" w14:textId="27DBC621" w:rsidR="00D34883" w:rsidRPr="00500545" w:rsidRDefault="00581061" w:rsidP="00581061">
      <w:pPr>
        <w:rPr>
          <w:bCs/>
          <w:color w:val="000000"/>
          <w:lang w:val="en-GB"/>
        </w:rPr>
      </w:pPr>
      <w:r w:rsidRPr="00581061">
        <w:rPr>
          <w:bCs/>
          <w:color w:val="000000"/>
          <w:lang w:val="en-GB"/>
        </w:rPr>
        <w:t xml:space="preserve">It is proposed that a cross-reference be added in the definition of “remuneration proxy” to refer to the definition of an “associated institution” by reference to paragraph 1 of the Seventh Schedule to the Act. </w:t>
      </w:r>
    </w:p>
    <w:p w14:paraId="6C03C417" w14:textId="77777777" w:rsidR="00985B0A" w:rsidRPr="00FC0786" w:rsidRDefault="00423D6B" w:rsidP="00FC0786">
      <w:pPr>
        <w:rPr>
          <w:b/>
        </w:rPr>
      </w:pPr>
      <w:r w:rsidRPr="00FC0786">
        <w:rPr>
          <w:b/>
        </w:rPr>
        <w:t xml:space="preserve">IV. </w:t>
      </w:r>
      <w:r w:rsidR="00985B0A" w:rsidRPr="00FC0786">
        <w:rPr>
          <w:b/>
        </w:rPr>
        <w:t>Effective date</w:t>
      </w:r>
    </w:p>
    <w:p w14:paraId="73A09F6F" w14:textId="1177F1D9" w:rsidR="00D34883" w:rsidRDefault="56195790" w:rsidP="00FC0786">
      <w:pPr>
        <w:rPr>
          <w:color w:val="000000" w:themeColor="text1"/>
          <w:lang w:val="en-US"/>
        </w:rPr>
      </w:pPr>
      <w:r w:rsidRPr="5FEEF3AA">
        <w:rPr>
          <w:color w:val="000000" w:themeColor="text1"/>
        </w:rPr>
        <w:t>The proposed amendment come</w:t>
      </w:r>
      <w:r w:rsidR="6DB2128A" w:rsidRPr="5FEEF3AA">
        <w:rPr>
          <w:color w:val="000000" w:themeColor="text1"/>
        </w:rPr>
        <w:t>s</w:t>
      </w:r>
      <w:r w:rsidRPr="5FEEF3AA">
        <w:rPr>
          <w:color w:val="000000" w:themeColor="text1"/>
        </w:rPr>
        <w:t xml:space="preserve"> into operation on 1 March 2025</w:t>
      </w:r>
      <w:r w:rsidRPr="5FEEF3AA">
        <w:rPr>
          <w:color w:val="000000" w:themeColor="text1"/>
          <w:lang w:val="en-US"/>
        </w:rPr>
        <w:t xml:space="preserve"> and appl</w:t>
      </w:r>
      <w:r w:rsidR="7ED6773A" w:rsidRPr="5FEEF3AA">
        <w:rPr>
          <w:color w:val="000000" w:themeColor="text1"/>
          <w:lang w:val="en-US"/>
        </w:rPr>
        <w:t>ies</w:t>
      </w:r>
      <w:r w:rsidRPr="5FEEF3AA">
        <w:rPr>
          <w:color w:val="000000" w:themeColor="text1"/>
          <w:lang w:val="en-US"/>
        </w:rPr>
        <w:t xml:space="preserve"> in respect of years of assessment commencing on or after that date.</w:t>
      </w:r>
    </w:p>
    <w:p w14:paraId="60B557DC" w14:textId="77777777" w:rsidR="00864756" w:rsidRDefault="00864756" w:rsidP="00FC0786">
      <w:pPr>
        <w:rPr>
          <w:color w:val="000000" w:themeColor="text1"/>
          <w:lang w:val="en-US"/>
        </w:rPr>
      </w:pPr>
    </w:p>
    <w:p w14:paraId="7EEC0C2C" w14:textId="77777777" w:rsidR="00864756" w:rsidRDefault="00864756" w:rsidP="00FC0786">
      <w:pPr>
        <w:rPr>
          <w:color w:val="000000" w:themeColor="text1"/>
          <w:lang w:val="en-US"/>
        </w:rPr>
      </w:pPr>
    </w:p>
    <w:p w14:paraId="3792429A" w14:textId="77777777" w:rsidR="00864756" w:rsidRDefault="00864756" w:rsidP="00FC0786">
      <w:pPr>
        <w:rPr>
          <w:color w:val="000000" w:themeColor="text1"/>
          <w:lang w:val="en-US"/>
        </w:rPr>
      </w:pPr>
    </w:p>
    <w:p w14:paraId="0069801B" w14:textId="77777777" w:rsidR="00864756" w:rsidRPr="001361EB" w:rsidRDefault="00864756" w:rsidP="00FC0786">
      <w:pPr>
        <w:rPr>
          <w:color w:val="000000"/>
          <w:lang w:val="en-US"/>
        </w:rPr>
      </w:pPr>
    </w:p>
    <w:p w14:paraId="5CB4AED2" w14:textId="07F74B44" w:rsidR="002918A6" w:rsidRPr="005E29F8" w:rsidRDefault="00E5181D" w:rsidP="009709FD">
      <w:pPr>
        <w:pStyle w:val="Heading3"/>
      </w:pPr>
      <w:bookmarkStart w:id="14" w:name="_Toc198158738"/>
      <w:r w:rsidRPr="005E29F8">
        <w:t>PAYROLL AMENDMENTS AND REFUNDS MADE IN THE CURRENT YEAR</w:t>
      </w:r>
      <w:bookmarkEnd w:id="14"/>
    </w:p>
    <w:p w14:paraId="5112656A" w14:textId="2D7BEE74" w:rsidR="00890E2A" w:rsidRPr="00BA1CD0" w:rsidRDefault="00890E2A" w:rsidP="4DA829A6">
      <w:r w:rsidRPr="4DA829A6">
        <w:t>[</w:t>
      </w:r>
      <w:r w:rsidR="00523A65" w:rsidRPr="4DA829A6">
        <w:t>Applicable provision: Section 11(</w:t>
      </w:r>
      <w:proofErr w:type="spellStart"/>
      <w:r w:rsidR="00523A65" w:rsidRPr="4DA829A6">
        <w:rPr>
          <w:i/>
          <w:iCs/>
        </w:rPr>
        <w:t>n</w:t>
      </w:r>
      <w:r w:rsidR="00523A65" w:rsidRPr="4DA829A6">
        <w:t>A</w:t>
      </w:r>
      <w:proofErr w:type="spellEnd"/>
      <w:r w:rsidR="00523A65" w:rsidRPr="4DA829A6">
        <w:t>) of the Act</w:t>
      </w:r>
      <w:r w:rsidRPr="4DA829A6">
        <w:t>]</w:t>
      </w:r>
    </w:p>
    <w:p w14:paraId="1275BFF3" w14:textId="77777777" w:rsidR="006E7008" w:rsidRPr="00FC0786" w:rsidRDefault="006E7008" w:rsidP="00FC0786">
      <w:pPr>
        <w:rPr>
          <w:b/>
        </w:rPr>
      </w:pPr>
      <w:r w:rsidRPr="00FC0786">
        <w:rPr>
          <w:b/>
        </w:rPr>
        <w:t>I. Background</w:t>
      </w:r>
    </w:p>
    <w:p w14:paraId="4FE7D454" w14:textId="77777777" w:rsidR="00B42748" w:rsidRPr="00B42748" w:rsidRDefault="00B42748" w:rsidP="00B42748">
      <w:pPr>
        <w:rPr>
          <w:rFonts w:eastAsia="Arial"/>
        </w:rPr>
      </w:pPr>
      <w:r w:rsidRPr="00B42748">
        <w:rPr>
          <w:rFonts w:eastAsia="Arial"/>
        </w:rPr>
        <w:t>From the year of assessment commencing on 1 March 2009, the legislation allows a deduction of any amount included in the taxable income of an employee and the said amount is subsequently refunded by the employee to the employer. This is in terms of section 11(</w:t>
      </w:r>
      <w:proofErr w:type="spellStart"/>
      <w:r w:rsidRPr="00B42748">
        <w:rPr>
          <w:rFonts w:eastAsia="Arial"/>
          <w:i/>
          <w:iCs/>
        </w:rPr>
        <w:t>n</w:t>
      </w:r>
      <w:r w:rsidRPr="00B42748">
        <w:rPr>
          <w:rFonts w:eastAsia="Arial"/>
        </w:rPr>
        <w:t>A</w:t>
      </w:r>
      <w:proofErr w:type="spellEnd"/>
      <w:r w:rsidRPr="00B42748">
        <w:rPr>
          <w:rFonts w:eastAsia="Arial"/>
        </w:rPr>
        <w:t xml:space="preserve">) of the Act which permits a deduction for any amount, including any voluntary award, received or accrued for services rendered, employment or holding of an office, and the amount included in taxable income is subsequently refunded by the recipient. </w:t>
      </w:r>
    </w:p>
    <w:p w14:paraId="1D2B8DEF" w14:textId="77777777" w:rsidR="006E7008" w:rsidRPr="00FC0786" w:rsidRDefault="006E7008" w:rsidP="00FC0786">
      <w:pPr>
        <w:rPr>
          <w:b/>
        </w:rPr>
      </w:pPr>
      <w:r w:rsidRPr="00FC0786">
        <w:rPr>
          <w:b/>
        </w:rPr>
        <w:t>II. Reasons for change</w:t>
      </w:r>
    </w:p>
    <w:p w14:paraId="455B9596" w14:textId="77777777" w:rsidR="00B42748" w:rsidRPr="00B42748" w:rsidRDefault="00B42748" w:rsidP="00B42748">
      <w:pPr>
        <w:rPr>
          <w:color w:val="000000" w:themeColor="text1"/>
        </w:rPr>
      </w:pPr>
      <w:r w:rsidRPr="00B42748">
        <w:rPr>
          <w:color w:val="000000" w:themeColor="text1"/>
        </w:rPr>
        <w:t>Section 11(</w:t>
      </w:r>
      <w:proofErr w:type="spellStart"/>
      <w:r w:rsidRPr="00B42748">
        <w:rPr>
          <w:i/>
          <w:iCs/>
          <w:color w:val="000000" w:themeColor="text1"/>
        </w:rPr>
        <w:t>n</w:t>
      </w:r>
      <w:r w:rsidRPr="00B42748">
        <w:rPr>
          <w:color w:val="000000" w:themeColor="text1"/>
        </w:rPr>
        <w:t>A</w:t>
      </w:r>
      <w:proofErr w:type="spellEnd"/>
      <w:r w:rsidRPr="00B42748">
        <w:rPr>
          <w:color w:val="000000" w:themeColor="text1"/>
        </w:rPr>
        <w:t>) of the Act only permits a deduction for an amount that was refunded by an employee, but only if it was previously included in taxable income. As it stands, the legislation currently reads “as was included in the taxable income of that person and is refunded by that person”. The words “was included” create an interpretation challenge for refunds taking place in the same year of assessment. The law is currently interpreted to mean that prior inclusion in taxable income is required or must take place before the refund can be claimed as a deduction. As a result, the interpretation meaning of section 11(</w:t>
      </w:r>
      <w:proofErr w:type="spellStart"/>
      <w:r w:rsidRPr="00B42748">
        <w:rPr>
          <w:i/>
          <w:iCs/>
          <w:color w:val="000000" w:themeColor="text1"/>
        </w:rPr>
        <w:t>n</w:t>
      </w:r>
      <w:r w:rsidRPr="00B42748">
        <w:rPr>
          <w:color w:val="000000" w:themeColor="text1"/>
        </w:rPr>
        <w:t>A</w:t>
      </w:r>
      <w:proofErr w:type="spellEnd"/>
      <w:r w:rsidRPr="00B42748">
        <w:rPr>
          <w:color w:val="000000" w:themeColor="text1"/>
        </w:rPr>
        <w:t xml:space="preserve">) </w:t>
      </w:r>
      <w:bookmarkStart w:id="15" w:name="_Hlk173318400"/>
      <w:r w:rsidRPr="00B42748">
        <w:rPr>
          <w:color w:val="000000" w:themeColor="text1"/>
        </w:rPr>
        <w:t xml:space="preserve">of the Act </w:t>
      </w:r>
      <w:bookmarkEnd w:id="15"/>
      <w:r w:rsidRPr="00B42748">
        <w:rPr>
          <w:color w:val="000000" w:themeColor="text1"/>
        </w:rPr>
        <w:t>is limited only to refunds made in a year of assessment occurring after initial inclusion in taxable income. If the refund occurs in the same year of assessment as income received, there would be no prior inclusion in taxable income, as taxable income is only determined after the year of assessment has concluded.</w:t>
      </w:r>
    </w:p>
    <w:p w14:paraId="126482D3" w14:textId="77777777" w:rsidR="00B42748" w:rsidRPr="00B42748" w:rsidRDefault="00B42748" w:rsidP="00B42748">
      <w:pPr>
        <w:rPr>
          <w:color w:val="000000" w:themeColor="text1"/>
        </w:rPr>
      </w:pPr>
      <w:r w:rsidRPr="00B42748">
        <w:rPr>
          <w:color w:val="000000" w:themeColor="text1"/>
        </w:rPr>
        <w:t>In the past, SARS has informally allowed payroll administrators to make corrections within the same year of assessment to avoid prejudicing taxpayers. However, with the introduction of monthly payroll reporting, it is now necessary to amend section 11(</w:t>
      </w:r>
      <w:proofErr w:type="spellStart"/>
      <w:r w:rsidRPr="00B42748">
        <w:rPr>
          <w:i/>
          <w:iCs/>
          <w:color w:val="000000" w:themeColor="text1"/>
        </w:rPr>
        <w:t>n</w:t>
      </w:r>
      <w:r w:rsidRPr="00B42748">
        <w:rPr>
          <w:color w:val="000000" w:themeColor="text1"/>
        </w:rPr>
        <w:t>A</w:t>
      </w:r>
      <w:proofErr w:type="spellEnd"/>
      <w:r w:rsidRPr="00B42748">
        <w:rPr>
          <w:color w:val="000000" w:themeColor="text1"/>
        </w:rPr>
        <w:t>) of the legislation. This amendment should explicitly clarify that refunds made within the same year of assessment can be allowed as a deduction under section 11(</w:t>
      </w:r>
      <w:proofErr w:type="spellStart"/>
      <w:r w:rsidRPr="00B42748">
        <w:rPr>
          <w:i/>
          <w:iCs/>
          <w:color w:val="000000" w:themeColor="text1"/>
        </w:rPr>
        <w:t>n</w:t>
      </w:r>
      <w:r w:rsidRPr="00B42748">
        <w:rPr>
          <w:color w:val="000000" w:themeColor="text1"/>
        </w:rPr>
        <w:t>A</w:t>
      </w:r>
      <w:proofErr w:type="spellEnd"/>
      <w:r w:rsidRPr="00B42748">
        <w:rPr>
          <w:color w:val="000000" w:themeColor="text1"/>
        </w:rPr>
        <w:t>) of the Act if the income received is or was included in taxable income.</w:t>
      </w:r>
    </w:p>
    <w:p w14:paraId="748ED71E" w14:textId="77777777" w:rsidR="006E7008" w:rsidRPr="00FC0786" w:rsidRDefault="006E7008" w:rsidP="00FC0786">
      <w:pPr>
        <w:rPr>
          <w:b/>
        </w:rPr>
      </w:pPr>
      <w:r w:rsidRPr="00FC0786">
        <w:rPr>
          <w:b/>
        </w:rPr>
        <w:t>III. Proposal</w:t>
      </w:r>
    </w:p>
    <w:p w14:paraId="094B8C06" w14:textId="672D0968" w:rsidR="00523A65" w:rsidRPr="00523A65" w:rsidRDefault="00523A65" w:rsidP="00523A65">
      <w:r w:rsidRPr="00523A65">
        <w:rPr>
          <w:bCs/>
          <w:lang w:val="en-GB"/>
        </w:rPr>
        <w:t>It is proposed to amend section 11(</w:t>
      </w:r>
      <w:proofErr w:type="spellStart"/>
      <w:r w:rsidRPr="00FD1D93">
        <w:rPr>
          <w:bCs/>
          <w:i/>
          <w:iCs/>
          <w:lang w:val="en-GB"/>
        </w:rPr>
        <w:t>n</w:t>
      </w:r>
      <w:r w:rsidRPr="00523A65">
        <w:rPr>
          <w:bCs/>
          <w:lang w:val="en-GB"/>
        </w:rPr>
        <w:t>A</w:t>
      </w:r>
      <w:proofErr w:type="spellEnd"/>
      <w:r w:rsidRPr="00523A65">
        <w:rPr>
          <w:bCs/>
          <w:lang w:val="en-GB"/>
        </w:rPr>
        <w:t xml:space="preserve">) of the Act to </w:t>
      </w:r>
      <w:r w:rsidRPr="00523A65">
        <w:rPr>
          <w:bCs/>
        </w:rPr>
        <w:t>explicitly state that refunds occurring within the same year of assessment can be allowed as a deduction under section 11(</w:t>
      </w:r>
      <w:proofErr w:type="spellStart"/>
      <w:r w:rsidRPr="00FD1D93">
        <w:rPr>
          <w:bCs/>
          <w:i/>
          <w:iCs/>
        </w:rPr>
        <w:t>n</w:t>
      </w:r>
      <w:r w:rsidRPr="00523A65">
        <w:rPr>
          <w:bCs/>
        </w:rPr>
        <w:t>A</w:t>
      </w:r>
      <w:proofErr w:type="spellEnd"/>
      <w:r w:rsidRPr="00523A65">
        <w:rPr>
          <w:bCs/>
        </w:rPr>
        <w:t>)</w:t>
      </w:r>
      <w:r w:rsidR="00D46CE7" w:rsidRPr="00D46CE7">
        <w:rPr>
          <w:color w:val="000000"/>
        </w:rPr>
        <w:t xml:space="preserve"> </w:t>
      </w:r>
      <w:r w:rsidR="00D46CE7" w:rsidRPr="00D46CE7">
        <w:rPr>
          <w:bCs/>
        </w:rPr>
        <w:t>of the Act</w:t>
      </w:r>
      <w:r w:rsidRPr="00523A65">
        <w:rPr>
          <w:bCs/>
        </w:rPr>
        <w:t xml:space="preserve"> if the income received is included in taxable income.</w:t>
      </w:r>
    </w:p>
    <w:p w14:paraId="3053D752" w14:textId="77777777" w:rsidR="006E7008" w:rsidRPr="00FC0786" w:rsidRDefault="006E7008" w:rsidP="00FC0786">
      <w:pPr>
        <w:rPr>
          <w:b/>
        </w:rPr>
      </w:pPr>
      <w:r w:rsidRPr="00FC0786">
        <w:rPr>
          <w:b/>
        </w:rPr>
        <w:t>IV. Effective date</w:t>
      </w:r>
    </w:p>
    <w:p w14:paraId="182D3C18" w14:textId="2F4B4A92" w:rsidR="00500545" w:rsidRDefault="7D281C35" w:rsidP="00FC0786">
      <w:pPr>
        <w:rPr>
          <w:lang w:val="en-US"/>
        </w:rPr>
      </w:pPr>
      <w:r>
        <w:t>The proposed amendment come</w:t>
      </w:r>
      <w:r w:rsidR="48B27ADF">
        <w:t>s</w:t>
      </w:r>
      <w:r>
        <w:t xml:space="preserve"> into operation on 1 March 2025</w:t>
      </w:r>
      <w:r w:rsidRPr="5FEEF3AA">
        <w:rPr>
          <w:lang w:val="en-US"/>
        </w:rPr>
        <w:t xml:space="preserve"> and appl</w:t>
      </w:r>
      <w:r w:rsidR="76C6FA94" w:rsidRPr="5FEEF3AA">
        <w:rPr>
          <w:lang w:val="en-US"/>
        </w:rPr>
        <w:t>ies</w:t>
      </w:r>
      <w:r w:rsidRPr="5FEEF3AA">
        <w:rPr>
          <w:lang w:val="en-US"/>
        </w:rPr>
        <w:t xml:space="preserve"> in respect of years of assessment commencing on or after that date.</w:t>
      </w:r>
    </w:p>
    <w:p w14:paraId="0B0AA238" w14:textId="77777777" w:rsidR="00864756" w:rsidRDefault="00864756" w:rsidP="00FC0786">
      <w:pPr>
        <w:rPr>
          <w:lang w:val="en-US"/>
        </w:rPr>
      </w:pPr>
    </w:p>
    <w:p w14:paraId="735B4845" w14:textId="77777777" w:rsidR="00864756" w:rsidRDefault="00864756" w:rsidP="00FC0786">
      <w:pPr>
        <w:rPr>
          <w:lang w:val="en-US"/>
        </w:rPr>
      </w:pPr>
    </w:p>
    <w:p w14:paraId="443F3FDC" w14:textId="77777777" w:rsidR="00864756" w:rsidRPr="00864756" w:rsidRDefault="00864756" w:rsidP="00FC0786">
      <w:pPr>
        <w:rPr>
          <w:lang w:val="en-US"/>
        </w:rPr>
      </w:pPr>
    </w:p>
    <w:p w14:paraId="61C91406" w14:textId="3B088E88" w:rsidR="006E7008" w:rsidRPr="005E29F8" w:rsidRDefault="00E5181D" w:rsidP="009709FD">
      <w:pPr>
        <w:pStyle w:val="Heading3"/>
        <w:rPr>
          <w:rFonts w:eastAsia="Calibri"/>
        </w:rPr>
      </w:pPr>
      <w:bookmarkStart w:id="16" w:name="_Toc198158739"/>
      <w:r w:rsidRPr="005E29F8">
        <w:rPr>
          <w:rFonts w:eastAsia="Calibri"/>
        </w:rPr>
        <w:t>CLARIFYING ANTI-AVOIDANCE RULES FOR LOW-INTEREST OR INTEREST-FREE LOANS TO TRUSTS</w:t>
      </w:r>
      <w:bookmarkEnd w:id="16"/>
    </w:p>
    <w:p w14:paraId="7A1205AA" w14:textId="43D22625" w:rsidR="006E7008" w:rsidRPr="006E7008" w:rsidRDefault="006E7008" w:rsidP="00FC0786">
      <w:pPr>
        <w:rPr>
          <w:lang w:val="en-US"/>
        </w:rPr>
      </w:pPr>
      <w:r w:rsidRPr="00E61A61">
        <w:rPr>
          <w:lang w:val="en-US"/>
        </w:rPr>
        <w:t>[</w:t>
      </w:r>
      <w:r w:rsidR="00EA29F9">
        <w:t xml:space="preserve">Applicable provision: </w:t>
      </w:r>
      <w:r w:rsidR="00142E89" w:rsidRPr="00142E89">
        <w:rPr>
          <w:lang w:val="en-US"/>
        </w:rPr>
        <w:t>Section 7C of the Act</w:t>
      </w:r>
      <w:r w:rsidR="00EA29F9">
        <w:t>]</w:t>
      </w:r>
    </w:p>
    <w:p w14:paraId="207042A5" w14:textId="77777777" w:rsidR="006E7008" w:rsidRPr="00FC0786" w:rsidRDefault="006E7008" w:rsidP="00FC0786">
      <w:pPr>
        <w:rPr>
          <w:b/>
        </w:rPr>
      </w:pPr>
      <w:r w:rsidRPr="00FC0786">
        <w:rPr>
          <w:b/>
        </w:rPr>
        <w:t>I. Background</w:t>
      </w:r>
    </w:p>
    <w:p w14:paraId="4E825231" w14:textId="77777777" w:rsidR="00B42748" w:rsidRPr="00B42748" w:rsidRDefault="00B42748" w:rsidP="00B42748">
      <w:r w:rsidRPr="00B42748">
        <w:t xml:space="preserve">The Act contains a trust anti-avoidance measure aimed at curbing the tax-free transfer of wealth to trusts (both local and foreign) using low-interest or interest-free loans, advances or credit arrangements (including cross-border loan arrangements). In terms of the trust anti-avoidance measure, interest incurred by the trust at an interest rate lower than the official rate of interest in respect of a loan, advance or credit made to the trust is treated as ongoing and annual donation made by a natural person or a company that is a connected person in relation to that natural person, on the last day of the year of assessment of that trust. The amount of the deemed donation made by the natural person to the trust is determined as the difference between the interest charged on the loan, advance or credit and the interest that would have been payable by the trust had the interest been charged at the official rate of interest. </w:t>
      </w:r>
    </w:p>
    <w:p w14:paraId="46C2B9EC" w14:textId="78980348" w:rsidR="00824441" w:rsidRPr="001361EB" w:rsidRDefault="00B42748" w:rsidP="00B42748">
      <w:r w:rsidRPr="00B42748">
        <w:t>Similarly, the transfer pricing rules in the Act also apply to counter the mispricing of any transaction, operation, scheme, agreement or understanding (including cross-border loan arrangements). In terms of a trust, the transfer pricing rules determines that any cross-border loan arrangement between a person that is a resident and any other person that is a connected person and is not a resident (including a foreign trust) would be an affected transaction subject to tax if that cross-border loan arrangement is different from any term or condition (including interest rates) that would have existed had those persons been independent persons dealing at arm’s length</w:t>
      </w:r>
      <w:r w:rsidR="7094928D">
        <w:t xml:space="preserve">. </w:t>
      </w:r>
    </w:p>
    <w:p w14:paraId="20591C29" w14:textId="77777777" w:rsidR="006E7008" w:rsidRPr="00FC0786" w:rsidRDefault="006E7008" w:rsidP="00FC0786">
      <w:pPr>
        <w:rPr>
          <w:b/>
        </w:rPr>
      </w:pPr>
      <w:r w:rsidRPr="00FC0786">
        <w:rPr>
          <w:b/>
        </w:rPr>
        <w:t>II. Reasons for change</w:t>
      </w:r>
    </w:p>
    <w:p w14:paraId="4A7B07C9" w14:textId="77777777" w:rsidR="004D4257" w:rsidRPr="004D4257" w:rsidRDefault="004D4257" w:rsidP="004D4257">
      <w:r w:rsidRPr="004D4257">
        <w:t xml:space="preserve">To avoid the possibility of an overlap or double taxation, the trust anti-avoidance measures specifically exclude a low- or no-interest loan arrangement that constitutes an affected transaction that is subject to the transfer pricing rules contained in the Act. </w:t>
      </w:r>
    </w:p>
    <w:p w14:paraId="6CE680A2" w14:textId="77777777" w:rsidR="004D4257" w:rsidRPr="004D4257" w:rsidRDefault="004D4257" w:rsidP="004D4257">
      <w:r w:rsidRPr="004D4257">
        <w:t xml:space="preserve">At issue is that the above-mentioned exclusion does not effectively address the interaction between the trust anti-avoidance measures and transfer pricing rules where the arm’s length interest rate is less than the official rate on these cross-border loan arrangements. </w:t>
      </w:r>
    </w:p>
    <w:p w14:paraId="67C143A1" w14:textId="77777777" w:rsidR="001361EB" w:rsidRPr="001361EB" w:rsidRDefault="001361EB" w:rsidP="001361EB">
      <w:pPr>
        <w:rPr>
          <w:i/>
          <w:u w:val="single"/>
        </w:rPr>
      </w:pPr>
      <w:r w:rsidRPr="001361EB">
        <w:rPr>
          <w:i/>
          <w:u w:val="single"/>
        </w:rPr>
        <w:t>Example</w:t>
      </w:r>
    </w:p>
    <w:p w14:paraId="7C4C5F8F" w14:textId="07CB247D" w:rsidR="001361EB" w:rsidRPr="001361EB" w:rsidRDefault="001361EB" w:rsidP="001361EB">
      <w:r w:rsidRPr="001361EB">
        <w:t>X, a resident natural person, makes a non-arm’s length interest free cross-border loan to a connected non-resident trust of R10 million and a tax benefit is derived. Had the trust borrowed the funds from a financial institution, it would have paid interest at a market-related rate of 5</w:t>
      </w:r>
      <w:r w:rsidR="001C0BB7">
        <w:t xml:space="preserve"> per cent</w:t>
      </w:r>
      <w:r w:rsidRPr="001361EB">
        <w:t xml:space="preserve"> a year (R10 million x 5</w:t>
      </w:r>
      <w:bookmarkStart w:id="17" w:name="_Hlk173318650"/>
      <w:r w:rsidRPr="001361EB">
        <w:t xml:space="preserve">% </w:t>
      </w:r>
      <w:bookmarkEnd w:id="17"/>
      <w:r w:rsidRPr="001361EB">
        <w:t>= R500 000). The official rate of interest for tax purposes is 8</w:t>
      </w:r>
      <w:r w:rsidR="005E70A6" w:rsidRPr="005E70A6">
        <w:t xml:space="preserve"> per cent</w:t>
      </w:r>
      <w:r w:rsidRPr="001361EB">
        <w:t xml:space="preserve">. In light of the fact that this is a non-arm’s length transaction, the cross-border loan is subject to the transfer pricing rules of </w:t>
      </w:r>
      <w:r w:rsidR="00416BD5">
        <w:t>s</w:t>
      </w:r>
      <w:r w:rsidRPr="001361EB">
        <w:t xml:space="preserve">ection 31 of the Act which essentially results in X having a primary adjustment to its taxable income of R500 000 in terms of </w:t>
      </w:r>
      <w:r w:rsidR="00416BD5">
        <w:t>s</w:t>
      </w:r>
      <w:r w:rsidRPr="001361EB">
        <w:t>ection 31(2)</w:t>
      </w:r>
      <w:r w:rsidR="009961E4">
        <w:t xml:space="preserve"> of the Act </w:t>
      </w:r>
      <w:r w:rsidRPr="001361EB">
        <w:t xml:space="preserve">and a secondary adjustment in terms of </w:t>
      </w:r>
      <w:r w:rsidR="00416BD5">
        <w:t>s</w:t>
      </w:r>
      <w:r w:rsidRPr="001361EB">
        <w:t>ection 31(3)</w:t>
      </w:r>
      <w:r w:rsidR="009961E4">
        <w:t xml:space="preserve"> of the Act</w:t>
      </w:r>
      <w:r w:rsidRPr="001361EB">
        <w:t xml:space="preserve">, a deemed donation of R500 000, as X is a natural person. </w:t>
      </w:r>
    </w:p>
    <w:p w14:paraId="18FAFC9E" w14:textId="13E8B016" w:rsidR="001361EB" w:rsidRPr="001361EB" w:rsidRDefault="7094928D" w:rsidP="001361EB">
      <w:r>
        <w:t>As it was a non-arm’s length transaction the anti-avoidance exclusion of section 7C(5)(</w:t>
      </w:r>
      <w:r w:rsidRPr="0BFF9FE6">
        <w:rPr>
          <w:i/>
          <w:iCs/>
        </w:rPr>
        <w:t>e</w:t>
      </w:r>
      <w:r>
        <w:t xml:space="preserve">) of the Act is applied. Had the transfer pricing rules not applied, in terms of </w:t>
      </w:r>
      <w:r w:rsidR="78AC4A14">
        <w:t>s</w:t>
      </w:r>
      <w:r>
        <w:t xml:space="preserve">ection 7C of the Act, the taxpayer would have had to declare a deemed donation of R800 000 (R10 </w:t>
      </w:r>
      <w:r w:rsidR="1A0E1454">
        <w:t>m</w:t>
      </w:r>
      <w:r>
        <w:t>illion x 8%).</w:t>
      </w:r>
    </w:p>
    <w:p w14:paraId="6FBA030D" w14:textId="0AEC25F6" w:rsidR="001361EB" w:rsidRPr="001361EB" w:rsidRDefault="7094928D" w:rsidP="001361EB">
      <w:r>
        <w:t>The R300 000 difference between the deemed donation value for the trust anti-avoidance measure</w:t>
      </w:r>
      <w:r w:rsidR="419EA9F6">
        <w:t xml:space="preserve"> </w:t>
      </w:r>
      <w:r>
        <w:t xml:space="preserve">in terms of </w:t>
      </w:r>
      <w:r w:rsidR="055B4742">
        <w:t>s</w:t>
      </w:r>
      <w:r>
        <w:t xml:space="preserve">ection 7C of the Act and the </w:t>
      </w:r>
      <w:r w:rsidR="107EDB81">
        <w:t>adjustment</w:t>
      </w:r>
      <w:r w:rsidR="242DEFC6">
        <w:t xml:space="preserve"> under</w:t>
      </w:r>
      <w:r>
        <w:t xml:space="preserve"> </w:t>
      </w:r>
      <w:r w:rsidR="055B4742">
        <w:t>s</w:t>
      </w:r>
      <w:r>
        <w:t>ection 31 of the Act is an unintended anomaly in the interaction between the trust anti-avoidance measures and transfer pricing rules</w:t>
      </w:r>
      <w:r w:rsidR="35B1CA60">
        <w:t>.</w:t>
      </w:r>
      <w:r>
        <w:t xml:space="preserve"> </w:t>
      </w:r>
      <w:r w:rsidR="35B1CA60">
        <w:t>This</w:t>
      </w:r>
      <w:r>
        <w:t xml:space="preserve"> can create structuring opportunities that if left without legislative intervention, could lead to the erosion of the tax base.</w:t>
      </w:r>
    </w:p>
    <w:p w14:paraId="2F80E920" w14:textId="77777777" w:rsidR="006E7008" w:rsidRPr="00FC0786" w:rsidRDefault="006E7008" w:rsidP="00FC0786">
      <w:pPr>
        <w:rPr>
          <w:b/>
        </w:rPr>
      </w:pPr>
      <w:r w:rsidRPr="00FC0786">
        <w:rPr>
          <w:b/>
        </w:rPr>
        <w:t>III. Proposal</w:t>
      </w:r>
    </w:p>
    <w:p w14:paraId="118F7115" w14:textId="5BA4E005" w:rsidR="001361EB" w:rsidRPr="001361EB" w:rsidRDefault="7094928D" w:rsidP="001361EB">
      <w:r w:rsidRPr="4DA829A6">
        <w:t xml:space="preserve">To address the anomaly and to clarify the policy intent of the trust anti-avoidance measure regarding the tax-free transfer of wealth to a trust using a low-interest or interest-free loan, advance or credit arrangement, any improper or undue </w:t>
      </w:r>
      <w:r w:rsidR="3178525C" w:rsidRPr="4DA829A6">
        <w:t>tax avoidance</w:t>
      </w:r>
      <w:r w:rsidRPr="4DA829A6">
        <w:t xml:space="preserve"> opportunities should be </w:t>
      </w:r>
      <w:r w:rsidR="7FC2E68E" w:rsidRPr="4DA829A6">
        <w:t>addressed</w:t>
      </w:r>
      <w:r w:rsidRPr="4DA829A6">
        <w:t>.</w:t>
      </w:r>
    </w:p>
    <w:p w14:paraId="46F1E581" w14:textId="457D4737" w:rsidR="001361EB" w:rsidRPr="001361EB" w:rsidRDefault="7094928D" w:rsidP="001361EB">
      <w:r>
        <w:t xml:space="preserve">It is proposed that an amendment be made to ensure that the exemption of the trust anti-avoidance measure in respect of a loan, advance or credit that constitutes an affected transaction, as defined in the transfer pricing provisions, only applies to the extent of an adjustment being made in terms of the transfer pricing provisions. </w:t>
      </w:r>
    </w:p>
    <w:p w14:paraId="5D27D593" w14:textId="184A01F1" w:rsidR="006E7008" w:rsidRPr="00FC0786" w:rsidRDefault="006E7008" w:rsidP="00FC0786">
      <w:pPr>
        <w:rPr>
          <w:b/>
        </w:rPr>
      </w:pPr>
      <w:r w:rsidRPr="00FC0786">
        <w:rPr>
          <w:b/>
        </w:rPr>
        <w:t>IV. Effective date</w:t>
      </w:r>
    </w:p>
    <w:p w14:paraId="33856344" w14:textId="0C861FCB" w:rsidR="001361EB" w:rsidRPr="00F504D3" w:rsidRDefault="7094928D" w:rsidP="001361EB">
      <w:r w:rsidRPr="4DA829A6">
        <w:t>The proposed amendment come</w:t>
      </w:r>
      <w:r w:rsidR="4B8ABC50" w:rsidRPr="4DA829A6">
        <w:t>s</w:t>
      </w:r>
      <w:r w:rsidRPr="4DA829A6">
        <w:t xml:space="preserve"> into operation on </w:t>
      </w:r>
      <w:r w:rsidR="7DAEAEDF" w:rsidRPr="4DA829A6">
        <w:t>1 January 2025 and appl</w:t>
      </w:r>
      <w:r w:rsidR="14175E6D" w:rsidRPr="4DA829A6">
        <w:t>ies</w:t>
      </w:r>
      <w:r w:rsidR="7DAEAEDF" w:rsidRPr="4DA829A6">
        <w:t xml:space="preserve"> in respect of years of </w:t>
      </w:r>
      <w:r w:rsidR="77E3E9B7" w:rsidRPr="4DA829A6">
        <w:t>assessment commencing on or after that date.</w:t>
      </w:r>
    </w:p>
    <w:p w14:paraId="1EA5F40E" w14:textId="77777777" w:rsidR="000F7EB3" w:rsidRPr="006E7008" w:rsidRDefault="000F7EB3" w:rsidP="00FC0786">
      <w:pPr>
        <w:rPr>
          <w:lang w:val="en-US"/>
        </w:rPr>
      </w:pPr>
    </w:p>
    <w:p w14:paraId="521DB3AC" w14:textId="02FCD540" w:rsidR="00171A5C" w:rsidRPr="005E29F8" w:rsidRDefault="00EA29F9" w:rsidP="009709FD">
      <w:pPr>
        <w:pStyle w:val="Heading3"/>
      </w:pPr>
      <w:bookmarkStart w:id="18" w:name="_Toc140844981"/>
      <w:bookmarkStart w:id="19" w:name="_Toc198158740"/>
      <w:r w:rsidRPr="005E29F8">
        <w:t xml:space="preserve">TRANSFERS BETWEEN RETIREMENT FUNDS BY MEMBERS WHO </w:t>
      </w:r>
      <w:bookmarkEnd w:id="18"/>
      <w:r w:rsidR="00443C3A">
        <w:t>REACHED NORMAL RETIREMENT AGE BEFORE RETIREMENT DATE</w:t>
      </w:r>
      <w:bookmarkEnd w:id="19"/>
    </w:p>
    <w:p w14:paraId="46D8AC57" w14:textId="6886448D" w:rsidR="000F7EB3" w:rsidRDefault="000F7EB3" w:rsidP="00FC0786">
      <w:pPr>
        <w:rPr>
          <w:lang w:val="en-US"/>
        </w:rPr>
      </w:pPr>
      <w:r>
        <w:t>[</w:t>
      </w:r>
      <w:r w:rsidR="00EA29F9" w:rsidRPr="00EA29F9">
        <w:t xml:space="preserve">Applicable provisions: </w:t>
      </w:r>
      <w:r w:rsidR="000E60B1">
        <w:t xml:space="preserve">Definition of “retirement annuity fund” in section 1, </w:t>
      </w:r>
      <w:r w:rsidR="003A7B87">
        <w:t>p</w:t>
      </w:r>
      <w:r w:rsidR="003148A0" w:rsidRPr="003148A0">
        <w:t>aragraph</w:t>
      </w:r>
      <w:r w:rsidR="000E60B1">
        <w:t>s 2(1)(</w:t>
      </w:r>
      <w:r w:rsidR="000E60B1" w:rsidRPr="009005CF">
        <w:rPr>
          <w:i/>
          <w:iCs/>
        </w:rPr>
        <w:t>c</w:t>
      </w:r>
      <w:r w:rsidR="000E60B1">
        <w:t>) and</w:t>
      </w:r>
      <w:r w:rsidR="003148A0" w:rsidRPr="003148A0">
        <w:t xml:space="preserve"> 6A of the Second Schedule to the Act</w:t>
      </w:r>
      <w:r w:rsidRPr="00EA0C73">
        <w:rPr>
          <w:lang w:val="en-US"/>
        </w:rPr>
        <w:t>]</w:t>
      </w:r>
    </w:p>
    <w:p w14:paraId="01586EBC" w14:textId="77777777" w:rsidR="00F5429B" w:rsidRPr="00FC0786" w:rsidRDefault="000F7EB3" w:rsidP="00FC0786">
      <w:pPr>
        <w:rPr>
          <w:b/>
        </w:rPr>
      </w:pPr>
      <w:r w:rsidRPr="00FC0786">
        <w:rPr>
          <w:b/>
        </w:rPr>
        <w:t>I. Background</w:t>
      </w:r>
    </w:p>
    <w:p w14:paraId="684EA415" w14:textId="107E5D5B" w:rsidR="003148A0" w:rsidRPr="003148A0" w:rsidRDefault="4DD9169F" w:rsidP="003148A0">
      <w:pPr>
        <w:rPr>
          <w:color w:val="000000"/>
        </w:rPr>
      </w:pPr>
      <w:r w:rsidRPr="0BFF9FE6">
        <w:rPr>
          <w:color w:val="000000" w:themeColor="text1"/>
        </w:rPr>
        <w:t>P</w:t>
      </w:r>
      <w:r w:rsidR="6AA555F6" w:rsidRPr="0BFF9FE6">
        <w:rPr>
          <w:color w:val="000000" w:themeColor="text1"/>
        </w:rPr>
        <w:t>aragraph 2(1)(</w:t>
      </w:r>
      <w:r w:rsidR="6AA555F6" w:rsidRPr="0BFF9FE6">
        <w:rPr>
          <w:i/>
          <w:iCs/>
          <w:color w:val="000000" w:themeColor="text1"/>
        </w:rPr>
        <w:t>c</w:t>
      </w:r>
      <w:r w:rsidR="6AA555F6" w:rsidRPr="0BFF9FE6">
        <w:rPr>
          <w:color w:val="000000" w:themeColor="text1"/>
        </w:rPr>
        <w:t xml:space="preserve">) of the Second Schedule to the Act specifies the amount </w:t>
      </w:r>
      <w:r w:rsidR="33A555F4" w:rsidRPr="0BFF9FE6">
        <w:rPr>
          <w:color w:val="000000" w:themeColor="text1"/>
        </w:rPr>
        <w:t xml:space="preserve">to be </w:t>
      </w:r>
      <w:r w:rsidR="6AA555F6" w:rsidRPr="0BFF9FE6">
        <w:rPr>
          <w:color w:val="000000" w:themeColor="text1"/>
        </w:rPr>
        <w:t>included in gross income for any amount transferred for the benefit of a member of a retirement fund scheme on or after normal retirement age but before the retirement date. This amount is reduced by any allowable deductions under paragraph 6A of the Second Schedule to the Act.</w:t>
      </w:r>
    </w:p>
    <w:p w14:paraId="4B57D68A" w14:textId="3ABC5150" w:rsidR="003148A0" w:rsidRDefault="003148A0" w:rsidP="4DA829A6">
      <w:pPr>
        <w:rPr>
          <w:color w:val="000000"/>
        </w:rPr>
      </w:pPr>
      <w:r w:rsidRPr="4DA829A6">
        <w:rPr>
          <w:color w:val="000000" w:themeColor="text1"/>
        </w:rPr>
        <w:t>With effect</w:t>
      </w:r>
      <w:r w:rsidR="00103C36" w:rsidRPr="4DA829A6">
        <w:rPr>
          <w:color w:val="000000" w:themeColor="text1"/>
        </w:rPr>
        <w:t xml:space="preserve"> from</w:t>
      </w:r>
      <w:r w:rsidRPr="4DA829A6">
        <w:rPr>
          <w:color w:val="000000" w:themeColor="text1"/>
        </w:rPr>
        <w:t xml:space="preserve"> 1 March 2024, paragraph 6A </w:t>
      </w:r>
      <w:r w:rsidR="004B16A2" w:rsidRPr="4DA829A6">
        <w:rPr>
          <w:color w:val="000000" w:themeColor="text1"/>
        </w:rPr>
        <w:t xml:space="preserve">of the Second Schedule to the Act </w:t>
      </w:r>
      <w:r w:rsidRPr="4DA829A6">
        <w:rPr>
          <w:color w:val="000000" w:themeColor="text1"/>
        </w:rPr>
        <w:t>added to the list of deductions</w:t>
      </w:r>
      <w:r w:rsidR="004B16A2" w:rsidRPr="4DA829A6">
        <w:rPr>
          <w:color w:val="000000" w:themeColor="text1"/>
        </w:rPr>
        <w:t>,</w:t>
      </w:r>
      <w:r w:rsidRPr="4DA829A6">
        <w:rPr>
          <w:color w:val="000000" w:themeColor="text1"/>
        </w:rPr>
        <w:t xml:space="preserve"> tax-neutral transfers between pension or provident funds to another pension or provident fund for members who have reached normal retirement age (as contained in the fund's rules) but have not yet elected to retire</w:t>
      </w:r>
      <w:r w:rsidR="00B53064" w:rsidRPr="4DA829A6">
        <w:rPr>
          <w:color w:val="000000" w:themeColor="text1"/>
        </w:rPr>
        <w:t>.</w:t>
      </w:r>
      <w:r w:rsidRPr="4DA829A6">
        <w:rPr>
          <w:color w:val="000000" w:themeColor="text1"/>
        </w:rPr>
        <w:t xml:space="preserve"> </w:t>
      </w:r>
      <w:r w:rsidR="00996918" w:rsidRPr="4DA829A6">
        <w:rPr>
          <w:color w:val="000000" w:themeColor="text1"/>
        </w:rPr>
        <w:t xml:space="preserve">This </w:t>
      </w:r>
      <w:r w:rsidRPr="4DA829A6">
        <w:rPr>
          <w:color w:val="000000" w:themeColor="text1"/>
        </w:rPr>
        <w:t>allow</w:t>
      </w:r>
      <w:r w:rsidR="00996918" w:rsidRPr="4DA829A6">
        <w:rPr>
          <w:color w:val="000000" w:themeColor="text1"/>
        </w:rPr>
        <w:t>s</w:t>
      </w:r>
      <w:r w:rsidRPr="4DA829A6">
        <w:rPr>
          <w:color w:val="000000" w:themeColor="text1"/>
        </w:rPr>
        <w:t xml:space="preserve"> them to transfer their retirement interest tax-free in the event of an involuntary transfer.</w:t>
      </w:r>
    </w:p>
    <w:p w14:paraId="0991CDCE" w14:textId="022B1F2E" w:rsidR="000F7EB3" w:rsidRPr="00FC0786" w:rsidRDefault="000F7EB3" w:rsidP="003148A0">
      <w:pPr>
        <w:rPr>
          <w:b/>
        </w:rPr>
      </w:pPr>
      <w:r w:rsidRPr="00FC0786">
        <w:rPr>
          <w:b/>
        </w:rPr>
        <w:t>II. Reasons for change</w:t>
      </w:r>
    </w:p>
    <w:p w14:paraId="61AA907B" w14:textId="2FFC5189" w:rsidR="00FF39D3" w:rsidRDefault="6AA555F6" w:rsidP="00FC0786">
      <w:r w:rsidRPr="4DA829A6">
        <w:t xml:space="preserve">Government seeks to address an inconsistency in the law, whereby tax-free transfers are allowed for </w:t>
      </w:r>
      <w:r w:rsidR="377D36D6" w:rsidRPr="4DA829A6">
        <w:t>certain</w:t>
      </w:r>
      <w:r w:rsidRPr="4DA829A6">
        <w:t xml:space="preserve"> transfers between pension, or provident funds, but not for retirement annuity fund members who transfer to another retirement annuity fund. Specifically, members who have reached normal retirement age but have not elected to retire and are subject to tax on these transfers. </w:t>
      </w:r>
    </w:p>
    <w:p w14:paraId="62482724" w14:textId="77777777" w:rsidR="00864756" w:rsidRDefault="00864756" w:rsidP="00FC0786"/>
    <w:p w14:paraId="6721D905" w14:textId="44FE4CA2" w:rsidR="000F7EB3" w:rsidRPr="00FC0786" w:rsidRDefault="000F7EB3" w:rsidP="00FC0786">
      <w:pPr>
        <w:rPr>
          <w:b/>
        </w:rPr>
      </w:pPr>
      <w:r w:rsidRPr="00FC0786">
        <w:rPr>
          <w:b/>
        </w:rPr>
        <w:t>III. Proposal</w:t>
      </w:r>
    </w:p>
    <w:p w14:paraId="7A2E4257" w14:textId="6674FB06" w:rsidR="003148A0" w:rsidRPr="003148A0" w:rsidRDefault="6AA555F6" w:rsidP="003148A0">
      <w:pPr>
        <w:rPr>
          <w:color w:val="000000"/>
        </w:rPr>
      </w:pPr>
      <w:r w:rsidRPr="0BFF9FE6">
        <w:rPr>
          <w:color w:val="000000" w:themeColor="text1"/>
        </w:rPr>
        <w:t xml:space="preserve">To ensure parity amongst members of retirement annuity funds who have reached normal retirement age in terms of the fund rules but have not yet opted to retire from their respective fund, the following is proposed: </w:t>
      </w:r>
    </w:p>
    <w:p w14:paraId="5BB3F7BE" w14:textId="65AEBF27" w:rsidR="003148A0" w:rsidRPr="003148A0" w:rsidRDefault="003148A0" w:rsidP="00B145CB">
      <w:pPr>
        <w:numPr>
          <w:ilvl w:val="0"/>
          <w:numId w:val="20"/>
        </w:numPr>
        <w:rPr>
          <w:color w:val="000000"/>
        </w:rPr>
      </w:pPr>
      <w:r w:rsidRPr="003148A0">
        <w:rPr>
          <w:color w:val="000000"/>
        </w:rPr>
        <w:t>that members of retirement annuity funds who have reached normal retirement age as stipulated in the fund rules, but have not yet opted to retire from said fund, must have the ability to have their retirement interest transferred from a retirement annuity fund into another retirement annuity fund without incurring a tax liability;</w:t>
      </w:r>
      <w:r w:rsidR="00BD7AE6">
        <w:rPr>
          <w:color w:val="000000"/>
        </w:rPr>
        <w:t xml:space="preserve"> and </w:t>
      </w:r>
      <w:r w:rsidRPr="003148A0">
        <w:rPr>
          <w:color w:val="000000"/>
        </w:rPr>
        <w:t xml:space="preserve"> </w:t>
      </w:r>
    </w:p>
    <w:p w14:paraId="61C1CEE1" w14:textId="3F0164F6" w:rsidR="0BFF9FE6" w:rsidRPr="00864756" w:rsidRDefault="6AA555F6" w:rsidP="00864756">
      <w:pPr>
        <w:numPr>
          <w:ilvl w:val="0"/>
          <w:numId w:val="20"/>
        </w:numPr>
        <w:rPr>
          <w:color w:val="000000"/>
        </w:rPr>
      </w:pPr>
      <w:r w:rsidRPr="0BFF9FE6">
        <w:rPr>
          <w:color w:val="000000" w:themeColor="text1"/>
        </w:rPr>
        <w:t>that the value of the retirement interest, including any growth thereon, will remain ring-fenced and preserved in the receiving retirement annuity fund until the member elects to retire from that fund subject to fund rules. This means that these members will not be entitled to the payment of a withdrawal benefit in respect of the amount transferred.</w:t>
      </w:r>
    </w:p>
    <w:p w14:paraId="53949DAF" w14:textId="77777777" w:rsidR="000F7EB3" w:rsidRPr="00FC0786" w:rsidRDefault="000F7EB3" w:rsidP="00FC0786">
      <w:pPr>
        <w:rPr>
          <w:b/>
        </w:rPr>
      </w:pPr>
      <w:r w:rsidRPr="00FC0786">
        <w:rPr>
          <w:b/>
        </w:rPr>
        <w:t>IV. Effective date</w:t>
      </w:r>
    </w:p>
    <w:p w14:paraId="0D48ABF0" w14:textId="0E891AEC" w:rsidR="003148A0" w:rsidRPr="003148A0" w:rsidRDefault="5FBE3A1E" w:rsidP="003148A0">
      <w:pPr>
        <w:rPr>
          <w:rFonts w:cs="Arial"/>
          <w:lang w:val="en-US"/>
        </w:rPr>
      </w:pPr>
      <w:bookmarkStart w:id="20" w:name="_Hlk67496106"/>
      <w:r w:rsidRPr="5FEEF3AA">
        <w:rPr>
          <w:rFonts w:cs="Arial"/>
        </w:rPr>
        <w:t>The proposed amendment come</w:t>
      </w:r>
      <w:r w:rsidR="427765FC" w:rsidRPr="5FEEF3AA">
        <w:rPr>
          <w:rFonts w:cs="Arial"/>
        </w:rPr>
        <w:t>s</w:t>
      </w:r>
      <w:r w:rsidRPr="5FEEF3AA">
        <w:rPr>
          <w:rFonts w:cs="Arial"/>
        </w:rPr>
        <w:t xml:space="preserve"> into operation on 1 March 2025</w:t>
      </w:r>
      <w:r w:rsidRPr="5FEEF3AA">
        <w:rPr>
          <w:rFonts w:cs="Arial"/>
          <w:lang w:val="en-US"/>
        </w:rPr>
        <w:t xml:space="preserve"> and appl</w:t>
      </w:r>
      <w:r w:rsidR="450DED92" w:rsidRPr="5FEEF3AA">
        <w:rPr>
          <w:rFonts w:cs="Arial"/>
          <w:lang w:val="en-US"/>
        </w:rPr>
        <w:t>ies</w:t>
      </w:r>
      <w:r w:rsidRPr="5FEEF3AA">
        <w:rPr>
          <w:rFonts w:cs="Arial"/>
          <w:lang w:val="en-US"/>
        </w:rPr>
        <w:t xml:space="preserve"> in respect of years of assessment commencing on or after that date.</w:t>
      </w:r>
    </w:p>
    <w:bookmarkEnd w:id="20"/>
    <w:p w14:paraId="4442F0FE" w14:textId="77777777" w:rsidR="009A1FE6" w:rsidRPr="009A1FE6" w:rsidRDefault="009A1FE6" w:rsidP="00665E23">
      <w:pPr>
        <w:rPr>
          <w:rFonts w:cs="Arial"/>
          <w:lang w:val="en-US"/>
        </w:rPr>
      </w:pPr>
    </w:p>
    <w:p w14:paraId="5D409DE3" w14:textId="197950F1" w:rsidR="00ED2212" w:rsidRDefault="00E972D0" w:rsidP="00B51EAC">
      <w:pPr>
        <w:pStyle w:val="NoSpacing"/>
        <w:jc w:val="center"/>
        <w:rPr>
          <w:rFonts w:ascii="Arial" w:eastAsia="Times New Roman" w:hAnsi="Arial" w:cs="Arial"/>
          <w:szCs w:val="24"/>
          <w:lang w:val="en-US"/>
        </w:rPr>
      </w:pPr>
      <w:r w:rsidRPr="00E972D0">
        <w:rPr>
          <w:rFonts w:ascii="Arial" w:eastAsia="Times New Roman" w:hAnsi="Arial" w:cs="Arial"/>
          <w:szCs w:val="24"/>
          <w:lang w:val="en-US"/>
        </w:rPr>
        <w:t>_________________________</w:t>
      </w:r>
      <w:bookmarkEnd w:id="9"/>
      <w:bookmarkEnd w:id="10"/>
    </w:p>
    <w:p w14:paraId="12F5E3EF" w14:textId="77777777" w:rsidR="00ED2212" w:rsidRDefault="00ED2212" w:rsidP="00F2792F">
      <w:pPr>
        <w:pStyle w:val="NoSpacing"/>
        <w:spacing w:before="240"/>
        <w:jc w:val="center"/>
        <w:rPr>
          <w:rFonts w:ascii="Arial" w:eastAsia="Times New Roman" w:hAnsi="Arial" w:cs="Arial"/>
          <w:szCs w:val="24"/>
          <w:lang w:val="en-US"/>
        </w:rPr>
      </w:pPr>
    </w:p>
    <w:p w14:paraId="4DC1F757" w14:textId="77777777" w:rsidR="00824441" w:rsidRPr="00F2792F" w:rsidRDefault="00824441" w:rsidP="00F2792F">
      <w:pPr>
        <w:pStyle w:val="NoSpacing"/>
        <w:spacing w:before="240"/>
        <w:jc w:val="center"/>
        <w:rPr>
          <w:rFonts w:ascii="Arial" w:eastAsia="Times New Roman" w:hAnsi="Arial" w:cs="Arial"/>
          <w:szCs w:val="24"/>
          <w:lang w:val="en-US"/>
        </w:rPr>
      </w:pPr>
    </w:p>
    <w:p w14:paraId="7E3612D3" w14:textId="77777777" w:rsidR="00D169AC" w:rsidRPr="00D169AC" w:rsidRDefault="00D169AC" w:rsidP="002D5681">
      <w:pPr>
        <w:pStyle w:val="Heading2"/>
      </w:pPr>
      <w:bookmarkStart w:id="21" w:name="_Toc46433519"/>
      <w:bookmarkStart w:id="22" w:name="_Toc198158741"/>
      <w:r w:rsidRPr="003177DB">
        <w:t>INCOME TAX: BUSINESS (GENERAL)</w:t>
      </w:r>
      <w:bookmarkEnd w:id="21"/>
      <w:bookmarkEnd w:id="22"/>
    </w:p>
    <w:p w14:paraId="7B7D2208" w14:textId="77777777" w:rsidR="0020322C" w:rsidRPr="00FC0786" w:rsidRDefault="0020322C" w:rsidP="00FC0786">
      <w:pPr>
        <w:pStyle w:val="ListParagraph"/>
        <w:numPr>
          <w:ilvl w:val="0"/>
          <w:numId w:val="17"/>
        </w:numPr>
        <w:rPr>
          <w:b/>
          <w:vanish/>
          <w:lang w:val="en-US"/>
        </w:rPr>
      </w:pPr>
      <w:bookmarkStart w:id="23" w:name="_Toc14437860"/>
      <w:bookmarkStart w:id="24" w:name="_Toc14440197"/>
      <w:bookmarkStart w:id="25" w:name="_Toc14440254"/>
      <w:bookmarkStart w:id="26" w:name="_Toc14441788"/>
      <w:bookmarkStart w:id="27" w:name="_Toc24123763"/>
      <w:bookmarkStart w:id="28" w:name="_Toc29908416"/>
      <w:bookmarkStart w:id="29" w:name="_Toc29908465"/>
      <w:bookmarkStart w:id="30" w:name="_Toc29909362"/>
      <w:bookmarkStart w:id="31" w:name="_Toc29911408"/>
      <w:bookmarkStart w:id="32" w:name="_Toc30067409"/>
      <w:bookmarkStart w:id="33" w:name="_Toc30067483"/>
      <w:bookmarkStart w:id="34" w:name="_Toc30067622"/>
      <w:bookmarkStart w:id="35" w:name="_Toc30069376"/>
      <w:bookmarkStart w:id="36" w:name="_Toc30169227"/>
      <w:bookmarkStart w:id="37" w:name="_Toc44513688"/>
      <w:bookmarkStart w:id="38" w:name="_Toc44513738"/>
      <w:bookmarkStart w:id="39" w:name="_Toc44664623"/>
      <w:bookmarkStart w:id="40" w:name="_Toc44664665"/>
      <w:bookmarkStart w:id="41" w:name="_Toc44690621"/>
      <w:bookmarkStart w:id="42" w:name="_Toc44690667"/>
      <w:bookmarkStart w:id="43" w:name="_Toc44690822"/>
      <w:bookmarkStart w:id="44" w:name="_Toc45045410"/>
      <w:bookmarkStart w:id="45" w:name="_Toc45051010"/>
      <w:bookmarkStart w:id="46" w:name="_Toc45051055"/>
      <w:bookmarkStart w:id="47" w:name="_Toc45051808"/>
      <w:bookmarkStart w:id="48" w:name="_Toc45051853"/>
      <w:bookmarkStart w:id="49" w:name="_Toc45492813"/>
      <w:bookmarkStart w:id="50" w:name="_Toc45492859"/>
      <w:bookmarkStart w:id="51" w:name="_Toc45526711"/>
      <w:bookmarkStart w:id="52" w:name="_Toc45540314"/>
      <w:bookmarkStart w:id="53" w:name="_Toc45540366"/>
      <w:bookmarkStart w:id="54" w:name="_Toc45541191"/>
      <w:bookmarkStart w:id="55" w:name="_Toc45545714"/>
      <w:bookmarkStart w:id="56" w:name="_Toc45545766"/>
      <w:bookmarkStart w:id="57" w:name="_Toc45621765"/>
      <w:bookmarkStart w:id="58" w:name="_Toc45636834"/>
      <w:bookmarkStart w:id="59" w:name="_Toc45795483"/>
      <w:bookmarkStart w:id="60" w:name="_Toc45795665"/>
      <w:bookmarkStart w:id="61" w:name="_Toc46158315"/>
      <w:bookmarkStart w:id="62" w:name="_Toc46158422"/>
      <w:bookmarkStart w:id="63" w:name="_Toc46158571"/>
      <w:bookmarkStart w:id="64" w:name="_Toc46159101"/>
      <w:bookmarkStart w:id="65" w:name="_Toc46159156"/>
      <w:bookmarkStart w:id="66" w:name="_Toc46416059"/>
      <w:bookmarkStart w:id="67" w:name="_Toc46419906"/>
      <w:bookmarkStart w:id="68" w:name="_Toc46419959"/>
      <w:bookmarkStart w:id="69" w:name="_Toc46433277"/>
      <w:bookmarkStart w:id="70" w:name="_Toc46433330"/>
      <w:bookmarkStart w:id="71" w:name="_Toc46433520"/>
      <w:bookmarkStart w:id="72" w:name="_Toc4650400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A8F9701" w14:textId="0905E09A" w:rsidR="00FB722B" w:rsidRPr="005E29F8" w:rsidRDefault="00E5181D" w:rsidP="009709FD">
      <w:pPr>
        <w:pStyle w:val="Heading3"/>
      </w:pPr>
      <w:bookmarkStart w:id="73" w:name="_Toc198158742"/>
      <w:r w:rsidRPr="005E29F8">
        <w:t>REVIEWING THE CONNECTED PERSON DEFINITION IN RELATION TO PARTNERSHIPS</w:t>
      </w:r>
      <w:bookmarkEnd w:id="73"/>
      <w:r w:rsidRPr="005E29F8">
        <w:t xml:space="preserve"> </w:t>
      </w:r>
    </w:p>
    <w:p w14:paraId="41A0ABD9" w14:textId="7FDFB8FB" w:rsidR="00FB722B" w:rsidRDefault="00FB722B" w:rsidP="00FC0786">
      <w:pPr>
        <w:rPr>
          <w:lang w:val="en-US"/>
        </w:rPr>
      </w:pPr>
      <w:r w:rsidRPr="00343784">
        <w:rPr>
          <w:lang w:val="en-US"/>
        </w:rPr>
        <w:t>[Applicable provision:</w:t>
      </w:r>
      <w:r w:rsidR="00C2463C">
        <w:rPr>
          <w:lang w:val="en-US"/>
        </w:rPr>
        <w:t xml:space="preserve"> </w:t>
      </w:r>
      <w:r w:rsidR="00C2463C" w:rsidRPr="00C2463C">
        <w:rPr>
          <w:rFonts w:eastAsia="Arial" w:cs="Arial"/>
          <w:color w:val="000000"/>
          <w:szCs w:val="22"/>
          <w:lang w:val="en-US" w:eastAsia="en-ZA"/>
        </w:rPr>
        <w:t>Definition of “connected person” in section 1 of the Act</w:t>
      </w:r>
      <w:r w:rsidRPr="00343784">
        <w:rPr>
          <w:lang w:val="en-US"/>
        </w:rPr>
        <w:t>]</w:t>
      </w:r>
    </w:p>
    <w:p w14:paraId="4BED7D4C" w14:textId="77777777" w:rsidR="00FB722B" w:rsidRPr="00FC0786" w:rsidRDefault="00FB722B" w:rsidP="00FC0786">
      <w:pPr>
        <w:rPr>
          <w:b/>
        </w:rPr>
      </w:pPr>
      <w:r w:rsidRPr="00FC0786">
        <w:rPr>
          <w:b/>
        </w:rPr>
        <w:t>I. Background</w:t>
      </w:r>
    </w:p>
    <w:p w14:paraId="4613FA60" w14:textId="38EFC453" w:rsidR="003A124B" w:rsidRPr="003A124B" w:rsidRDefault="003A124B" w:rsidP="003A124B">
      <w:r w:rsidRPr="003A124B">
        <w:rPr>
          <w:lang w:val="en-US"/>
        </w:rPr>
        <w:t xml:space="preserve">Currently, </w:t>
      </w:r>
      <w:r w:rsidR="00E50331" w:rsidRPr="003A124B">
        <w:t>paragraph</w:t>
      </w:r>
      <w:r w:rsidR="000F6769">
        <w:t xml:space="preserve"> </w:t>
      </w:r>
      <w:r w:rsidRPr="003A124B">
        <w:t>(</w:t>
      </w:r>
      <w:r w:rsidRPr="000F6769">
        <w:rPr>
          <w:i/>
          <w:iCs/>
        </w:rPr>
        <w:t>c</w:t>
      </w:r>
      <w:r w:rsidRPr="003A124B">
        <w:t xml:space="preserve">) of the definition of “connected person” in section 1 of the Act provides that, in the context of a </w:t>
      </w:r>
      <w:r w:rsidR="003728E6">
        <w:t>“</w:t>
      </w:r>
      <w:r w:rsidRPr="003A124B">
        <w:t>partnership</w:t>
      </w:r>
      <w:r w:rsidR="003728E6">
        <w:t>”</w:t>
      </w:r>
      <w:r w:rsidRPr="003A124B">
        <w:t xml:space="preserve"> or </w:t>
      </w:r>
      <w:r w:rsidR="003728E6">
        <w:t>“</w:t>
      </w:r>
      <w:r w:rsidRPr="003A124B">
        <w:t>foreign partnership</w:t>
      </w:r>
      <w:r w:rsidR="003728E6">
        <w:t>”</w:t>
      </w:r>
      <w:r w:rsidRPr="003A124B">
        <w:t xml:space="preserve"> as defined in section 1, each member of such partnership is a connected person in relation to any other member of such partnership and any connected person in relation to any member of such partnership or foreign partnership. </w:t>
      </w:r>
    </w:p>
    <w:p w14:paraId="07791550" w14:textId="03CB2B95" w:rsidR="003A124B" w:rsidRPr="003A124B" w:rsidRDefault="1A33881D" w:rsidP="003A124B">
      <w:r>
        <w:t xml:space="preserve">As a result, large corporate investors forming part of a large group of companies </w:t>
      </w:r>
      <w:r w:rsidR="77288CE8">
        <w:t>that</w:t>
      </w:r>
      <w:r>
        <w:t xml:space="preserve"> invest in fund partnerships inadvertently become connected to connected parties in relation to </w:t>
      </w:r>
      <w:r w:rsidR="2CE2E163">
        <w:t>the other</w:t>
      </w:r>
      <w:r>
        <w:t xml:space="preserve"> investors in relation to all other unrelated transactions that are entered into by these investors</w:t>
      </w:r>
      <w:r w:rsidR="27181312">
        <w:t xml:space="preserve"> and connected persons</w:t>
      </w:r>
      <w:r>
        <w:t xml:space="preserve">. </w:t>
      </w:r>
    </w:p>
    <w:p w14:paraId="111061E5" w14:textId="77777777" w:rsidR="00FB722B" w:rsidRPr="00FC0786" w:rsidRDefault="00FB722B" w:rsidP="00FC0786">
      <w:pPr>
        <w:rPr>
          <w:b/>
        </w:rPr>
      </w:pPr>
      <w:r w:rsidRPr="00FC0786">
        <w:rPr>
          <w:b/>
        </w:rPr>
        <w:t>II. Reasons for change</w:t>
      </w:r>
    </w:p>
    <w:p w14:paraId="294DA021" w14:textId="36AD0C4D" w:rsidR="00C2463C" w:rsidRDefault="1A33881D" w:rsidP="00864756">
      <w:pPr>
        <w:spacing w:after="0"/>
        <w:ind w:left="53"/>
      </w:pPr>
      <w:r w:rsidRPr="4DA829A6">
        <w:t xml:space="preserve">It has come to Government’s attention that limited partners in an </w:t>
      </w:r>
      <w:proofErr w:type="spellStart"/>
      <w:r w:rsidRPr="4DA829A6">
        <w:rPr>
          <w:i/>
          <w:iCs/>
        </w:rPr>
        <w:t>en</w:t>
      </w:r>
      <w:proofErr w:type="spellEnd"/>
      <w:r w:rsidRPr="4DA829A6">
        <w:rPr>
          <w:i/>
          <w:iCs/>
        </w:rPr>
        <w:t xml:space="preserve"> </w:t>
      </w:r>
      <w:proofErr w:type="spellStart"/>
      <w:r w:rsidRPr="4DA829A6">
        <w:rPr>
          <w:i/>
          <w:iCs/>
        </w:rPr>
        <w:t>commandite</w:t>
      </w:r>
      <w:proofErr w:type="spellEnd"/>
      <w:r w:rsidRPr="4DA829A6">
        <w:t xml:space="preserve"> partnership (a partnership carried out in the name of only some of the partners; the undisclosed partners contribute a fixed sum and are not liable for more than their capital contribution in case of a loss) </w:t>
      </w:r>
      <w:r w:rsidR="295E7E61" w:rsidRPr="4DA829A6">
        <w:t xml:space="preserve">and their connected persons </w:t>
      </w:r>
      <w:r w:rsidRPr="4DA829A6">
        <w:t>are affected by the wide ambit of paragraph (</w:t>
      </w:r>
      <w:r w:rsidRPr="4DA829A6">
        <w:rPr>
          <w:i/>
          <w:iCs/>
        </w:rPr>
        <w:t>c</w:t>
      </w:r>
      <w:r w:rsidRPr="4DA829A6">
        <w:t>) of the definition of “connected person”.</w:t>
      </w:r>
    </w:p>
    <w:p w14:paraId="15FC3C24" w14:textId="77777777" w:rsidR="00577E34" w:rsidRDefault="00577E34" w:rsidP="00864756">
      <w:pPr>
        <w:spacing w:after="0"/>
        <w:ind w:left="53"/>
      </w:pPr>
    </w:p>
    <w:p w14:paraId="5D17CA5F" w14:textId="77777777" w:rsidR="00665E23" w:rsidRDefault="00FB722B" w:rsidP="00665E23">
      <w:pPr>
        <w:rPr>
          <w:b/>
        </w:rPr>
      </w:pPr>
      <w:r w:rsidRPr="00FC0786">
        <w:rPr>
          <w:b/>
        </w:rPr>
        <w:t>III. Proposal</w:t>
      </w:r>
    </w:p>
    <w:p w14:paraId="1F4C0DE4" w14:textId="2453AF99" w:rsidR="003A124B" w:rsidRPr="005537D4" w:rsidRDefault="1A33881D" w:rsidP="0BFF9FE6">
      <w:pPr>
        <w:rPr>
          <w:rFonts w:eastAsia="Arial" w:cs="Arial"/>
          <w:color w:val="000000"/>
          <w:lang w:val="en-US" w:eastAsia="en-ZA"/>
        </w:rPr>
      </w:pPr>
      <w:r w:rsidRPr="0BFF9FE6">
        <w:rPr>
          <w:rFonts w:eastAsia="Arial" w:cs="Arial"/>
          <w:color w:val="000000" w:themeColor="text1"/>
          <w:lang w:val="en-US" w:eastAsia="en-ZA"/>
        </w:rPr>
        <w:t xml:space="preserve">It is proposed that the definition of a “connected person” be amended to exclude </w:t>
      </w:r>
      <w:r w:rsidR="1412EFE9" w:rsidRPr="0BFF9FE6">
        <w:rPr>
          <w:rFonts w:eastAsia="Arial" w:cs="Arial"/>
          <w:color w:val="000000" w:themeColor="text1"/>
          <w:lang w:val="en-US" w:eastAsia="en-ZA"/>
        </w:rPr>
        <w:t xml:space="preserve">connected persons in relation to </w:t>
      </w:r>
      <w:r w:rsidRPr="0BFF9FE6">
        <w:rPr>
          <w:rFonts w:eastAsia="Arial" w:cs="Arial"/>
          <w:color w:val="000000" w:themeColor="text1"/>
          <w:lang w:val="en-US" w:eastAsia="en-ZA"/>
        </w:rPr>
        <w:t xml:space="preserve">“qualifying investors” </w:t>
      </w:r>
    </w:p>
    <w:p w14:paraId="6A2CB311" w14:textId="484BCEDF" w:rsidR="00665E23" w:rsidRDefault="00FB722B" w:rsidP="00FC0786">
      <w:pPr>
        <w:rPr>
          <w:b/>
        </w:rPr>
      </w:pPr>
      <w:r w:rsidRPr="00FC0786">
        <w:rPr>
          <w:b/>
        </w:rPr>
        <w:t>IV. Effective date</w:t>
      </w:r>
    </w:p>
    <w:p w14:paraId="4606BB05" w14:textId="739D4FEA" w:rsidR="00665E23" w:rsidRDefault="12C393FB" w:rsidP="0F6C3D13">
      <w:pPr>
        <w:rPr>
          <w:rFonts w:eastAsia="Arial" w:cs="Arial"/>
          <w:color w:val="000000"/>
          <w:lang w:val="en-US" w:eastAsia="en-ZA"/>
        </w:rPr>
      </w:pPr>
      <w:r w:rsidRPr="0F6C3D13">
        <w:rPr>
          <w:lang w:val="en-US"/>
        </w:rPr>
        <w:t xml:space="preserve"> The proposed amendment will come into operation on the date of promulgation of the Taxation Laws Amendment Act of 2024.</w:t>
      </w:r>
      <w:r w:rsidR="003A124B" w:rsidRPr="0F6C3D13">
        <w:rPr>
          <w:rFonts w:eastAsia="Arial" w:cs="Arial"/>
          <w:color w:val="000000" w:themeColor="text1"/>
          <w:lang w:val="en-US" w:eastAsia="en-ZA"/>
        </w:rPr>
        <w:t xml:space="preserve"> </w:t>
      </w:r>
    </w:p>
    <w:p w14:paraId="7F58862C" w14:textId="77777777" w:rsidR="005E29F8" w:rsidRPr="005E29F8" w:rsidRDefault="005E29F8" w:rsidP="00FC0786">
      <w:pPr>
        <w:rPr>
          <w:rFonts w:eastAsia="Arial" w:cs="Arial"/>
          <w:color w:val="000000"/>
          <w:szCs w:val="22"/>
          <w:lang w:val="en-US" w:eastAsia="en-ZA"/>
        </w:rPr>
      </w:pPr>
    </w:p>
    <w:p w14:paraId="77BFE13D" w14:textId="3239772C" w:rsidR="00FC339C" w:rsidRPr="005E29F8" w:rsidRDefault="00E5181D" w:rsidP="009709FD">
      <w:pPr>
        <w:pStyle w:val="Heading3"/>
      </w:pPr>
      <w:bookmarkStart w:id="74" w:name="_Toc198158743"/>
      <w:r w:rsidRPr="005E29F8">
        <w:t>LIMITING INTEREST DEDUCTIONS IN RESPECT OF REORGANISATION AND ACQUISITION TRANSACTIONS</w:t>
      </w:r>
      <w:bookmarkEnd w:id="74"/>
    </w:p>
    <w:p w14:paraId="1730CDBC" w14:textId="3E3AE440" w:rsidR="00760684" w:rsidRPr="00760684" w:rsidRDefault="00760684" w:rsidP="00FC0786">
      <w:pPr>
        <w:rPr>
          <w:lang w:val="en-US"/>
        </w:rPr>
      </w:pPr>
      <w:bookmarkStart w:id="75" w:name="_Hlk172064671"/>
      <w:r w:rsidRPr="00BC05BC">
        <w:rPr>
          <w:lang w:val="en-US"/>
        </w:rPr>
        <w:t>[Applicable provision:</w:t>
      </w:r>
      <w:r w:rsidR="007F31AD" w:rsidRPr="007F31AD">
        <w:rPr>
          <w:rFonts w:eastAsia="Calibri" w:cs="Arial"/>
          <w:szCs w:val="22"/>
          <w:lang w:val="en-US"/>
        </w:rPr>
        <w:t xml:space="preserve"> </w:t>
      </w:r>
      <w:r w:rsidR="00177741" w:rsidRPr="00177741">
        <w:rPr>
          <w:lang w:val="en-US"/>
        </w:rPr>
        <w:t>Section 23N of the Act</w:t>
      </w:r>
      <w:r w:rsidRPr="00BC05BC">
        <w:rPr>
          <w:lang w:val="en-US"/>
        </w:rPr>
        <w:t>]</w:t>
      </w:r>
    </w:p>
    <w:p w14:paraId="4651606A" w14:textId="77777777" w:rsidR="00434D43" w:rsidRPr="00FC0786" w:rsidRDefault="00434D43" w:rsidP="00FC0786">
      <w:pPr>
        <w:rPr>
          <w:b/>
        </w:rPr>
      </w:pPr>
      <w:r w:rsidRPr="00FC0786">
        <w:rPr>
          <w:b/>
        </w:rPr>
        <w:t>I. Background</w:t>
      </w:r>
    </w:p>
    <w:p w14:paraId="36F603A1" w14:textId="77777777" w:rsidR="00177741" w:rsidRPr="00177741" w:rsidRDefault="00177741" w:rsidP="00177741">
      <w:pPr>
        <w:rPr>
          <w:color w:val="000000"/>
          <w:lang w:val="en-US"/>
        </w:rPr>
      </w:pPr>
      <w:r w:rsidRPr="00177741">
        <w:rPr>
          <w:color w:val="000000"/>
        </w:rPr>
        <w:t xml:space="preserve">In general, </w:t>
      </w:r>
      <w:bookmarkStart w:id="76" w:name="_Hlk170152748"/>
      <w:r w:rsidRPr="00177741">
        <w:rPr>
          <w:color w:val="000000"/>
        </w:rPr>
        <w:t xml:space="preserve">the provisions of limitation of interest deductions in respect of reorganisation and acquisition transactions </w:t>
      </w:r>
      <w:bookmarkEnd w:id="76"/>
      <w:r w:rsidRPr="00177741">
        <w:rPr>
          <w:color w:val="000000"/>
        </w:rPr>
        <w:t>cat</w:t>
      </w:r>
      <w:r w:rsidRPr="00177741">
        <w:rPr>
          <w:color w:val="000000"/>
          <w:lang w:val="en-US"/>
        </w:rPr>
        <w:t xml:space="preserve">er for interest deductions associated with share acquisitions that can be achieved indirectly through the use of the section 45 or section 47 rollover provisions of the Act or under section 24O </w:t>
      </w:r>
      <w:bookmarkStart w:id="77" w:name="_Hlk173320896"/>
      <w:r w:rsidRPr="00177741">
        <w:rPr>
          <w:color w:val="000000"/>
          <w:lang w:val="en-US"/>
        </w:rPr>
        <w:t xml:space="preserve">of the Act </w:t>
      </w:r>
      <w:bookmarkEnd w:id="77"/>
      <w:r w:rsidRPr="00177741">
        <w:rPr>
          <w:color w:val="000000"/>
          <w:lang w:val="en-US"/>
        </w:rPr>
        <w:t>because this form of acquisition is comparable to indirect share acquisitions.</w:t>
      </w:r>
    </w:p>
    <w:p w14:paraId="7A8BA789" w14:textId="5C4FE857" w:rsidR="00177741" w:rsidRPr="00177741" w:rsidRDefault="00177741" w:rsidP="00177741">
      <w:pPr>
        <w:rPr>
          <w:color w:val="000000"/>
          <w:lang w:val="en-US"/>
        </w:rPr>
      </w:pPr>
      <w:r w:rsidRPr="00177741">
        <w:rPr>
          <w:color w:val="000000"/>
          <w:lang w:val="en-US"/>
        </w:rPr>
        <w:t>The amount of interest allowed to be deducted in terms of all debts owed that are within the scope of section 23N(2)</w:t>
      </w:r>
      <w:r w:rsidR="006676BD" w:rsidRPr="006676BD">
        <w:rPr>
          <w:color w:val="000000"/>
          <w:lang w:val="en-US"/>
        </w:rPr>
        <w:t xml:space="preserve"> of the Act</w:t>
      </w:r>
      <w:r w:rsidRPr="00177741">
        <w:rPr>
          <w:color w:val="000000"/>
          <w:lang w:val="en-US"/>
        </w:rPr>
        <w:t xml:space="preserve"> is subject to an annual limitation pursuant to a defined formula in respect of any year of assessment in which the acquisition transaction or </w:t>
      </w:r>
      <w:proofErr w:type="spellStart"/>
      <w:r w:rsidRPr="00177741">
        <w:rPr>
          <w:color w:val="000000"/>
          <w:lang w:val="en-US"/>
        </w:rPr>
        <w:t>reorganisation</w:t>
      </w:r>
      <w:proofErr w:type="spellEnd"/>
      <w:r w:rsidRPr="00177741">
        <w:rPr>
          <w:color w:val="000000"/>
          <w:lang w:val="en-US"/>
        </w:rPr>
        <w:t xml:space="preserve"> transaction is entered into and in respect of five years of assessment immediately following that year of assessment. </w:t>
      </w:r>
    </w:p>
    <w:p w14:paraId="603C2904" w14:textId="77777777" w:rsidR="00177741" w:rsidRPr="00177741" w:rsidRDefault="00177741" w:rsidP="00177741">
      <w:pPr>
        <w:rPr>
          <w:color w:val="000000"/>
          <w:lang w:val="en-US"/>
        </w:rPr>
      </w:pPr>
      <w:bookmarkStart w:id="78" w:name="_Hlk172114455"/>
      <w:r w:rsidRPr="00177741">
        <w:rPr>
          <w:color w:val="000000"/>
          <w:lang w:val="en-US"/>
        </w:rPr>
        <w:t xml:space="preserve">Deductible interest must not exceed the sum of: </w:t>
      </w:r>
    </w:p>
    <w:p w14:paraId="7EFE6C38" w14:textId="188DC652" w:rsidR="00177741" w:rsidRPr="005E5CB0" w:rsidRDefault="00177741" w:rsidP="4DA829A6">
      <w:pPr>
        <w:numPr>
          <w:ilvl w:val="0"/>
          <w:numId w:val="23"/>
        </w:numPr>
        <w:rPr>
          <w:color w:val="000000"/>
        </w:rPr>
      </w:pPr>
      <w:r w:rsidRPr="4DA829A6">
        <w:rPr>
          <w:color w:val="000000" w:themeColor="text1"/>
        </w:rPr>
        <w:t xml:space="preserve">the amount of interest received by or accrued to the acquiring company; </w:t>
      </w:r>
    </w:p>
    <w:p w14:paraId="018AA485" w14:textId="77777777" w:rsidR="00177741" w:rsidRDefault="00177741" w:rsidP="4DA829A6">
      <w:pPr>
        <w:numPr>
          <w:ilvl w:val="0"/>
          <w:numId w:val="23"/>
        </w:numPr>
        <w:rPr>
          <w:color w:val="000000"/>
        </w:rPr>
      </w:pPr>
      <w:r w:rsidRPr="4DA829A6">
        <w:rPr>
          <w:color w:val="000000" w:themeColor="text1"/>
        </w:rPr>
        <w:t>the highest of the amounts determined by multiplying the percentage determined under section 23N(4) (referred below) by the adjusted taxable income of the acquiring company for each of the years of assessment: (</w:t>
      </w:r>
      <w:proofErr w:type="spellStart"/>
      <w:r w:rsidRPr="4DA829A6">
        <w:rPr>
          <w:color w:val="000000" w:themeColor="text1"/>
        </w:rPr>
        <w:t>i</w:t>
      </w:r>
      <w:proofErr w:type="spellEnd"/>
      <w:r w:rsidRPr="4DA829A6">
        <w:rPr>
          <w:color w:val="000000" w:themeColor="text1"/>
        </w:rPr>
        <w:t>) in which the acquisition transaction or reorganisation transaction is entered into (ii) in which the amount of interest is incurred by that acquiring company or (iii) immediately prior to the year of assessment contemplated in (</w:t>
      </w:r>
      <w:proofErr w:type="spellStart"/>
      <w:r w:rsidRPr="4DA829A6">
        <w:rPr>
          <w:color w:val="000000" w:themeColor="text1"/>
        </w:rPr>
        <w:t>i</w:t>
      </w:r>
      <w:proofErr w:type="spellEnd"/>
      <w:r w:rsidRPr="4DA829A6">
        <w:rPr>
          <w:color w:val="000000" w:themeColor="text1"/>
        </w:rPr>
        <w:t>); and</w:t>
      </w:r>
    </w:p>
    <w:p w14:paraId="6CA62BBF" w14:textId="649C4ED8" w:rsidR="00177741" w:rsidRPr="005641A9" w:rsidRDefault="00177741" w:rsidP="00B145CB">
      <w:pPr>
        <w:numPr>
          <w:ilvl w:val="0"/>
          <w:numId w:val="23"/>
        </w:numPr>
        <w:rPr>
          <w:color w:val="000000"/>
        </w:rPr>
      </w:pPr>
      <w:r w:rsidRPr="00177741">
        <w:rPr>
          <w:color w:val="000000"/>
          <w:lang w:val="en-US"/>
        </w:rPr>
        <w:t>reduced by interest incurred in respect of other debt (i.e. excluding debt to</w:t>
      </w:r>
      <w:r>
        <w:rPr>
          <w:color w:val="000000"/>
          <w:lang w:val="en-US"/>
        </w:rPr>
        <w:t xml:space="preserve"> </w:t>
      </w:r>
      <w:r w:rsidRPr="00177741">
        <w:rPr>
          <w:color w:val="000000"/>
          <w:lang w:val="en-US"/>
        </w:rPr>
        <w:t>which section 23N applies).</w:t>
      </w:r>
    </w:p>
    <w:p w14:paraId="02403B05" w14:textId="77777777" w:rsidR="00177741" w:rsidRPr="00177741" w:rsidRDefault="00177741" w:rsidP="00177741">
      <w:pPr>
        <w:ind w:left="720"/>
        <w:rPr>
          <w:color w:val="000000"/>
          <w:lang w:val="en-US"/>
        </w:rPr>
      </w:pPr>
      <w:r w:rsidRPr="00177741">
        <w:rPr>
          <w:color w:val="000000"/>
          <w:lang w:val="en-US"/>
        </w:rPr>
        <w:t xml:space="preserve">The percentage mentioned in (b) above must be determined in accordance with the formula: </w:t>
      </w:r>
    </w:p>
    <w:p w14:paraId="7524E42A" w14:textId="77777777" w:rsidR="00177741" w:rsidRPr="00177741" w:rsidRDefault="00177741" w:rsidP="00177741">
      <w:pPr>
        <w:ind w:left="720"/>
        <w:rPr>
          <w:color w:val="000000"/>
          <w:lang w:val="en-US"/>
        </w:rPr>
      </w:pPr>
      <w:r w:rsidRPr="005E5CB0">
        <w:rPr>
          <w:color w:val="000000"/>
          <w:lang w:val="en-US"/>
        </w:rPr>
        <w:t>A= B x C/D where:</w:t>
      </w:r>
    </w:p>
    <w:p w14:paraId="235205B0" w14:textId="77777777" w:rsidR="00177741" w:rsidRPr="00177741" w:rsidRDefault="00177741" w:rsidP="4DA829A6">
      <w:pPr>
        <w:numPr>
          <w:ilvl w:val="0"/>
          <w:numId w:val="24"/>
        </w:numPr>
        <w:rPr>
          <w:color w:val="000000"/>
        </w:rPr>
      </w:pPr>
      <w:r w:rsidRPr="4DA829A6">
        <w:rPr>
          <w:color w:val="000000" w:themeColor="text1"/>
        </w:rPr>
        <w:t>A represents the percentage to be determined;</w:t>
      </w:r>
    </w:p>
    <w:p w14:paraId="1CB10708" w14:textId="77777777" w:rsidR="00177741" w:rsidRPr="00177741" w:rsidRDefault="00177741" w:rsidP="4DA829A6">
      <w:pPr>
        <w:numPr>
          <w:ilvl w:val="0"/>
          <w:numId w:val="24"/>
        </w:numPr>
        <w:rPr>
          <w:color w:val="000000"/>
        </w:rPr>
      </w:pPr>
      <w:r w:rsidRPr="4DA829A6">
        <w:rPr>
          <w:color w:val="000000" w:themeColor="text1"/>
        </w:rPr>
        <w:t xml:space="preserve">B represents the number 40; </w:t>
      </w:r>
    </w:p>
    <w:p w14:paraId="4E678C6E" w14:textId="77777777" w:rsidR="00177741" w:rsidRPr="00177741" w:rsidRDefault="00177741" w:rsidP="4DA829A6">
      <w:pPr>
        <w:numPr>
          <w:ilvl w:val="0"/>
          <w:numId w:val="24"/>
        </w:numPr>
        <w:rPr>
          <w:color w:val="000000"/>
        </w:rPr>
      </w:pPr>
      <w:r w:rsidRPr="4DA829A6">
        <w:rPr>
          <w:color w:val="000000" w:themeColor="text1"/>
        </w:rPr>
        <w:t xml:space="preserve">C represents the average repo rate plus 400 basis points; and </w:t>
      </w:r>
    </w:p>
    <w:p w14:paraId="75833F95" w14:textId="77777777" w:rsidR="00177741" w:rsidRPr="00177741" w:rsidRDefault="00177741" w:rsidP="4DA829A6">
      <w:pPr>
        <w:numPr>
          <w:ilvl w:val="0"/>
          <w:numId w:val="24"/>
        </w:numPr>
        <w:rPr>
          <w:color w:val="000000"/>
        </w:rPr>
      </w:pPr>
      <w:r w:rsidRPr="4DA829A6">
        <w:rPr>
          <w:color w:val="000000" w:themeColor="text1"/>
        </w:rPr>
        <w:t xml:space="preserve">D represents the number 10 </w:t>
      </w:r>
    </w:p>
    <w:p w14:paraId="612A1BDC" w14:textId="29151194" w:rsidR="00177741" w:rsidRPr="00177741" w:rsidRDefault="00177741" w:rsidP="00DD0C56">
      <w:pPr>
        <w:rPr>
          <w:color w:val="000000"/>
          <w:lang w:val="en-US"/>
        </w:rPr>
      </w:pPr>
      <w:bookmarkStart w:id="79" w:name="_Hlk170214724"/>
      <w:bookmarkStart w:id="80" w:name="_Hlk170152057"/>
      <w:r w:rsidRPr="00177741">
        <w:rPr>
          <w:color w:val="000000"/>
          <w:lang w:val="en-US"/>
        </w:rPr>
        <w:t xml:space="preserve">The amount of the interest deductible may not exceed 60 per cent </w:t>
      </w:r>
      <w:bookmarkEnd w:id="79"/>
      <w:r w:rsidRPr="00177741">
        <w:rPr>
          <w:color w:val="000000"/>
          <w:lang w:val="en-US"/>
        </w:rPr>
        <w:t xml:space="preserve">of the adjusted taxable income of that acquiring company. </w:t>
      </w:r>
      <w:bookmarkEnd w:id="80"/>
    </w:p>
    <w:p w14:paraId="40282DA9" w14:textId="1F442CCB" w:rsidR="0041092E" w:rsidRPr="00177741" w:rsidRDefault="00177741" w:rsidP="00DD0C56">
      <w:pPr>
        <w:rPr>
          <w:color w:val="000000"/>
          <w:lang w:val="en-US"/>
        </w:rPr>
      </w:pPr>
      <w:r w:rsidRPr="00177741">
        <w:rPr>
          <w:color w:val="000000"/>
          <w:lang w:val="en-US"/>
        </w:rPr>
        <w:t xml:space="preserve">For section 23N purposes, adjusted taxable income in general means the taxable income of the taxpayer less all interest received or accrued, section 9D controlled foreign company net income inclusion and recovered or recouped amounts in respect of capital assets with the addition of deductible interest incurred, all capital </w:t>
      </w:r>
      <w:r w:rsidR="005E29F8" w:rsidRPr="00177741">
        <w:rPr>
          <w:color w:val="000000"/>
          <w:lang w:val="en-US"/>
        </w:rPr>
        <w:t>allowances, an</w:t>
      </w:r>
      <w:r w:rsidRPr="00177741">
        <w:rPr>
          <w:color w:val="000000"/>
          <w:lang w:val="en-US"/>
        </w:rPr>
        <w:t xml:space="preserve"> additional 75 per cent of the debtor’s income from the letting of immovable property and any losses set off against income. </w:t>
      </w:r>
      <w:bookmarkEnd w:id="78"/>
    </w:p>
    <w:p w14:paraId="494A1CAC" w14:textId="77777777" w:rsidR="00434D43" w:rsidRPr="00FC0786" w:rsidRDefault="00434D43" w:rsidP="00FC0786">
      <w:pPr>
        <w:rPr>
          <w:b/>
        </w:rPr>
      </w:pPr>
      <w:r w:rsidRPr="00FC0786">
        <w:rPr>
          <w:b/>
        </w:rPr>
        <w:t>II. Reasons for change</w:t>
      </w:r>
    </w:p>
    <w:p w14:paraId="202376CA" w14:textId="2B13AD24" w:rsidR="00177741" w:rsidRPr="00177741" w:rsidRDefault="00177741" w:rsidP="4DA829A6">
      <w:pPr>
        <w:rPr>
          <w:rFonts w:eastAsia="Arial" w:cs="Arial"/>
          <w:color w:val="000000"/>
          <w:lang w:eastAsia="en-ZA"/>
        </w:rPr>
      </w:pPr>
      <w:r w:rsidRPr="4DA829A6">
        <w:rPr>
          <w:rFonts w:eastAsia="Arial" w:cs="Arial"/>
          <w:color w:val="000000" w:themeColor="text1"/>
          <w:lang w:eastAsia="en-ZA"/>
        </w:rPr>
        <w:t xml:space="preserve">In 2023, changes were made to the definition of </w:t>
      </w:r>
      <w:r w:rsidR="00460C8E" w:rsidRPr="4DA829A6">
        <w:rPr>
          <w:rFonts w:eastAsia="Arial" w:cs="Arial"/>
          <w:color w:val="000000" w:themeColor="text1"/>
          <w:lang w:eastAsia="en-ZA"/>
        </w:rPr>
        <w:t>“</w:t>
      </w:r>
      <w:r w:rsidRPr="4DA829A6">
        <w:rPr>
          <w:rFonts w:eastAsia="Arial" w:cs="Arial"/>
          <w:color w:val="000000" w:themeColor="text1"/>
          <w:lang w:eastAsia="en-ZA"/>
        </w:rPr>
        <w:t>adjusted taxable income</w:t>
      </w:r>
      <w:r w:rsidR="00460C8E" w:rsidRPr="4DA829A6">
        <w:rPr>
          <w:rFonts w:eastAsia="Arial" w:cs="Arial"/>
          <w:color w:val="000000" w:themeColor="text1"/>
          <w:lang w:eastAsia="en-ZA"/>
        </w:rPr>
        <w:t>”</w:t>
      </w:r>
      <w:r w:rsidRPr="4DA829A6">
        <w:rPr>
          <w:rFonts w:eastAsia="Arial" w:cs="Arial"/>
          <w:color w:val="000000" w:themeColor="text1"/>
          <w:lang w:eastAsia="en-ZA"/>
        </w:rPr>
        <w:t xml:space="preserve"> in section 23M</w:t>
      </w:r>
      <w:r w:rsidR="00460C8E" w:rsidRPr="4DA829A6">
        <w:rPr>
          <w:rFonts w:eastAsia="Arial" w:cs="Arial"/>
          <w:color w:val="000000" w:themeColor="text1"/>
          <w:lang w:eastAsia="en-ZA"/>
        </w:rPr>
        <w:t xml:space="preserve"> of Act</w:t>
      </w:r>
      <w:r w:rsidRPr="4DA829A6">
        <w:rPr>
          <w:rFonts w:eastAsia="Arial" w:cs="Arial"/>
          <w:color w:val="000000" w:themeColor="text1"/>
          <w:lang w:eastAsia="en-ZA"/>
        </w:rPr>
        <w:t xml:space="preserve"> stating that the calculation must be done before setting off any balance of assessed loss against income and that the result of the calculations may not be less than zero. </w:t>
      </w:r>
    </w:p>
    <w:p w14:paraId="0B90DF07" w14:textId="2587D527" w:rsidR="00177741" w:rsidRPr="00177741" w:rsidRDefault="00177741" w:rsidP="00177741">
      <w:pPr>
        <w:rPr>
          <w:rFonts w:eastAsia="Arial" w:cs="Arial"/>
          <w:color w:val="000000"/>
          <w:szCs w:val="22"/>
          <w:lang w:eastAsia="en-ZA"/>
        </w:rPr>
      </w:pPr>
      <w:r w:rsidRPr="00177741">
        <w:rPr>
          <w:rFonts w:eastAsia="Arial" w:cs="Arial"/>
          <w:color w:val="000000"/>
          <w:szCs w:val="22"/>
          <w:lang w:val="en-US" w:eastAsia="en-ZA"/>
        </w:rPr>
        <w:t xml:space="preserve">Over and above the changes mentioned above, in 2021 amendments were made to section 23M of the Act that formed part of the corporate tax package to broaden the tax base and reduce the headline corporate income tax rate in a revenue neutral manner. The percentage calculated under the formula was replaced by a fixed amount </w:t>
      </w:r>
      <w:r w:rsidRPr="00702D08">
        <w:rPr>
          <w:rFonts w:eastAsia="Arial" w:cs="Arial"/>
          <w:color w:val="000000"/>
          <w:szCs w:val="22"/>
          <w:lang w:val="en-US" w:eastAsia="en-ZA"/>
        </w:rPr>
        <w:t xml:space="preserve">of </w:t>
      </w:r>
      <w:r w:rsidRPr="008F5D4F">
        <w:rPr>
          <w:rFonts w:eastAsia="Arial" w:cs="Arial"/>
          <w:color w:val="000000"/>
          <w:szCs w:val="22"/>
          <w:lang w:val="en-US" w:eastAsia="en-ZA"/>
        </w:rPr>
        <w:t>0,3 (i.e. 30</w:t>
      </w:r>
      <w:r w:rsidR="00A83087" w:rsidRPr="008F5D4F">
        <w:rPr>
          <w:rFonts w:eastAsia="Arial" w:cs="Arial"/>
          <w:color w:val="000000"/>
          <w:szCs w:val="22"/>
          <w:lang w:val="en-US" w:eastAsia="en-ZA"/>
        </w:rPr>
        <w:t>%</w:t>
      </w:r>
      <w:r w:rsidRPr="008F5D4F">
        <w:rPr>
          <w:rFonts w:eastAsia="Arial" w:cs="Arial"/>
          <w:color w:val="000000"/>
          <w:szCs w:val="22"/>
          <w:lang w:val="en-US" w:eastAsia="en-ZA"/>
        </w:rPr>
        <w:t>).</w:t>
      </w:r>
      <w:r w:rsidRPr="00177741">
        <w:rPr>
          <w:rFonts w:eastAsia="Arial" w:cs="Arial"/>
          <w:color w:val="000000"/>
          <w:szCs w:val="22"/>
          <w:lang w:val="en-US" w:eastAsia="en-ZA"/>
        </w:rPr>
        <w:t xml:space="preserve"> </w:t>
      </w:r>
    </w:p>
    <w:p w14:paraId="4FC8D97F" w14:textId="3C9950DC" w:rsidR="00177741" w:rsidRPr="00177741" w:rsidRDefault="00177741" w:rsidP="00177741">
      <w:pPr>
        <w:rPr>
          <w:rFonts w:eastAsia="Arial" w:cs="Arial"/>
          <w:b/>
          <w:color w:val="000000"/>
          <w:szCs w:val="22"/>
          <w:lang w:val="en-US" w:eastAsia="en-ZA"/>
        </w:rPr>
      </w:pPr>
      <w:r w:rsidRPr="00177741">
        <w:rPr>
          <w:rFonts w:eastAsia="Arial" w:cs="Arial"/>
          <w:color w:val="000000"/>
          <w:szCs w:val="22"/>
          <w:lang w:val="en-US" w:eastAsia="en-ZA"/>
        </w:rPr>
        <w:t xml:space="preserve">Given that the nature </w:t>
      </w:r>
      <w:r w:rsidRPr="00177741">
        <w:rPr>
          <w:rFonts w:eastAsia="Arial" w:cs="Arial"/>
          <w:color w:val="000000"/>
          <w:szCs w:val="22"/>
          <w:lang w:eastAsia="en-ZA"/>
        </w:rPr>
        <w:t xml:space="preserve">of limitation of interest deductions in respect of reorganisation and acquisition transaction </w:t>
      </w:r>
      <w:r w:rsidRPr="00177741">
        <w:rPr>
          <w:rFonts w:eastAsia="Arial" w:cs="Arial"/>
          <w:color w:val="000000"/>
          <w:szCs w:val="22"/>
          <w:lang w:val="en-US" w:eastAsia="en-ZA"/>
        </w:rPr>
        <w:t xml:space="preserve">rules is broadly similar to the limitation of interest deductions in respect of debts owed to persons not subject to tax rules, it is proposed that </w:t>
      </w:r>
      <w:r w:rsidR="00855244">
        <w:rPr>
          <w:rFonts w:eastAsia="Arial" w:cs="Arial"/>
          <w:color w:val="000000"/>
          <w:szCs w:val="22"/>
          <w:lang w:val="en-US" w:eastAsia="en-ZA"/>
        </w:rPr>
        <w:t xml:space="preserve">the </w:t>
      </w:r>
      <w:r w:rsidRPr="00177741">
        <w:rPr>
          <w:rFonts w:eastAsia="Arial" w:cs="Arial"/>
          <w:color w:val="000000"/>
          <w:szCs w:val="22"/>
          <w:lang w:eastAsia="en-ZA"/>
        </w:rPr>
        <w:t xml:space="preserve">amendments made to section 23M </w:t>
      </w:r>
      <w:r w:rsidR="00231FDD">
        <w:rPr>
          <w:rFonts w:eastAsia="Arial" w:cs="Arial"/>
          <w:color w:val="000000"/>
          <w:szCs w:val="22"/>
          <w:lang w:eastAsia="en-ZA"/>
        </w:rPr>
        <w:t xml:space="preserve">of the Act </w:t>
      </w:r>
      <w:r w:rsidRPr="00177741">
        <w:rPr>
          <w:rFonts w:eastAsia="Arial" w:cs="Arial"/>
          <w:color w:val="000000"/>
          <w:szCs w:val="22"/>
          <w:lang w:eastAsia="en-ZA"/>
        </w:rPr>
        <w:t xml:space="preserve">be mirrored in section 23N of the Act. </w:t>
      </w:r>
    </w:p>
    <w:p w14:paraId="5CBCDB4B" w14:textId="09090CCC" w:rsidR="00434D43" w:rsidRPr="00FC0786" w:rsidRDefault="60479865" w:rsidP="0BFF9FE6">
      <w:pPr>
        <w:rPr>
          <w:b/>
          <w:bCs/>
        </w:rPr>
      </w:pPr>
      <w:r w:rsidRPr="0BFF9FE6">
        <w:rPr>
          <w:b/>
          <w:bCs/>
        </w:rPr>
        <w:t>III. Proposal</w:t>
      </w:r>
    </w:p>
    <w:p w14:paraId="0D004940" w14:textId="77777777" w:rsidR="00177741" w:rsidRPr="00177741" w:rsidRDefault="00177741" w:rsidP="00177741">
      <w:pPr>
        <w:rPr>
          <w:color w:val="000000"/>
        </w:rPr>
      </w:pPr>
      <w:r w:rsidRPr="00177741">
        <w:rPr>
          <w:color w:val="000000"/>
        </w:rPr>
        <w:t>Based on the above, it is proposed that:</w:t>
      </w:r>
    </w:p>
    <w:p w14:paraId="5F06DDD0" w14:textId="7AB782B4" w:rsidR="00177741" w:rsidRPr="00177741" w:rsidRDefault="00177741" w:rsidP="4DA829A6">
      <w:pPr>
        <w:numPr>
          <w:ilvl w:val="0"/>
          <w:numId w:val="25"/>
        </w:numPr>
        <w:rPr>
          <w:color w:val="000000"/>
        </w:rPr>
      </w:pPr>
      <w:r w:rsidRPr="4DA829A6">
        <w:rPr>
          <w:color w:val="000000" w:themeColor="text1"/>
        </w:rPr>
        <w:t xml:space="preserve">the definition of “adjusted taxable income” and the methodology applied to limit an interest deduction in section 23N of </w:t>
      </w:r>
      <w:r w:rsidR="005641A9" w:rsidRPr="4DA829A6">
        <w:rPr>
          <w:color w:val="000000" w:themeColor="text1"/>
        </w:rPr>
        <w:t>the Act</w:t>
      </w:r>
      <w:r w:rsidRPr="4DA829A6">
        <w:rPr>
          <w:color w:val="000000" w:themeColor="text1"/>
        </w:rPr>
        <w:t xml:space="preserve"> be reviewed and changed for closer alignment with the provisions of section 23M</w:t>
      </w:r>
      <w:r w:rsidR="00FC4332" w:rsidRPr="4DA829A6">
        <w:rPr>
          <w:color w:val="000000" w:themeColor="text1"/>
        </w:rPr>
        <w:t xml:space="preserve"> of the Act</w:t>
      </w:r>
      <w:r w:rsidRPr="4DA829A6">
        <w:rPr>
          <w:color w:val="000000" w:themeColor="text1"/>
        </w:rPr>
        <w:t xml:space="preserve">; </w:t>
      </w:r>
    </w:p>
    <w:p w14:paraId="25784BEE" w14:textId="54C02987" w:rsidR="00177741" w:rsidRPr="00177741" w:rsidRDefault="00177741" w:rsidP="00B145CB">
      <w:pPr>
        <w:numPr>
          <w:ilvl w:val="0"/>
          <w:numId w:val="25"/>
        </w:numPr>
        <w:rPr>
          <w:color w:val="000000"/>
        </w:rPr>
      </w:pPr>
      <w:r w:rsidRPr="00177741">
        <w:rPr>
          <w:color w:val="000000"/>
        </w:rPr>
        <w:t xml:space="preserve">the formula applied be replaced with a fixed amount </w:t>
      </w:r>
      <w:r w:rsidRPr="008F5D4F">
        <w:rPr>
          <w:color w:val="000000"/>
        </w:rPr>
        <w:t>of 0</w:t>
      </w:r>
      <w:r w:rsidR="003B0798">
        <w:rPr>
          <w:color w:val="000000"/>
        </w:rPr>
        <w:t>,</w:t>
      </w:r>
      <w:r w:rsidRPr="008F5D4F">
        <w:rPr>
          <w:color w:val="000000"/>
        </w:rPr>
        <w:t>3</w:t>
      </w:r>
      <w:r w:rsidRPr="008F5D4F">
        <w:rPr>
          <w:color w:val="000000"/>
          <w:lang w:val="en-US"/>
        </w:rPr>
        <w:t>; and</w:t>
      </w:r>
    </w:p>
    <w:p w14:paraId="1FEE3F9D" w14:textId="546F2963" w:rsidR="00177741" w:rsidRPr="005641A9" w:rsidRDefault="00177741" w:rsidP="00B145CB">
      <w:pPr>
        <w:numPr>
          <w:ilvl w:val="0"/>
          <w:numId w:val="25"/>
        </w:numPr>
        <w:rPr>
          <w:color w:val="000000"/>
        </w:rPr>
      </w:pPr>
      <w:r w:rsidRPr="00177741">
        <w:rPr>
          <w:color w:val="000000"/>
        </w:rPr>
        <w:t xml:space="preserve">the </w:t>
      </w:r>
      <w:r w:rsidRPr="00177741">
        <w:rPr>
          <w:color w:val="000000"/>
          <w:lang w:val="en-US"/>
        </w:rPr>
        <w:t xml:space="preserve">definitions of </w:t>
      </w:r>
      <w:r w:rsidR="00016847">
        <w:rPr>
          <w:color w:val="000000"/>
          <w:lang w:val="en-US"/>
        </w:rPr>
        <w:t>“</w:t>
      </w:r>
      <w:r w:rsidRPr="00177741">
        <w:rPr>
          <w:color w:val="000000"/>
          <w:lang w:val="en-US"/>
        </w:rPr>
        <w:t>repo rate</w:t>
      </w:r>
      <w:r w:rsidR="00016847">
        <w:rPr>
          <w:color w:val="000000"/>
          <w:lang w:val="en-US"/>
        </w:rPr>
        <w:t>”</w:t>
      </w:r>
      <w:r w:rsidRPr="00177741">
        <w:rPr>
          <w:color w:val="000000"/>
          <w:lang w:val="en-US"/>
        </w:rPr>
        <w:t xml:space="preserve"> and </w:t>
      </w:r>
      <w:r w:rsidR="00016847">
        <w:rPr>
          <w:color w:val="000000"/>
          <w:lang w:val="en-US"/>
        </w:rPr>
        <w:t>“</w:t>
      </w:r>
      <w:r w:rsidRPr="00177741">
        <w:rPr>
          <w:color w:val="000000"/>
          <w:lang w:val="en-US"/>
        </w:rPr>
        <w:t>average repo rate</w:t>
      </w:r>
      <w:r w:rsidR="00016847">
        <w:rPr>
          <w:color w:val="000000"/>
          <w:lang w:val="en-US"/>
        </w:rPr>
        <w:t>”</w:t>
      </w:r>
      <w:r w:rsidRPr="00177741">
        <w:rPr>
          <w:color w:val="000000"/>
          <w:lang w:val="en-US"/>
        </w:rPr>
        <w:t xml:space="preserve"> be deleted. </w:t>
      </w:r>
    </w:p>
    <w:p w14:paraId="2C4BEE22" w14:textId="77777777" w:rsidR="00665E23" w:rsidRDefault="00434D43" w:rsidP="00FC0786">
      <w:pPr>
        <w:rPr>
          <w:b/>
        </w:rPr>
      </w:pPr>
      <w:r w:rsidRPr="00FC0786">
        <w:rPr>
          <w:b/>
        </w:rPr>
        <w:t>IV. Effective date</w:t>
      </w:r>
    </w:p>
    <w:bookmarkEnd w:id="75"/>
    <w:p w14:paraId="064CFE69" w14:textId="77777777" w:rsidR="005A34FE" w:rsidRPr="005A34FE" w:rsidRDefault="61A77708" w:rsidP="005A34FE">
      <w:pPr>
        <w:rPr>
          <w:rFonts w:cs="Arial"/>
          <w:lang w:val="en-US"/>
        </w:rPr>
      </w:pPr>
      <w:r w:rsidRPr="5FEEF3AA">
        <w:rPr>
          <w:rFonts w:cs="Arial"/>
        </w:rPr>
        <w:t>The proposed amendment come</w:t>
      </w:r>
      <w:r w:rsidR="2D110ABE" w:rsidRPr="5FEEF3AA">
        <w:rPr>
          <w:rFonts w:cs="Arial"/>
        </w:rPr>
        <w:t>s</w:t>
      </w:r>
      <w:r w:rsidRPr="5FEEF3AA">
        <w:rPr>
          <w:rFonts w:cs="Arial"/>
        </w:rPr>
        <w:t xml:space="preserve"> into operation on 1 January 202</w:t>
      </w:r>
      <w:r w:rsidR="5C872BE1" w:rsidRPr="5FEEF3AA">
        <w:rPr>
          <w:rFonts w:cs="Arial"/>
        </w:rPr>
        <w:t>7</w:t>
      </w:r>
      <w:r w:rsidRPr="5FEEF3AA">
        <w:rPr>
          <w:rFonts w:cs="Arial"/>
        </w:rPr>
        <w:t xml:space="preserve"> and appl</w:t>
      </w:r>
      <w:r w:rsidR="4E01B07B" w:rsidRPr="5FEEF3AA">
        <w:rPr>
          <w:rFonts w:cs="Arial"/>
        </w:rPr>
        <w:t>ies</w:t>
      </w:r>
      <w:r w:rsidRPr="5FEEF3AA">
        <w:rPr>
          <w:rFonts w:cs="Arial"/>
        </w:rPr>
        <w:t xml:space="preserve"> in respect of years of assessment commencing on or after that date</w:t>
      </w:r>
      <w:r w:rsidR="005A34FE">
        <w:rPr>
          <w:rFonts w:cs="Arial"/>
        </w:rPr>
        <w:t xml:space="preserve"> </w:t>
      </w:r>
      <w:r w:rsidR="005A34FE" w:rsidRPr="005A34FE">
        <w:rPr>
          <w:rFonts w:cs="Arial"/>
        </w:rPr>
        <w:t xml:space="preserve">while the amendment to the definition of “adjusted taxable income” </w:t>
      </w:r>
      <w:r w:rsidR="005A34FE" w:rsidRPr="005A34FE">
        <w:rPr>
          <w:rFonts w:cs="Arial"/>
          <w:lang w:val="en-US"/>
        </w:rPr>
        <w:t xml:space="preserve">comes into operation on 1 January 2025 and applies in respect of years of assessment commencing on or after that date. </w:t>
      </w:r>
    </w:p>
    <w:p w14:paraId="6781B7F5" w14:textId="77777777" w:rsidR="00724DE9" w:rsidRPr="00665E23" w:rsidRDefault="00724DE9" w:rsidP="00FC0786">
      <w:pPr>
        <w:rPr>
          <w:rFonts w:cs="Arial"/>
        </w:rPr>
      </w:pPr>
    </w:p>
    <w:p w14:paraId="3E2BE40F" w14:textId="38D1C37A" w:rsidR="00045518" w:rsidRPr="005E29F8" w:rsidRDefault="00320714" w:rsidP="009709FD">
      <w:pPr>
        <w:pStyle w:val="Heading3"/>
      </w:pPr>
      <w:bookmarkStart w:id="81" w:name="_Toc198158744"/>
      <w:r w:rsidRPr="005E29F8">
        <w:t>RELAXING THE ASSESSED LOSS RESTRICTION RULE UNDER CERTAIN CIRCUMSTANCES</w:t>
      </w:r>
      <w:bookmarkEnd w:id="81"/>
    </w:p>
    <w:p w14:paraId="34D8E1D4" w14:textId="744DB0AC" w:rsidR="00045518" w:rsidRPr="00045518" w:rsidRDefault="00045518" w:rsidP="00FC0786">
      <w:pPr>
        <w:rPr>
          <w:lang w:val="en-US"/>
        </w:rPr>
      </w:pPr>
      <w:r>
        <w:t>[Applicable provision</w:t>
      </w:r>
      <w:r w:rsidR="00B017AF">
        <w:t>s</w:t>
      </w:r>
      <w:r w:rsidRPr="00A00912">
        <w:t>:</w:t>
      </w:r>
      <w:r w:rsidR="007F31AD" w:rsidRPr="007F31AD">
        <w:rPr>
          <w:rFonts w:eastAsiaTheme="minorHAnsi" w:cs="Arial"/>
          <w:szCs w:val="22"/>
        </w:rPr>
        <w:t xml:space="preserve"> </w:t>
      </w:r>
      <w:r w:rsidR="003A7B87">
        <w:rPr>
          <w:lang w:val="en-US"/>
        </w:rPr>
        <w:t>S</w:t>
      </w:r>
      <w:r w:rsidR="00270180" w:rsidRPr="00270180">
        <w:rPr>
          <w:lang w:val="en-US"/>
        </w:rPr>
        <w:t>ection</w:t>
      </w:r>
      <w:r w:rsidR="001A5E9B">
        <w:rPr>
          <w:lang w:val="en-US"/>
        </w:rPr>
        <w:t>s</w:t>
      </w:r>
      <w:r w:rsidR="00270180" w:rsidRPr="00270180">
        <w:rPr>
          <w:lang w:val="en-US"/>
        </w:rPr>
        <w:t xml:space="preserve"> </w:t>
      </w:r>
      <w:r w:rsidR="00B017AF">
        <w:rPr>
          <w:lang w:val="en-US"/>
        </w:rPr>
        <w:t>20 and 41</w:t>
      </w:r>
      <w:r w:rsidR="00270180" w:rsidRPr="00270180">
        <w:rPr>
          <w:lang w:val="en-US"/>
        </w:rPr>
        <w:t xml:space="preserve"> of the Act</w:t>
      </w:r>
      <w:r w:rsidRPr="00A00912">
        <w:t>]</w:t>
      </w:r>
    </w:p>
    <w:p w14:paraId="2741D1C9" w14:textId="77777777" w:rsidR="00665E23" w:rsidRDefault="00045518" w:rsidP="00665E23">
      <w:pPr>
        <w:rPr>
          <w:b/>
        </w:rPr>
      </w:pPr>
      <w:r w:rsidRPr="00FC0786">
        <w:rPr>
          <w:b/>
        </w:rPr>
        <w:t>I. Background</w:t>
      </w:r>
    </w:p>
    <w:p w14:paraId="3F70B438" w14:textId="545E483B" w:rsidR="00FA079F" w:rsidRPr="00FA079F" w:rsidRDefault="2E39C54D" w:rsidP="00FA079F">
      <w:r w:rsidRPr="0BFF9FE6">
        <w:rPr>
          <w:lang w:val="en-US"/>
        </w:rPr>
        <w:t xml:space="preserve">In general, section 20 of the Act previously allowed most taxpayers carrying on a trade to set-off assessed losses brought forward from prior years of assessments against taxable income in the current year of assessment, with any </w:t>
      </w:r>
      <w:proofErr w:type="spellStart"/>
      <w:r w:rsidRPr="0BFF9FE6">
        <w:rPr>
          <w:lang w:val="en-US"/>
        </w:rPr>
        <w:t>unutilised</w:t>
      </w:r>
      <w:proofErr w:type="spellEnd"/>
      <w:r w:rsidRPr="0BFF9FE6">
        <w:rPr>
          <w:lang w:val="en-US"/>
        </w:rPr>
        <w:t xml:space="preserve"> portion of the assessed loss available for carry forward to subsequent years of assessment. However, </w:t>
      </w:r>
      <w:r>
        <w:t xml:space="preserve">an assessed loss restriction rule was introduced into the Act for companies with years of assessment </w:t>
      </w:r>
      <w:r w:rsidR="332232F0">
        <w:t>ending</w:t>
      </w:r>
      <w:r>
        <w:t xml:space="preserve"> on or after </w:t>
      </w:r>
      <w:r w:rsidR="52341622">
        <w:t>3</w:t>
      </w:r>
      <w:r>
        <w:t xml:space="preserve">1 </w:t>
      </w:r>
      <w:r w:rsidR="493B3CA0">
        <w:t>March</w:t>
      </w:r>
      <w:r>
        <w:t xml:space="preserve"> 2022. This proposal broadened the corporate tax base by restricting the offset of assessed losses carried forward to 80 per cent of taxable income.</w:t>
      </w:r>
    </w:p>
    <w:p w14:paraId="4DA4E58D" w14:textId="2CDAFFB7" w:rsidR="00045518" w:rsidRPr="00FC0786" w:rsidRDefault="00045518" w:rsidP="00665E23">
      <w:pPr>
        <w:rPr>
          <w:b/>
        </w:rPr>
      </w:pPr>
      <w:r w:rsidRPr="00FC0786">
        <w:rPr>
          <w:b/>
        </w:rPr>
        <w:t>II. Reasons for change</w:t>
      </w:r>
    </w:p>
    <w:p w14:paraId="5BBC8D20" w14:textId="4005F49F" w:rsidR="00FA079F" w:rsidRPr="00FA079F" w:rsidRDefault="2E39C54D" w:rsidP="00FA079F">
      <w:r w:rsidRPr="4DA829A6">
        <w:t>As stated above, a taxpayer that continuously carries on a trade can set off its balance of assessed loss against income, subject to the assessed loss limitation provisions. However, where companies are being liquidated, deregistered or wound-up during a year of assessment</w:t>
      </w:r>
      <w:r w:rsidR="6E8D1DD2" w:rsidRPr="4DA829A6">
        <w:t xml:space="preserve"> they will not be able to utilise balance of assessed losses in subsequent </w:t>
      </w:r>
      <w:proofErr w:type="spellStart"/>
      <w:r w:rsidR="6E8D1DD2" w:rsidRPr="4DA829A6">
        <w:t>years</w:t>
      </w:r>
      <w:r w:rsidR="36DD25CB" w:rsidRPr="4DA829A6">
        <w:t>.</w:t>
      </w:r>
      <w:r w:rsidRPr="4DA829A6">
        <w:t>Therefore</w:t>
      </w:r>
      <w:proofErr w:type="spellEnd"/>
      <w:r w:rsidRPr="4DA829A6">
        <w:t xml:space="preserve">, there may be instances where the assessed loss limitation will result in the balance of assessed loss not being fully utilised and partially forfeited by the company that is being liquidated, deregistered or wound-up. </w:t>
      </w:r>
    </w:p>
    <w:p w14:paraId="599ED03E" w14:textId="77777777" w:rsidR="00045518" w:rsidRPr="00FC0786" w:rsidRDefault="00045518" w:rsidP="00FC0786">
      <w:pPr>
        <w:rPr>
          <w:b/>
        </w:rPr>
      </w:pPr>
      <w:r w:rsidRPr="00FC0786">
        <w:rPr>
          <w:b/>
        </w:rPr>
        <w:t>III. Proposal</w:t>
      </w:r>
    </w:p>
    <w:p w14:paraId="7001CC72" w14:textId="74015CF3" w:rsidR="00824441" w:rsidRPr="00FA079F" w:rsidRDefault="00FA079F" w:rsidP="4DA829A6">
      <w:pPr>
        <w:rPr>
          <w:rFonts w:eastAsia="Arial" w:cs="Arial"/>
          <w:color w:val="000000"/>
          <w:lang w:eastAsia="en-ZA"/>
        </w:rPr>
      </w:pPr>
      <w:bookmarkStart w:id="82" w:name="_Hlk170047927"/>
      <w:r w:rsidRPr="4DA829A6">
        <w:rPr>
          <w:rFonts w:eastAsia="Arial" w:cs="Arial"/>
          <w:color w:val="000000" w:themeColor="text1"/>
          <w:lang w:eastAsia="en-ZA"/>
        </w:rPr>
        <w:t>It is proposed that the legislation be amended to exempt companies from applying the assessed loss restriction rule while in the process of liquidation, deregistration or winding up.</w:t>
      </w:r>
    </w:p>
    <w:bookmarkEnd w:id="82"/>
    <w:p w14:paraId="2CB23B3E" w14:textId="21273E90" w:rsidR="00045518" w:rsidRPr="00FC0786" w:rsidRDefault="00045518" w:rsidP="00FC0786">
      <w:pPr>
        <w:rPr>
          <w:b/>
        </w:rPr>
      </w:pPr>
      <w:r w:rsidRPr="00FC0786">
        <w:rPr>
          <w:b/>
        </w:rPr>
        <w:t>IV. Effective date</w:t>
      </w:r>
    </w:p>
    <w:p w14:paraId="5DBB73BA" w14:textId="0E98EC88" w:rsidR="00FA079F" w:rsidRPr="00FA079F" w:rsidRDefault="3FA248AF" w:rsidP="00FA079F">
      <w:pPr>
        <w:spacing w:after="143"/>
      </w:pPr>
      <w:r>
        <w:t>The proposed amendment come</w:t>
      </w:r>
      <w:r w:rsidR="5D94D506">
        <w:t>s</w:t>
      </w:r>
      <w:r>
        <w:t xml:space="preserve"> into operation on </w:t>
      </w:r>
      <w:r w:rsidR="76496E73">
        <w:t xml:space="preserve">31 December 2024 </w:t>
      </w:r>
      <w:r>
        <w:t>and appl</w:t>
      </w:r>
      <w:r w:rsidR="567E9C79">
        <w:t>ies</w:t>
      </w:r>
      <w:r>
        <w:t xml:space="preserve"> in respect of years of assessment </w:t>
      </w:r>
      <w:r w:rsidR="0CCB8D6E">
        <w:t>ending</w:t>
      </w:r>
      <w:r>
        <w:t xml:space="preserve"> on or after that date.</w:t>
      </w:r>
    </w:p>
    <w:p w14:paraId="5944DCE5" w14:textId="41DB15FB" w:rsidR="00665E23" w:rsidRDefault="00665E23" w:rsidP="00665E23">
      <w:pPr>
        <w:spacing w:after="143"/>
      </w:pPr>
    </w:p>
    <w:p w14:paraId="1DF5DA1D" w14:textId="405DAE4C" w:rsidR="00041EFC" w:rsidRPr="005E29F8" w:rsidRDefault="006A489E" w:rsidP="009709FD">
      <w:pPr>
        <w:pStyle w:val="Heading3"/>
      </w:pPr>
      <w:bookmarkStart w:id="83" w:name="_Toc198158745"/>
      <w:r w:rsidRPr="005E29F8">
        <w:t>REVIEWING THE PROHIBITION AGAINST THE TRANSFER OF ASSETS IN TERMS OF AN AMALGAMATION TRANSACTION</w:t>
      </w:r>
      <w:bookmarkEnd w:id="83"/>
    </w:p>
    <w:p w14:paraId="7BBD5742" w14:textId="356548A1" w:rsidR="008508D9" w:rsidRPr="008508D9" w:rsidRDefault="008508D9" w:rsidP="008508D9">
      <w:pPr>
        <w:spacing w:after="143"/>
        <w:rPr>
          <w:lang w:val="en-US"/>
        </w:rPr>
      </w:pPr>
      <w:r w:rsidRPr="008508D9">
        <w:t>[</w:t>
      </w:r>
      <w:r w:rsidR="00805A5E" w:rsidRPr="008508D9">
        <w:rPr>
          <w:lang w:val="en-US"/>
        </w:rPr>
        <w:t xml:space="preserve">Applicable </w:t>
      </w:r>
      <w:r w:rsidR="00416622">
        <w:rPr>
          <w:lang w:val="en-US"/>
        </w:rPr>
        <w:t xml:space="preserve">provision: </w:t>
      </w:r>
      <w:r w:rsidR="003A7B87">
        <w:rPr>
          <w:lang w:val="en-US"/>
        </w:rPr>
        <w:t>S</w:t>
      </w:r>
      <w:r w:rsidR="006A489E" w:rsidRPr="006A489E">
        <w:rPr>
          <w:lang w:val="en-US"/>
        </w:rPr>
        <w:t>ection 44 of the Act</w:t>
      </w:r>
      <w:r w:rsidRPr="006A489E">
        <w:t>]</w:t>
      </w:r>
    </w:p>
    <w:p w14:paraId="29C97F2E" w14:textId="77777777" w:rsidR="008508D9" w:rsidRPr="008508D9" w:rsidRDefault="008508D9" w:rsidP="008508D9">
      <w:pPr>
        <w:spacing w:after="143"/>
        <w:rPr>
          <w:b/>
        </w:rPr>
      </w:pPr>
      <w:r w:rsidRPr="008508D9">
        <w:rPr>
          <w:b/>
        </w:rPr>
        <w:t>I. Background</w:t>
      </w:r>
    </w:p>
    <w:p w14:paraId="1E46D6F8" w14:textId="638877C5" w:rsidR="006A489E" w:rsidRPr="006A489E" w:rsidRDefault="006A489E" w:rsidP="006A489E">
      <w:pPr>
        <w:spacing w:after="143"/>
      </w:pPr>
      <w:r w:rsidRPr="4DA829A6">
        <w:t>In general, an “amalgamation transaction”, as defined in section 44</w:t>
      </w:r>
      <w:r w:rsidR="00986C87" w:rsidRPr="4DA829A6">
        <w:t xml:space="preserve"> of the Act</w:t>
      </w:r>
      <w:r w:rsidRPr="4DA829A6">
        <w:t>, envisages transactions in terms of which an amalgamated company transfers all of its assets into and merges with a resultant company. The following three types of transactions are covered in the definition of “amalgamation transaction”: (</w:t>
      </w:r>
      <w:proofErr w:type="spellStart"/>
      <w:r w:rsidRPr="4DA829A6">
        <w:t>i</w:t>
      </w:r>
      <w:proofErr w:type="spellEnd"/>
      <w:r w:rsidRPr="4DA829A6">
        <w:t xml:space="preserve">) a South African resident company transfers its assets to another resident company (domestic transfers), (ii) a foreign company transfers its assets to a South African resident company (inbound transfers) and (iii) a foreign company transfers its assets to another foreign company which is a controlled foreign company and is in the same group of companies as the transferee foreign company (foreign to foreign transfers).  </w:t>
      </w:r>
    </w:p>
    <w:p w14:paraId="1EB1B772" w14:textId="77777777" w:rsidR="006A489E" w:rsidRPr="006A489E" w:rsidRDefault="006A489E" w:rsidP="006A489E">
      <w:pPr>
        <w:spacing w:after="143"/>
      </w:pPr>
      <w:r w:rsidRPr="006A489E">
        <w:t>Further, “amalgamation transaction” rules do not apply if assets are transferred to companies that are wholly or partially exempt or fall outside the South African tax base because they are not fully taxable and to ensure that rollover relief is not used to obtain a permanent exemption.</w:t>
      </w:r>
    </w:p>
    <w:p w14:paraId="22D7519B" w14:textId="589669D0" w:rsidR="006A489E" w:rsidRPr="006A489E" w:rsidRDefault="4D88DEBB" w:rsidP="006A489E">
      <w:pPr>
        <w:spacing w:after="143"/>
      </w:pPr>
      <w:r>
        <w:t>The current paragraphs (</w:t>
      </w:r>
      <w:r w:rsidRPr="0BFF9FE6">
        <w:rPr>
          <w:i/>
          <w:iCs/>
        </w:rPr>
        <w:t>a</w:t>
      </w:r>
      <w:r>
        <w:t>) to (</w:t>
      </w:r>
      <w:r w:rsidRPr="0BFF9FE6">
        <w:rPr>
          <w:i/>
          <w:iCs/>
        </w:rPr>
        <w:t>g</w:t>
      </w:r>
      <w:r>
        <w:t>) of section 44(14) of the Act provides for scenarios where the amalgamation provisions will not apply and includes a scenario in paragraph (</w:t>
      </w:r>
      <w:r w:rsidRPr="0BFF9FE6">
        <w:rPr>
          <w:i/>
          <w:iCs/>
        </w:rPr>
        <w:t>d</w:t>
      </w:r>
      <w:r>
        <w:t>) where amalgamation provisions will not apply for domestic transfers where the resultant company is any association, corporation or company incorporated outside South Africa or the resultant company is a portfolio of collective in any investment scheme carried outside South Africa that is comparable to a portfolio of a collective investment scheme in participation bonds or portfolio of a collective investment in securities and does not have its place of effective management in  South Africa. However, the scenario in paragraph (</w:t>
      </w:r>
      <w:r w:rsidRPr="0BFF9FE6">
        <w:rPr>
          <w:i/>
          <w:iCs/>
        </w:rPr>
        <w:t>d</w:t>
      </w:r>
      <w:r>
        <w:t>) seem</w:t>
      </w:r>
      <w:r w:rsidR="29BB316B">
        <w:t>s</w:t>
      </w:r>
      <w:r>
        <w:t xml:space="preserve"> to be contradictory as domestic transfers only includes a resultant company which is a resident.</w:t>
      </w:r>
    </w:p>
    <w:p w14:paraId="200CF575" w14:textId="12CB3CD6" w:rsidR="008508D9" w:rsidRPr="008508D9" w:rsidRDefault="008508D9" w:rsidP="008508D9">
      <w:pPr>
        <w:spacing w:after="143"/>
        <w:rPr>
          <w:b/>
        </w:rPr>
      </w:pPr>
      <w:r w:rsidRPr="008508D9">
        <w:rPr>
          <w:b/>
        </w:rPr>
        <w:t>II. Reasons for change</w:t>
      </w:r>
    </w:p>
    <w:p w14:paraId="3E5459A6" w14:textId="2E72B1CF" w:rsidR="006A489E" w:rsidRPr="006A489E" w:rsidRDefault="006A489E" w:rsidP="006A489E">
      <w:pPr>
        <w:spacing w:after="143"/>
      </w:pPr>
      <w:r w:rsidRPr="006A489E">
        <w:t>It has come to Governmen</w:t>
      </w:r>
      <w:r w:rsidR="00067D21">
        <w:t>t</w:t>
      </w:r>
      <w:r w:rsidR="00BD11DB">
        <w:t>’</w:t>
      </w:r>
      <w:r w:rsidR="00067D21">
        <w:t>s</w:t>
      </w:r>
      <w:r w:rsidRPr="006A489E">
        <w:t xml:space="preserve"> attention that the reference in paragraph (</w:t>
      </w:r>
      <w:r w:rsidRPr="00F16120">
        <w:rPr>
          <w:i/>
          <w:iCs/>
        </w:rPr>
        <w:t>d</w:t>
      </w:r>
      <w:r w:rsidRPr="006A489E">
        <w:t xml:space="preserve">) of section 44(14) </w:t>
      </w:r>
      <w:r w:rsidR="00BD11DB">
        <w:t xml:space="preserve">of the Act </w:t>
      </w:r>
      <w:r w:rsidRPr="006A489E">
        <w:t>to a resultant company that is a foreign company that does not have a place of effective management in South Africa in relation to domestic transfers seem to be misaligned and unclear as domestic transfers only include a resultant company which is a resident.</w:t>
      </w:r>
    </w:p>
    <w:p w14:paraId="65CB8E55" w14:textId="1AE089F8" w:rsidR="008508D9" w:rsidRPr="008508D9" w:rsidRDefault="008508D9" w:rsidP="00FB44AB">
      <w:pPr>
        <w:spacing w:after="143"/>
        <w:rPr>
          <w:b/>
        </w:rPr>
      </w:pPr>
      <w:r w:rsidRPr="008508D9">
        <w:rPr>
          <w:b/>
        </w:rPr>
        <w:t>III. Proposal</w:t>
      </w:r>
    </w:p>
    <w:p w14:paraId="629857A4" w14:textId="77777777" w:rsidR="006A489E" w:rsidRPr="006A489E" w:rsidRDefault="006A489E" w:rsidP="006A489E">
      <w:pPr>
        <w:spacing w:after="143"/>
      </w:pPr>
      <w:bookmarkStart w:id="84" w:name="_Hlk166552438"/>
      <w:r w:rsidRPr="006A489E">
        <w:t xml:space="preserve">Given that domestic transfers in terms of “amalgamation transaction” rules do not include transfers to foreign companies, it is proposed that the exclusion for domestic transfers to a resultant company that is any association, corporation or company incorporated outside South Africa or the resultant company that is a portfolio of collective in any investment scheme carried outside South Africa and does not have its place of effective management in South Africa be deleted. </w:t>
      </w:r>
    </w:p>
    <w:bookmarkEnd w:id="84"/>
    <w:p w14:paraId="68DE83CE" w14:textId="00A18074" w:rsidR="008508D9" w:rsidRPr="008508D9" w:rsidRDefault="008508D9" w:rsidP="00FB44AB">
      <w:pPr>
        <w:spacing w:after="143"/>
        <w:rPr>
          <w:b/>
        </w:rPr>
      </w:pPr>
      <w:r w:rsidRPr="008508D9">
        <w:rPr>
          <w:b/>
        </w:rPr>
        <w:t>IV. Effective date</w:t>
      </w:r>
    </w:p>
    <w:p w14:paraId="5F569524" w14:textId="77777777" w:rsidR="006A489E" w:rsidRPr="006A489E" w:rsidRDefault="006A489E" w:rsidP="006A489E">
      <w:pPr>
        <w:spacing w:after="143"/>
        <w:rPr>
          <w:lang w:val="en-US"/>
        </w:rPr>
      </w:pPr>
      <w:r w:rsidRPr="006A489E">
        <w:rPr>
          <w:lang w:val="en-US"/>
        </w:rPr>
        <w:t xml:space="preserve">The proposed amendment will come into operation on the date of promulgation of the Taxation Laws Amendment Act of 2024. </w:t>
      </w:r>
    </w:p>
    <w:p w14:paraId="494FD2C1" w14:textId="77777777" w:rsidR="00320714" w:rsidRDefault="00320714" w:rsidP="00665E23">
      <w:pPr>
        <w:spacing w:after="143"/>
      </w:pPr>
    </w:p>
    <w:p w14:paraId="72DB4932" w14:textId="6D7F2619" w:rsidR="00320714" w:rsidRPr="005E29F8" w:rsidRDefault="00E26068" w:rsidP="009709FD">
      <w:pPr>
        <w:pStyle w:val="Heading3"/>
      </w:pPr>
      <w:bookmarkStart w:id="85" w:name="_Toc198158746"/>
      <w:r w:rsidRPr="005E29F8">
        <w:t xml:space="preserve">THIRD-PARTY BACKED SHARES: </w:t>
      </w:r>
      <w:r w:rsidR="00696DB1" w:rsidRPr="005E29F8">
        <w:t>EXTENDING THE DEFINITION OF “ENFORCEMENT RIGHT” TO A CONNECTED PERSON</w:t>
      </w:r>
      <w:bookmarkEnd w:id="85"/>
    </w:p>
    <w:p w14:paraId="6CC0C8A2" w14:textId="5CB40052" w:rsidR="00E26068" w:rsidRPr="00076C09" w:rsidRDefault="00E26068" w:rsidP="00E26068">
      <w:pPr>
        <w:rPr>
          <w:lang w:val="en-US"/>
        </w:rPr>
      </w:pPr>
      <w:r w:rsidRPr="00076C09">
        <w:t xml:space="preserve">[Applicable provision: </w:t>
      </w:r>
      <w:r w:rsidR="003A7B87">
        <w:t>S</w:t>
      </w:r>
      <w:r w:rsidRPr="00E26068">
        <w:t>ection 8EA</w:t>
      </w:r>
      <w:r w:rsidRPr="00E26068">
        <w:rPr>
          <w:lang w:val="en-US"/>
        </w:rPr>
        <w:t xml:space="preserve"> </w:t>
      </w:r>
      <w:r w:rsidRPr="00076C09">
        <w:rPr>
          <w:lang w:val="en-US"/>
        </w:rPr>
        <w:t>of the Act</w:t>
      </w:r>
      <w:r w:rsidRPr="00076C09">
        <w:t>]</w:t>
      </w:r>
    </w:p>
    <w:p w14:paraId="3ADDEFEA" w14:textId="77777777" w:rsidR="00E26068" w:rsidRPr="00076C09" w:rsidRDefault="00E26068" w:rsidP="00E26068">
      <w:pPr>
        <w:rPr>
          <w:b/>
        </w:rPr>
      </w:pPr>
      <w:r w:rsidRPr="00076C09">
        <w:rPr>
          <w:b/>
        </w:rPr>
        <w:t>I. Background</w:t>
      </w:r>
    </w:p>
    <w:p w14:paraId="02A204A4" w14:textId="1BB6E7AA" w:rsidR="00824441" w:rsidRPr="00076C09" w:rsidRDefault="7FC7011A" w:rsidP="00E26068">
      <w:r w:rsidRPr="4DA829A6">
        <w:t xml:space="preserve">The Act contains dedicated third-party backed share anti-avoidance rules to deal with preference shares with dividend yields backed by third parties through an enforcement right. These anti-avoidance rules deem dividend yields of third-party backed shares as </w:t>
      </w:r>
      <w:r w:rsidR="57CE2DB7" w:rsidRPr="4DA829A6">
        <w:t xml:space="preserve">income </w:t>
      </w:r>
      <w:r w:rsidRPr="4DA829A6">
        <w:t xml:space="preserve">unless the funds derived from the issue of the third-party backed shares are used for a qualifying purpose. </w:t>
      </w:r>
    </w:p>
    <w:p w14:paraId="023E66C4" w14:textId="2EF91E0F" w:rsidR="00E26068" w:rsidRPr="00076C09" w:rsidRDefault="00E26068" w:rsidP="00E26068">
      <w:pPr>
        <w:rPr>
          <w:b/>
        </w:rPr>
      </w:pPr>
      <w:r w:rsidRPr="00076C09">
        <w:rPr>
          <w:b/>
        </w:rPr>
        <w:t>II. Reasons for change</w:t>
      </w:r>
    </w:p>
    <w:p w14:paraId="6B1AE6B6" w14:textId="72622425" w:rsidR="00581061" w:rsidRPr="00581061" w:rsidRDefault="00581061" w:rsidP="00581061">
      <w:r w:rsidRPr="4DA829A6">
        <w:t>An “enforcement right”, as defined in the Act, encompasses a right of the holder of a share or equity instrument</w:t>
      </w:r>
      <w:bookmarkStart w:id="86" w:name="_Hlk164865446"/>
      <w:r w:rsidRPr="4DA829A6">
        <w:t>, or any connected person in relation to that holder</w:t>
      </w:r>
      <w:bookmarkEnd w:id="86"/>
      <w:r w:rsidRPr="4DA829A6">
        <w:t xml:space="preserve"> to enforce performance by another third-party person in respect of that share, by obligating that third-party person, to: </w:t>
      </w:r>
    </w:p>
    <w:p w14:paraId="0A4576CC" w14:textId="77777777" w:rsidR="00581061" w:rsidRPr="00581061" w:rsidRDefault="00581061" w:rsidP="00B145CB">
      <w:pPr>
        <w:numPr>
          <w:ilvl w:val="0"/>
          <w:numId w:val="30"/>
        </w:numPr>
      </w:pPr>
      <w:r w:rsidRPr="4DA829A6">
        <w:t>acquire that share from that holder;</w:t>
      </w:r>
    </w:p>
    <w:p w14:paraId="25EB2D41" w14:textId="77777777" w:rsidR="00581061" w:rsidRPr="00581061" w:rsidRDefault="00581061" w:rsidP="00B145CB">
      <w:pPr>
        <w:numPr>
          <w:ilvl w:val="0"/>
          <w:numId w:val="30"/>
        </w:numPr>
      </w:pPr>
      <w:r w:rsidRPr="4DA829A6">
        <w:t>make any payment in respect of that share in terms of a guarantee, indemnity or similar arrangement; or</w:t>
      </w:r>
    </w:p>
    <w:p w14:paraId="4A33D27B" w14:textId="77777777" w:rsidR="00581061" w:rsidRPr="00581061" w:rsidRDefault="00581061" w:rsidP="00B145CB">
      <w:pPr>
        <w:numPr>
          <w:ilvl w:val="0"/>
          <w:numId w:val="30"/>
        </w:numPr>
      </w:pPr>
      <w:r w:rsidRPr="4DA829A6">
        <w:t>procure, facilitate or assist with any of the above.</w:t>
      </w:r>
    </w:p>
    <w:p w14:paraId="411E978B" w14:textId="77777777" w:rsidR="00581061" w:rsidRPr="00581061" w:rsidRDefault="00581061" w:rsidP="00581061">
      <w:r w:rsidRPr="00581061">
        <w:t>A “third-party backed share”, as defined in the Act, encompasses any preference share or equity instrument in respect of which an enforcement right is exercisable by the holder of that preference share or equity instrument as a result of any amount of any specified dividend, foreign dividend, return of capital or foreign return of capital attributable to that share or equity instrument not being received by or accruing to any person entitled thereto.</w:t>
      </w:r>
    </w:p>
    <w:p w14:paraId="5DFEC6A3" w14:textId="1C98C9D1" w:rsidR="005E29F8" w:rsidRDefault="00581061" w:rsidP="00581061">
      <w:r w:rsidRPr="00581061">
        <w:t>At issue is that there is an unintended anomaly between the two definitions where the definition of a “third-party backed share” does not clearly match the policy intent and respective legislative wording, compared to the “enforcement right” definition, that either a holder or a connected person to that holder could hold that enforcement right</w:t>
      </w:r>
      <w:r>
        <w:t>.</w:t>
      </w:r>
    </w:p>
    <w:p w14:paraId="5F499153" w14:textId="582F47F9" w:rsidR="00E26068" w:rsidRPr="00076C09" w:rsidRDefault="00E26068" w:rsidP="00581061">
      <w:pPr>
        <w:rPr>
          <w:b/>
        </w:rPr>
      </w:pPr>
      <w:r w:rsidRPr="00076C09">
        <w:rPr>
          <w:b/>
        </w:rPr>
        <w:t>III. Proposal</w:t>
      </w:r>
    </w:p>
    <w:p w14:paraId="33F498A6" w14:textId="77777777" w:rsidR="00581061" w:rsidRPr="00581061" w:rsidRDefault="00581061" w:rsidP="00581061">
      <w:r w:rsidRPr="00581061">
        <w:t xml:space="preserve">Government proposes that the definition of a “third-party backed share” be clarified to address this anomaly by amending that definition to match the policy intent that the enforcement right is exercisable by either the holder or any connected person in relation to that holder. </w:t>
      </w:r>
    </w:p>
    <w:p w14:paraId="0704DD8C" w14:textId="77777777" w:rsidR="00E26068" w:rsidRPr="00076C09" w:rsidRDefault="00E26068" w:rsidP="00E26068">
      <w:pPr>
        <w:rPr>
          <w:b/>
        </w:rPr>
      </w:pPr>
      <w:r w:rsidRPr="00076C09">
        <w:rPr>
          <w:b/>
        </w:rPr>
        <w:t>IV. Effective date</w:t>
      </w:r>
    </w:p>
    <w:p w14:paraId="68B661A1" w14:textId="52E21875" w:rsidR="00581061" w:rsidRPr="00581061" w:rsidRDefault="56195790" w:rsidP="00581061">
      <w:pPr>
        <w:spacing w:after="143"/>
      </w:pPr>
      <w:r>
        <w:t>The proposed amendment</w:t>
      </w:r>
      <w:r w:rsidR="239F9CC9">
        <w:t>s</w:t>
      </w:r>
      <w:r>
        <w:t xml:space="preserve"> come</w:t>
      </w:r>
      <w:r w:rsidR="0AC8C9E0">
        <w:t>s</w:t>
      </w:r>
      <w:r>
        <w:t xml:space="preserve"> into operation on </w:t>
      </w:r>
      <w:r w:rsidR="64158470">
        <w:t>1 January 2025 and applies in respect of dividends or foreign dividends</w:t>
      </w:r>
      <w:r w:rsidR="25781D6C">
        <w:t xml:space="preserve"> received or accrued during years of assessment commencing </w:t>
      </w:r>
      <w:r w:rsidR="5EC2E31C">
        <w:t>on or after</w:t>
      </w:r>
      <w:r w:rsidR="25781D6C">
        <w:t xml:space="preserve"> that date.</w:t>
      </w:r>
    </w:p>
    <w:p w14:paraId="7138F69F" w14:textId="77777777" w:rsidR="00320714" w:rsidRDefault="00320714" w:rsidP="00665E23">
      <w:pPr>
        <w:spacing w:after="143"/>
      </w:pPr>
    </w:p>
    <w:p w14:paraId="68421042" w14:textId="6B949214" w:rsidR="00320714" w:rsidRPr="005E29F8" w:rsidRDefault="00E26068" w:rsidP="009709FD">
      <w:pPr>
        <w:pStyle w:val="Heading3"/>
      </w:pPr>
      <w:bookmarkStart w:id="87" w:name="_Toc198158747"/>
      <w:r w:rsidRPr="005E29F8">
        <w:t xml:space="preserve">THIRD-PARTY BACKED SHARES: </w:t>
      </w:r>
      <w:r w:rsidR="00696DB1" w:rsidRPr="005E29F8">
        <w:t>EXTENDING EXCLUSIONS TO THE OWNERSHIP REQUIREMENT</w:t>
      </w:r>
      <w:bookmarkEnd w:id="87"/>
    </w:p>
    <w:p w14:paraId="7F0F3FDF" w14:textId="5BE687FF" w:rsidR="00E26068" w:rsidRPr="00076C09" w:rsidRDefault="00E26068" w:rsidP="00E26068">
      <w:pPr>
        <w:rPr>
          <w:lang w:val="en-US"/>
        </w:rPr>
      </w:pPr>
      <w:r w:rsidRPr="00076C09">
        <w:t xml:space="preserve">[Applicable provision: </w:t>
      </w:r>
      <w:r w:rsidR="003A7B87">
        <w:rPr>
          <w:lang w:val="en-US"/>
        </w:rPr>
        <w:t>S</w:t>
      </w:r>
      <w:r w:rsidRPr="00E26068">
        <w:rPr>
          <w:lang w:val="en-US"/>
        </w:rPr>
        <w:t>ection 8EA</w:t>
      </w:r>
      <w:r w:rsidRPr="00076C09">
        <w:t>]</w:t>
      </w:r>
    </w:p>
    <w:p w14:paraId="07124AD9" w14:textId="77777777" w:rsidR="00E26068" w:rsidRPr="00076C09" w:rsidRDefault="00E26068" w:rsidP="00E26068">
      <w:pPr>
        <w:rPr>
          <w:b/>
        </w:rPr>
      </w:pPr>
      <w:r w:rsidRPr="00076C09">
        <w:rPr>
          <w:b/>
        </w:rPr>
        <w:t>I. Background</w:t>
      </w:r>
    </w:p>
    <w:p w14:paraId="00454830" w14:textId="77777777" w:rsidR="00581061" w:rsidRPr="00581061" w:rsidRDefault="00581061" w:rsidP="00581061">
      <w:r w:rsidRPr="4DA829A6">
        <w:t>The third</w:t>
      </w:r>
      <w:r w:rsidRPr="4DA829A6">
        <w:rPr>
          <w:rFonts w:ascii="Cambria Math" w:hAnsi="Cambria Math" w:cs="Cambria Math"/>
        </w:rPr>
        <w:t>‐</w:t>
      </w:r>
      <w:r w:rsidRPr="4DA829A6">
        <w:t>party backed share anti</w:t>
      </w:r>
      <w:r w:rsidRPr="4DA829A6">
        <w:rPr>
          <w:rFonts w:ascii="Cambria Math" w:hAnsi="Cambria Math" w:cs="Cambria Math"/>
        </w:rPr>
        <w:t>‐</w:t>
      </w:r>
      <w:r w:rsidRPr="4DA829A6">
        <w:t>avoidance rules deem dividend yields of preference shares, backed by third parties through an enforcement right of the holder, to be income except where the funds derived from the issue of these third</w:t>
      </w:r>
      <w:r w:rsidRPr="4DA829A6">
        <w:rPr>
          <w:rFonts w:ascii="Cambria Math" w:hAnsi="Cambria Math" w:cs="Cambria Math"/>
        </w:rPr>
        <w:t>‐</w:t>
      </w:r>
      <w:r w:rsidRPr="4DA829A6">
        <w:t xml:space="preserve">party backed shares are used for a qualifying purpose. </w:t>
      </w:r>
    </w:p>
    <w:p w14:paraId="7CEF05CB" w14:textId="46D12715" w:rsidR="00581061" w:rsidRPr="00581061" w:rsidRDefault="7FC7011A" w:rsidP="00581061">
      <w:r w:rsidRPr="4DA829A6">
        <w:t>With effect from 1 January 2024, certain ownership requirement refinements on equity shares acquired in a targeted operating company, for a qualifying purpose, by the person that acquired those equity shares, came into effect. The main objective of these refinements was to specifically clarify the ownership requirement test, on the equity shares in the targeted operational company, at the time of the receipt or accrual of any dividend or foreign dividend. The new ownership requirement test includes certain exceptions, including that:</w:t>
      </w:r>
    </w:p>
    <w:p w14:paraId="78BE2AF7" w14:textId="77777777" w:rsidR="00581061" w:rsidRPr="00581061" w:rsidRDefault="00581061" w:rsidP="00B145CB">
      <w:pPr>
        <w:numPr>
          <w:ilvl w:val="0"/>
          <w:numId w:val="26"/>
        </w:numPr>
      </w:pPr>
      <w:bookmarkStart w:id="88" w:name="_Hlk164653305"/>
      <w:r w:rsidRPr="00581061">
        <w:t>if the equity shares in the targeted operating company were disposed of and the funds derived from that disposal are used by the issuer of the preference share to settle that preference share within 90-days of that disposal</w:t>
      </w:r>
      <w:bookmarkEnd w:id="88"/>
      <w:r w:rsidRPr="00581061">
        <w:t>; and</w:t>
      </w:r>
    </w:p>
    <w:p w14:paraId="74B90309" w14:textId="75DF667F" w:rsidR="004857B2" w:rsidRPr="00581061" w:rsidRDefault="00581061" w:rsidP="004857B2">
      <w:pPr>
        <w:numPr>
          <w:ilvl w:val="0"/>
          <w:numId w:val="26"/>
        </w:numPr>
      </w:pPr>
      <w:r w:rsidRPr="00581061">
        <w:t>the ownership requirement will not apply if that equity share was a listed share and was substituted for another listed share in terms of an arrangement that is announced and released as a corporate action on a South African regulated stock exchange.</w:t>
      </w:r>
    </w:p>
    <w:p w14:paraId="2A710F7A" w14:textId="77777777" w:rsidR="00E26068" w:rsidRPr="00076C09" w:rsidRDefault="00E26068" w:rsidP="00E26068">
      <w:pPr>
        <w:rPr>
          <w:b/>
        </w:rPr>
      </w:pPr>
      <w:r w:rsidRPr="00076C09">
        <w:rPr>
          <w:b/>
        </w:rPr>
        <w:t>II. Reasons for change</w:t>
      </w:r>
    </w:p>
    <w:p w14:paraId="2962EC3B" w14:textId="60D51DA7" w:rsidR="00581061" w:rsidRPr="00581061" w:rsidRDefault="7FC7011A" w:rsidP="00581061">
      <w:r>
        <w:t xml:space="preserve">It has come to </w:t>
      </w:r>
      <w:r w:rsidR="16CBAC5C">
        <w:t>G</w:t>
      </w:r>
      <w:r>
        <w:t xml:space="preserve">overnment’s attention that the exceptions to the ownership requirement test </w:t>
      </w:r>
      <w:r w:rsidR="5E70DA57">
        <w:t>may</w:t>
      </w:r>
      <w:r>
        <w:t xml:space="preserve"> be to narrow and could impede legitimate transactions envisaged in the relevant policy rationale.</w:t>
      </w:r>
    </w:p>
    <w:p w14:paraId="530D6EEC" w14:textId="77777777" w:rsidR="00581061" w:rsidRPr="005125FE" w:rsidRDefault="00581061" w:rsidP="00B145CB">
      <w:pPr>
        <w:numPr>
          <w:ilvl w:val="0"/>
          <w:numId w:val="27"/>
        </w:numPr>
      </w:pPr>
      <w:r w:rsidRPr="005125FE">
        <w:t>Settlement</w:t>
      </w:r>
    </w:p>
    <w:p w14:paraId="45652542" w14:textId="77777777" w:rsidR="00581061" w:rsidRPr="00581061" w:rsidRDefault="00581061" w:rsidP="00581061">
      <w:r w:rsidRPr="00581061">
        <w:t>A qualifying purpose for the use of funds derived from the issue of a preference share includes, amongst others, the—</w:t>
      </w:r>
    </w:p>
    <w:p w14:paraId="5453206E" w14:textId="77777777" w:rsidR="00581061" w:rsidRPr="00581061" w:rsidRDefault="00581061" w:rsidP="00B145CB">
      <w:pPr>
        <w:numPr>
          <w:ilvl w:val="0"/>
          <w:numId w:val="28"/>
        </w:numPr>
      </w:pPr>
      <w:r w:rsidRPr="00581061">
        <w:t>acquisition or redemption of any preference shares previously used for any qualifying purpose;</w:t>
      </w:r>
    </w:p>
    <w:p w14:paraId="140FF26E" w14:textId="77777777" w:rsidR="00581061" w:rsidRPr="00581061" w:rsidRDefault="00581061" w:rsidP="00B145CB">
      <w:pPr>
        <w:numPr>
          <w:ilvl w:val="0"/>
          <w:numId w:val="28"/>
        </w:numPr>
      </w:pPr>
      <w:r w:rsidRPr="4DA829A6">
        <w:t>settlement of debt used for the purposes set out above and any interest accruing on such debt.</w:t>
      </w:r>
    </w:p>
    <w:p w14:paraId="42D430F7" w14:textId="77777777" w:rsidR="00581061" w:rsidRPr="00581061" w:rsidRDefault="00581061" w:rsidP="00581061">
      <w:r w:rsidRPr="4DA829A6">
        <w:t xml:space="preserve">The use of funds for the qualifying purpose refinancing arrangements above has specific legislative clarity to, as a matter of policy, extend the use of funds or consideration for the newly issued preference share to settle any accrued dividends, foreign dividends or interest in the relevant settlement amount. </w:t>
      </w:r>
    </w:p>
    <w:p w14:paraId="616746C0" w14:textId="1C0CC1CB" w:rsidR="00581061" w:rsidRPr="00581061" w:rsidRDefault="7FC7011A" w:rsidP="00581061">
      <w:r w:rsidRPr="4DA829A6">
        <w:t>At issue is that the new ownership requirement test does not contain the same legislative clarity in terms of the settlement of any accrued dividends</w:t>
      </w:r>
      <w:r w:rsidR="4EC5DD68" w:rsidRPr="4DA829A6">
        <w:t xml:space="preserve"> or</w:t>
      </w:r>
      <w:r w:rsidRPr="4DA829A6">
        <w:t xml:space="preserve"> foreign dividends payable by the issuer of a preference share in relation to the settlement of that preference share within 90-days of that disposal.</w:t>
      </w:r>
    </w:p>
    <w:p w14:paraId="5212177B" w14:textId="77777777" w:rsidR="00581061" w:rsidRPr="00B3777B" w:rsidRDefault="00581061" w:rsidP="00B145CB">
      <w:pPr>
        <w:numPr>
          <w:ilvl w:val="0"/>
          <w:numId w:val="27"/>
        </w:numPr>
      </w:pPr>
      <w:r w:rsidRPr="00B3777B">
        <w:t>Recognised exchange</w:t>
      </w:r>
    </w:p>
    <w:p w14:paraId="1B1B9A75" w14:textId="77777777" w:rsidR="00581061" w:rsidRPr="00581061" w:rsidRDefault="00581061" w:rsidP="00581061">
      <w:r w:rsidRPr="00581061">
        <w:t>The purpose of the corporate action exception in the ownership requirement test was to cater for those instances where that corporate action impacted on the person’s ability to, at the time of the receipt or accrual of any dividend or foreign dividend came into effect, still hold the acquired listed equity shares of the targeted operating company.</w:t>
      </w:r>
    </w:p>
    <w:p w14:paraId="0D014D01" w14:textId="26A8E3EE" w:rsidR="00581061" w:rsidRPr="00581061" w:rsidRDefault="00581061" w:rsidP="00581061">
      <w:r w:rsidRPr="00581061">
        <w:t xml:space="preserve">The </w:t>
      </w:r>
      <w:r w:rsidR="00BB2487">
        <w:t>“</w:t>
      </w:r>
      <w:r w:rsidRPr="00581061">
        <w:t>operating company</w:t>
      </w:r>
      <w:r w:rsidR="00BB2487">
        <w:t>”</w:t>
      </w:r>
      <w:r w:rsidRPr="00581061">
        <w:t xml:space="preserve"> definition read together with the </w:t>
      </w:r>
      <w:r w:rsidR="00660ECE">
        <w:t>“</w:t>
      </w:r>
      <w:r w:rsidRPr="00581061">
        <w:t>qualifying purpose</w:t>
      </w:r>
      <w:r w:rsidR="00660ECE">
        <w:t>”</w:t>
      </w:r>
      <w:r w:rsidRPr="00581061">
        <w:t xml:space="preserve"> definition allows for the acquisition of equity shares in a listed company which would by definition include a company whose shares or depository receipts in respect of its shares are listed on a stock exchange in a country other than the Republic which has been recognised by the Minister of Finance as contemplated in paragraph (</w:t>
      </w:r>
      <w:r w:rsidRPr="00581061">
        <w:rPr>
          <w:i/>
        </w:rPr>
        <w:t>c</w:t>
      </w:r>
      <w:r w:rsidRPr="00581061">
        <w:t xml:space="preserve">) of the definition of “recognised exchange” in paragraph 1 of the Eighth Schedule.  </w:t>
      </w:r>
    </w:p>
    <w:p w14:paraId="3D7A5455" w14:textId="19B8BB6B" w:rsidR="00824441" w:rsidRPr="00581061" w:rsidRDefault="00581061" w:rsidP="00581061">
      <w:r w:rsidRPr="00581061">
        <w:t>At issue is that the corporate action exception noted above in the ownership requirement test currently only applies to equity shares that is listed on a South African exchange licensed under the Financial Markets Act.</w:t>
      </w:r>
    </w:p>
    <w:p w14:paraId="0F29845F" w14:textId="77777777" w:rsidR="00E26068" w:rsidRPr="00076C09" w:rsidRDefault="00E26068" w:rsidP="00E26068">
      <w:pPr>
        <w:rPr>
          <w:b/>
        </w:rPr>
      </w:pPr>
      <w:r w:rsidRPr="00076C09">
        <w:rPr>
          <w:b/>
        </w:rPr>
        <w:t>III. Proposal</w:t>
      </w:r>
    </w:p>
    <w:p w14:paraId="18932A05" w14:textId="006AF999" w:rsidR="00500545" w:rsidRPr="00581061" w:rsidRDefault="00581061" w:rsidP="00581061">
      <w:r w:rsidRPr="4DA829A6">
        <w:t>In order to address concerns regarding the fact that the ownership requirement test exceptions are too narrow, and may impede legitimate transactions, an amendment is proposed to the legislation:</w:t>
      </w:r>
    </w:p>
    <w:p w14:paraId="01BB1CD2" w14:textId="77777777" w:rsidR="00581061" w:rsidRPr="005A34FE" w:rsidRDefault="00581061" w:rsidP="00B145CB">
      <w:pPr>
        <w:numPr>
          <w:ilvl w:val="0"/>
          <w:numId w:val="29"/>
        </w:numPr>
      </w:pPr>
      <w:r w:rsidRPr="005A34FE">
        <w:t>Settlement</w:t>
      </w:r>
    </w:p>
    <w:p w14:paraId="024D444A" w14:textId="5008264F" w:rsidR="00581061" w:rsidRPr="00581061" w:rsidRDefault="7FC7011A" w:rsidP="00581061">
      <w:r>
        <w:t>It is proposed that the legislation be amended to clarify that the redemption of the preference share in terms of the ownership requirement test includes the settlement of any amounts of dividends</w:t>
      </w:r>
      <w:r w:rsidR="25607A43">
        <w:t xml:space="preserve"> or</w:t>
      </w:r>
      <w:r>
        <w:t xml:space="preserve"> foreign dividends accrued in respect of that preference share.</w:t>
      </w:r>
    </w:p>
    <w:p w14:paraId="69416D80" w14:textId="77777777" w:rsidR="00581061" w:rsidRPr="00EA1960" w:rsidRDefault="00581061" w:rsidP="00B145CB">
      <w:pPr>
        <w:numPr>
          <w:ilvl w:val="0"/>
          <w:numId w:val="29"/>
        </w:numPr>
      </w:pPr>
      <w:r w:rsidRPr="00EA1960">
        <w:t>Recognised exchange</w:t>
      </w:r>
    </w:p>
    <w:p w14:paraId="3527E136" w14:textId="63B288E0" w:rsidR="005641A9" w:rsidRPr="00581061" w:rsidRDefault="7FC7011A" w:rsidP="00581061">
      <w:r>
        <w:t>It is proposed that the ownership requirement test exclusion be extended to include corporate actions relating to listed share</w:t>
      </w:r>
      <w:r w:rsidR="10637002">
        <w:t>s</w:t>
      </w:r>
      <w:r>
        <w:t xml:space="preserve"> on a recognised exchange in a country other than South Africa. As a result, the ownership requirement will not apply if that foreign equity share was a listed share and was substituted for another listed share in terms of an arrangement that is announced and released as a corporate action on stock exchange in a country other than the Republic which has been recognised by the Minister of Finance as contemplated in paragraph (</w:t>
      </w:r>
      <w:r w:rsidRPr="0BFF9FE6">
        <w:rPr>
          <w:i/>
          <w:iCs/>
        </w:rPr>
        <w:t>c</w:t>
      </w:r>
      <w:r>
        <w:t xml:space="preserve">) of the definition of “recognised exchange” in paragraph 1 of the Eighth Schedule.  </w:t>
      </w:r>
    </w:p>
    <w:p w14:paraId="15B5138F" w14:textId="78864EB7" w:rsidR="002A1F62" w:rsidRPr="00EA1960" w:rsidRDefault="00E26068" w:rsidP="00EA1960">
      <w:pPr>
        <w:rPr>
          <w:b/>
        </w:rPr>
      </w:pPr>
      <w:r w:rsidRPr="00076C09">
        <w:rPr>
          <w:b/>
        </w:rPr>
        <w:t>IV. Effective date</w:t>
      </w:r>
    </w:p>
    <w:p w14:paraId="5A8C82D5" w14:textId="58ED8F26" w:rsidR="002A1F62" w:rsidRPr="00310930" w:rsidRDefault="4C913D22" w:rsidP="007D2527">
      <w:pPr>
        <w:numPr>
          <w:ilvl w:val="0"/>
          <w:numId w:val="44"/>
        </w:numPr>
      </w:pPr>
      <w:r w:rsidRPr="00310930">
        <w:t xml:space="preserve">Settlement </w:t>
      </w:r>
    </w:p>
    <w:p w14:paraId="1941BA11" w14:textId="7F8CF800" w:rsidR="002A1F62" w:rsidRPr="00310930" w:rsidRDefault="182006AF" w:rsidP="007D2527">
      <w:pPr>
        <w:spacing w:after="143"/>
      </w:pPr>
      <w:r w:rsidRPr="00310930">
        <w:t xml:space="preserve">The proposed amendment </w:t>
      </w:r>
      <w:r w:rsidR="3EA89597" w:rsidRPr="00310930">
        <w:t>is deemed to have come</w:t>
      </w:r>
      <w:r w:rsidRPr="00310930">
        <w:t xml:space="preserve"> into operation on </w:t>
      </w:r>
      <w:r w:rsidR="334F6087" w:rsidRPr="00310930">
        <w:t>1 January 2024 and applies in respect of the settlement of an amount of dividends or foreign dividends in respect of that preference share, during years of assessment commencing on or after that date.</w:t>
      </w:r>
    </w:p>
    <w:p w14:paraId="6FC67B69" w14:textId="7833930F" w:rsidR="002A1F62" w:rsidRPr="002A1F62" w:rsidRDefault="4C913D22" w:rsidP="00EA1960">
      <w:pPr>
        <w:numPr>
          <w:ilvl w:val="0"/>
          <w:numId w:val="44"/>
        </w:numPr>
      </w:pPr>
      <w:r w:rsidRPr="00310930">
        <w:t>Recognised exchange</w:t>
      </w:r>
    </w:p>
    <w:p w14:paraId="4617247C" w14:textId="6EEB3C6E" w:rsidR="002A1F62" w:rsidRPr="002A1F62" w:rsidRDefault="22CF6466" w:rsidP="002A1F62">
      <w:pPr>
        <w:spacing w:after="143"/>
      </w:pPr>
      <w:r>
        <w:t>The proposed amendment come</w:t>
      </w:r>
      <w:r w:rsidR="4B7C9BB4">
        <w:t>s</w:t>
      </w:r>
      <w:r>
        <w:t xml:space="preserve"> into operation on </w:t>
      </w:r>
      <w:r w:rsidR="394C5D0A">
        <w:t>1 January 2025 and applies in respect of dividends or foreign dividends received or accrued during years of assessment commencing on or after that date.</w:t>
      </w:r>
    </w:p>
    <w:p w14:paraId="0570E4D4" w14:textId="77777777" w:rsidR="00E26068" w:rsidRDefault="00E26068" w:rsidP="00665E23">
      <w:pPr>
        <w:spacing w:after="143"/>
      </w:pPr>
    </w:p>
    <w:p w14:paraId="78DCCA4F" w14:textId="2BBA62F3" w:rsidR="00320714" w:rsidRPr="00D3197E" w:rsidRDefault="00D26309" w:rsidP="009709FD">
      <w:pPr>
        <w:pStyle w:val="Heading3"/>
      </w:pPr>
      <w:bookmarkStart w:id="89" w:name="_Toc198158748"/>
      <w:r w:rsidRPr="00D3197E">
        <w:t>TRANSLATING “CONTRIBUTED TAX CAPITAL” FROM FOREIGN CURRENCY TO RANDS</w:t>
      </w:r>
      <w:bookmarkEnd w:id="89"/>
      <w:r w:rsidR="00DF751E" w:rsidRPr="00D3197E">
        <w:t xml:space="preserve"> </w:t>
      </w:r>
    </w:p>
    <w:p w14:paraId="0BC9A6C1" w14:textId="3C2F3C01" w:rsidR="00D26309" w:rsidRPr="00760684" w:rsidRDefault="00D26309" w:rsidP="00D26309">
      <w:pPr>
        <w:rPr>
          <w:lang w:val="en-US"/>
        </w:rPr>
      </w:pPr>
      <w:r w:rsidRPr="00BC05BC">
        <w:rPr>
          <w:lang w:val="en-US"/>
        </w:rPr>
        <w:t>[Applicable provision:</w:t>
      </w:r>
      <w:r w:rsidRPr="007F31AD">
        <w:rPr>
          <w:rFonts w:eastAsia="Calibri" w:cs="Arial"/>
          <w:szCs w:val="22"/>
          <w:lang w:val="en-US"/>
        </w:rPr>
        <w:t xml:space="preserve"> </w:t>
      </w:r>
      <w:r w:rsidR="00421762">
        <w:rPr>
          <w:lang w:val="en-US"/>
        </w:rPr>
        <w:t>S</w:t>
      </w:r>
      <w:r w:rsidRPr="007F31AD">
        <w:rPr>
          <w:lang w:val="en-US"/>
        </w:rPr>
        <w:t xml:space="preserve">ection </w:t>
      </w:r>
      <w:r w:rsidR="00612860" w:rsidRPr="00612860">
        <w:rPr>
          <w:lang w:val="en-US"/>
        </w:rPr>
        <w:t>25E</w:t>
      </w:r>
      <w:r w:rsidRPr="007F31AD">
        <w:rPr>
          <w:lang w:val="en-US"/>
        </w:rPr>
        <w:t xml:space="preserve"> of the Act</w:t>
      </w:r>
      <w:r w:rsidRPr="00BC05BC">
        <w:rPr>
          <w:lang w:val="en-US"/>
        </w:rPr>
        <w:t>]</w:t>
      </w:r>
    </w:p>
    <w:p w14:paraId="520EE6D8" w14:textId="77777777" w:rsidR="00D26309" w:rsidRPr="00FC0786" w:rsidRDefault="00D26309" w:rsidP="00D26309">
      <w:pPr>
        <w:rPr>
          <w:b/>
        </w:rPr>
      </w:pPr>
      <w:r w:rsidRPr="00FC0786">
        <w:rPr>
          <w:b/>
        </w:rPr>
        <w:t>I. Background</w:t>
      </w:r>
    </w:p>
    <w:p w14:paraId="54FD8F1B" w14:textId="77777777" w:rsidR="00612860" w:rsidRPr="00612860" w:rsidRDefault="00612860" w:rsidP="00612860">
      <w:pPr>
        <w:rPr>
          <w:color w:val="000000"/>
        </w:rPr>
      </w:pPr>
      <w:r w:rsidRPr="00612860">
        <w:rPr>
          <w:color w:val="000000"/>
        </w:rPr>
        <w:t>The contributed tax capital (CTC) of any company is a notional amount calculated for tax purposes only derived from either (1) contributions received by a resident company from a shareholder for shares issued to that shareholder or (2) an amount equal to the market value of shares when a foreign company becomes a South African tax resident. However, the CTC amount is reduced by any amounts referred to as capital distributions, transferred by the company to the shareholders.</w:t>
      </w:r>
    </w:p>
    <w:p w14:paraId="1E67DDBF" w14:textId="77777777" w:rsidR="00612860" w:rsidRDefault="00612860" w:rsidP="00612860">
      <w:pPr>
        <w:rPr>
          <w:color w:val="000000"/>
        </w:rPr>
      </w:pPr>
      <w:r w:rsidRPr="00612860">
        <w:rPr>
          <w:color w:val="000000"/>
        </w:rPr>
        <w:t>In line with the 2023 Budget announcement, during the 2023 legislative cycle, rules were introduced to clarify the translation of the “contributed tax capital” of a class of shares that are denominated in a foreign currency to the currency of the Republic. More specifically, these translation rules require that companies apply the applicable spot rate on the date that the relevant amount is recognised for income tax purposes.</w:t>
      </w:r>
    </w:p>
    <w:p w14:paraId="147234DD" w14:textId="77777777" w:rsidR="00CB3A82" w:rsidRDefault="00CB3A82" w:rsidP="00612860">
      <w:pPr>
        <w:rPr>
          <w:color w:val="000000"/>
        </w:rPr>
      </w:pPr>
    </w:p>
    <w:p w14:paraId="669D8117" w14:textId="77777777" w:rsidR="00864756" w:rsidRPr="00612860" w:rsidRDefault="00864756" w:rsidP="00612860">
      <w:pPr>
        <w:rPr>
          <w:color w:val="000000"/>
        </w:rPr>
      </w:pPr>
    </w:p>
    <w:p w14:paraId="6AE3C837" w14:textId="77777777" w:rsidR="00D26309" w:rsidRPr="00FC0786" w:rsidRDefault="00D26309" w:rsidP="00D26309">
      <w:pPr>
        <w:rPr>
          <w:b/>
        </w:rPr>
      </w:pPr>
      <w:r w:rsidRPr="00FC0786">
        <w:rPr>
          <w:b/>
        </w:rPr>
        <w:t>II. Reasons for change</w:t>
      </w:r>
    </w:p>
    <w:p w14:paraId="751C8CF9" w14:textId="77777777" w:rsidR="00612860" w:rsidRPr="00612860" w:rsidRDefault="00612860" w:rsidP="4DA829A6">
      <w:pPr>
        <w:rPr>
          <w:rFonts w:eastAsia="Arial" w:cs="Arial"/>
          <w:color w:val="000000"/>
          <w:lang w:eastAsia="en-ZA"/>
        </w:rPr>
      </w:pPr>
      <w:r w:rsidRPr="4DA829A6">
        <w:rPr>
          <w:rFonts w:eastAsia="Arial" w:cs="Arial"/>
          <w:color w:val="000000" w:themeColor="text1"/>
          <w:lang w:eastAsia="en-ZA"/>
        </w:rPr>
        <w:t>The translation rules for purposes of CTC have been welcomed by industry and taxpayers but concerns have been raised about certain potential application and interpretive shortcomings not sufficiently clarified. For a tax resident company they relate to the interaction between:</w:t>
      </w:r>
    </w:p>
    <w:p w14:paraId="63591368" w14:textId="77777777" w:rsidR="00612860" w:rsidRPr="00612860" w:rsidRDefault="00612860" w:rsidP="00612860">
      <w:pPr>
        <w:numPr>
          <w:ilvl w:val="0"/>
          <w:numId w:val="36"/>
        </w:numPr>
        <w:rPr>
          <w:rFonts w:eastAsia="Arial" w:cs="Arial"/>
          <w:color w:val="000000"/>
          <w:szCs w:val="22"/>
          <w:lang w:eastAsia="en-ZA"/>
        </w:rPr>
      </w:pPr>
      <w:r w:rsidRPr="00612860">
        <w:rPr>
          <w:rFonts w:eastAsia="Arial" w:cs="Arial"/>
          <w:color w:val="000000"/>
          <w:szCs w:val="22"/>
          <w:lang w:eastAsia="en-ZA"/>
        </w:rPr>
        <w:t>the functional currency of that company;</w:t>
      </w:r>
    </w:p>
    <w:p w14:paraId="6B4A6CCC" w14:textId="77777777" w:rsidR="00612860" w:rsidRPr="00612860" w:rsidRDefault="00612860" w:rsidP="00612860">
      <w:pPr>
        <w:numPr>
          <w:ilvl w:val="0"/>
          <w:numId w:val="36"/>
        </w:numPr>
        <w:rPr>
          <w:rFonts w:eastAsia="Arial" w:cs="Arial"/>
          <w:color w:val="000000"/>
          <w:szCs w:val="22"/>
          <w:lang w:eastAsia="en-ZA"/>
        </w:rPr>
      </w:pPr>
      <w:r w:rsidRPr="00612860">
        <w:rPr>
          <w:rFonts w:eastAsia="Arial" w:cs="Arial"/>
          <w:color w:val="000000"/>
          <w:szCs w:val="22"/>
          <w:lang w:eastAsia="en-ZA"/>
        </w:rPr>
        <w:t>the share capital of that company which can be denominated in either the Rand or a currency other than the Rand, or both; and</w:t>
      </w:r>
    </w:p>
    <w:p w14:paraId="213CBD28" w14:textId="77777777" w:rsidR="00612860" w:rsidRPr="00612860" w:rsidRDefault="00612860" w:rsidP="4DA829A6">
      <w:pPr>
        <w:numPr>
          <w:ilvl w:val="0"/>
          <w:numId w:val="36"/>
        </w:numPr>
        <w:rPr>
          <w:rFonts w:eastAsia="Arial" w:cs="Arial"/>
          <w:color w:val="000000"/>
          <w:lang w:eastAsia="en-ZA"/>
        </w:rPr>
      </w:pPr>
      <w:r w:rsidRPr="4DA829A6">
        <w:rPr>
          <w:rFonts w:eastAsia="Arial" w:cs="Arial"/>
          <w:color w:val="000000" w:themeColor="text1"/>
          <w:lang w:eastAsia="en-ZA"/>
        </w:rPr>
        <w:t>several distinguishable and separate tax events (both in the creation and reduction of CTC), over an extended period of time, that must be considered for purposes of the determination of CTC.</w:t>
      </w:r>
    </w:p>
    <w:p w14:paraId="32316280" w14:textId="644E995A" w:rsidR="00612860" w:rsidRPr="00612860" w:rsidRDefault="00612860" w:rsidP="4DA829A6">
      <w:pPr>
        <w:rPr>
          <w:rFonts w:eastAsia="Arial" w:cs="Arial"/>
          <w:color w:val="000000"/>
          <w:lang w:eastAsia="en-ZA"/>
        </w:rPr>
      </w:pPr>
      <w:r w:rsidRPr="4DA829A6">
        <w:rPr>
          <w:rFonts w:eastAsia="Arial" w:cs="Arial"/>
          <w:color w:val="000000" w:themeColor="text1"/>
          <w:lang w:eastAsia="en-ZA"/>
        </w:rPr>
        <w:t xml:space="preserve">At issue is that CTC of a tax resident company could be impacted by several variables, </w:t>
      </w:r>
      <w:r w:rsidR="4AC51D7A" w:rsidRPr="4DA829A6">
        <w:rPr>
          <w:rFonts w:eastAsia="Arial" w:cs="Arial"/>
          <w:color w:val="000000" w:themeColor="text1"/>
          <w:lang w:eastAsia="en-ZA"/>
        </w:rPr>
        <w:t xml:space="preserve">including </w:t>
      </w:r>
      <w:r w:rsidRPr="4DA829A6">
        <w:rPr>
          <w:rFonts w:eastAsia="Arial" w:cs="Arial"/>
          <w:color w:val="000000" w:themeColor="text1"/>
          <w:lang w:eastAsia="en-ZA"/>
        </w:rPr>
        <w:t>currency fluctuations, that could influence the translation outcome for the relevant amount to be recognised for income tax purposes. This may require the use and keeping of data over a long period of time.</w:t>
      </w:r>
    </w:p>
    <w:p w14:paraId="2B9CA078" w14:textId="517A4398" w:rsidR="00612860" w:rsidRPr="00612860" w:rsidRDefault="47A3B770" w:rsidP="0BFF9FE6">
      <w:pPr>
        <w:rPr>
          <w:rFonts w:eastAsia="Arial" w:cs="Arial"/>
          <w:color w:val="000000"/>
          <w:lang w:eastAsia="en-ZA"/>
        </w:rPr>
      </w:pPr>
      <w:r w:rsidRPr="0BFF9FE6">
        <w:rPr>
          <w:rFonts w:eastAsia="Arial" w:cs="Arial"/>
          <w:color w:val="000000" w:themeColor="text1"/>
          <w:lang w:eastAsia="en-ZA"/>
        </w:rPr>
        <w:t xml:space="preserve">As such, it could be difficult to determine, </w:t>
      </w:r>
      <w:r w:rsidR="637DF898" w:rsidRPr="0BFF9FE6">
        <w:rPr>
          <w:rFonts w:eastAsia="Arial" w:cs="Arial"/>
          <w:color w:val="000000" w:themeColor="text1"/>
          <w:lang w:eastAsia="en-ZA"/>
        </w:rPr>
        <w:t>for</w:t>
      </w:r>
      <w:r w:rsidRPr="0BFF9FE6">
        <w:rPr>
          <w:rFonts w:eastAsia="Arial" w:cs="Arial"/>
          <w:color w:val="000000" w:themeColor="text1"/>
          <w:lang w:eastAsia="en-ZA"/>
        </w:rPr>
        <w:t xml:space="preserve"> example, whether the capital distribution amount through CTC returned to a shareholder, should be translated into Rand at the spot rate at the date of transfer or whether the spot rate on the date when the CTC was created should be used, so as to determine a rand amount of CTC available for distribution that would not be affected by subsequent currency fluctuations</w:t>
      </w:r>
    </w:p>
    <w:p w14:paraId="705F5CB0" w14:textId="3D8A0D43" w:rsidR="00D26309" w:rsidRPr="00FC0786" w:rsidRDefault="00D26309" w:rsidP="00D26309">
      <w:pPr>
        <w:rPr>
          <w:b/>
        </w:rPr>
      </w:pPr>
      <w:r w:rsidRPr="00FC0786">
        <w:rPr>
          <w:b/>
        </w:rPr>
        <w:t>III. Proposal</w:t>
      </w:r>
    </w:p>
    <w:p w14:paraId="6F0E603F" w14:textId="77777777" w:rsidR="00612860" w:rsidRPr="00612860" w:rsidRDefault="00612860" w:rsidP="00612860">
      <w:pPr>
        <w:rPr>
          <w:color w:val="000000"/>
        </w:rPr>
      </w:pPr>
      <w:r w:rsidRPr="00612860">
        <w:rPr>
          <w:color w:val="000000"/>
        </w:rPr>
        <w:t xml:space="preserve">It is proposed that the rules introduced for the translation of the amount of CTC in 2023 in relation to a class of shares be amended to rather make a distinction for application based on (1) the functional currency of the tax resident company; and (2) the distinguishable and separate points of creation or reduction of CTC. </w:t>
      </w:r>
    </w:p>
    <w:p w14:paraId="158F30A6" w14:textId="77777777" w:rsidR="00612860" w:rsidRPr="00612860" w:rsidRDefault="00612860" w:rsidP="00612860">
      <w:pPr>
        <w:rPr>
          <w:color w:val="000000"/>
        </w:rPr>
      </w:pPr>
      <w:r w:rsidRPr="00612860">
        <w:rPr>
          <w:color w:val="000000"/>
        </w:rPr>
        <w:t xml:space="preserve">Where the functional currency of a tax resident company is: </w:t>
      </w:r>
    </w:p>
    <w:p w14:paraId="314A092D" w14:textId="77777777" w:rsidR="00612860" w:rsidRPr="00612860" w:rsidRDefault="00612860" w:rsidP="00612860">
      <w:pPr>
        <w:numPr>
          <w:ilvl w:val="0"/>
          <w:numId w:val="37"/>
        </w:numPr>
        <w:rPr>
          <w:i/>
          <w:color w:val="000000"/>
        </w:rPr>
      </w:pPr>
      <w:r w:rsidRPr="00612860">
        <w:rPr>
          <w:i/>
          <w:color w:val="000000"/>
        </w:rPr>
        <w:t>The currency of the Republic: Rand</w:t>
      </w:r>
    </w:p>
    <w:p w14:paraId="1F837DEF" w14:textId="1EE07E43" w:rsidR="00612860" w:rsidRPr="00612860" w:rsidRDefault="00612860" w:rsidP="4DA829A6">
      <w:pPr>
        <w:rPr>
          <w:color w:val="000000"/>
        </w:rPr>
      </w:pPr>
      <w:r w:rsidRPr="4DA829A6">
        <w:rPr>
          <w:color w:val="000000" w:themeColor="text1"/>
        </w:rPr>
        <w:t>Any foreign amount of consideration received, in relation to a class of shares, as referred to in paragraphs (</w:t>
      </w:r>
      <w:r w:rsidRPr="4DA829A6">
        <w:rPr>
          <w:i/>
          <w:iCs/>
          <w:color w:val="000000" w:themeColor="text1"/>
        </w:rPr>
        <w:t>a</w:t>
      </w:r>
      <w:r w:rsidRPr="4DA829A6">
        <w:rPr>
          <w:color w:val="000000" w:themeColor="text1"/>
        </w:rPr>
        <w:t>) or (</w:t>
      </w:r>
      <w:r w:rsidRPr="4DA829A6">
        <w:rPr>
          <w:i/>
          <w:iCs/>
          <w:color w:val="000000" w:themeColor="text1"/>
        </w:rPr>
        <w:t>b</w:t>
      </w:r>
      <w:r w:rsidRPr="4DA829A6">
        <w:rPr>
          <w:color w:val="000000" w:themeColor="text1"/>
        </w:rPr>
        <w:t xml:space="preserve">) of the definition of </w:t>
      </w:r>
      <w:r w:rsidR="00DE3312" w:rsidRPr="4DA829A6">
        <w:rPr>
          <w:color w:val="000000" w:themeColor="text1"/>
        </w:rPr>
        <w:t>“</w:t>
      </w:r>
      <w:r w:rsidRPr="4DA829A6">
        <w:rPr>
          <w:color w:val="000000" w:themeColor="text1"/>
        </w:rPr>
        <w:t>contributed tax capital</w:t>
      </w:r>
      <w:r w:rsidR="00DE3312" w:rsidRPr="4DA829A6">
        <w:rPr>
          <w:color w:val="000000" w:themeColor="text1"/>
        </w:rPr>
        <w:t>”</w:t>
      </w:r>
      <w:r w:rsidRPr="4DA829A6">
        <w:rPr>
          <w:color w:val="000000" w:themeColor="text1"/>
        </w:rPr>
        <w:t xml:space="preserve"> in section 1 of the Act, must be translated to the currency of the Republic by applying the spot rate on the date receipt, accrual or conversion, as the case may be, for purposes of the determination of the increase of CTC. In the case of a foreign company that becomes a resident the translation of the market value of the shares is at the date immediately preceding the date of becoming a resident.</w:t>
      </w:r>
    </w:p>
    <w:p w14:paraId="12830D99" w14:textId="77777777" w:rsidR="00612860" w:rsidRPr="00612860" w:rsidRDefault="00612860" w:rsidP="00612860">
      <w:pPr>
        <w:numPr>
          <w:ilvl w:val="0"/>
          <w:numId w:val="37"/>
        </w:numPr>
        <w:rPr>
          <w:i/>
          <w:color w:val="000000"/>
        </w:rPr>
      </w:pPr>
      <w:r w:rsidRPr="00612860">
        <w:rPr>
          <w:i/>
          <w:color w:val="000000"/>
        </w:rPr>
        <w:t>A currency other than the currency of the Republic</w:t>
      </w:r>
    </w:p>
    <w:p w14:paraId="48AD5CE8" w14:textId="3CBEA352" w:rsidR="00612860" w:rsidRPr="00612860" w:rsidRDefault="00612860" w:rsidP="00612860">
      <w:pPr>
        <w:rPr>
          <w:color w:val="000000"/>
        </w:rPr>
      </w:pPr>
      <w:r w:rsidRPr="00612860">
        <w:rPr>
          <w:color w:val="000000"/>
        </w:rPr>
        <w:t>Any reduction of CTC denominate</w:t>
      </w:r>
      <w:r w:rsidR="00421762">
        <w:rPr>
          <w:color w:val="000000"/>
        </w:rPr>
        <w:t>d</w:t>
      </w:r>
      <w:r w:rsidRPr="00612860">
        <w:rPr>
          <w:color w:val="000000"/>
        </w:rPr>
        <w:t xml:space="preserve"> in a foreign currency, in relation to a class of shares, as referred to in paragraphs (</w:t>
      </w:r>
      <w:r w:rsidRPr="00612860">
        <w:rPr>
          <w:i/>
          <w:color w:val="000000"/>
        </w:rPr>
        <w:t>a</w:t>
      </w:r>
      <w:r w:rsidRPr="00612860">
        <w:rPr>
          <w:color w:val="000000"/>
        </w:rPr>
        <w:t>) or (</w:t>
      </w:r>
      <w:r w:rsidRPr="00612860">
        <w:rPr>
          <w:i/>
          <w:color w:val="000000"/>
        </w:rPr>
        <w:t>b</w:t>
      </w:r>
      <w:r w:rsidRPr="00612860">
        <w:rPr>
          <w:color w:val="000000"/>
        </w:rPr>
        <w:t xml:space="preserve">) of the definition of </w:t>
      </w:r>
      <w:r w:rsidR="00DE3312">
        <w:rPr>
          <w:color w:val="000000"/>
        </w:rPr>
        <w:t>“</w:t>
      </w:r>
      <w:r w:rsidRPr="00612860">
        <w:rPr>
          <w:color w:val="000000"/>
        </w:rPr>
        <w:t>contributed tax capital</w:t>
      </w:r>
      <w:r w:rsidR="00DE3312">
        <w:rPr>
          <w:color w:val="000000"/>
        </w:rPr>
        <w:t>”</w:t>
      </w:r>
      <w:r w:rsidRPr="00612860">
        <w:rPr>
          <w:color w:val="000000"/>
        </w:rPr>
        <w:t xml:space="preserve"> in section 1 of the Act, must be translated to the currency of the Republic by applying the spot rate on the date of transfer or conversion, as the case may be, for purposes of the reduction of CTC.</w:t>
      </w:r>
    </w:p>
    <w:p w14:paraId="3DD1FE35" w14:textId="77777777" w:rsidR="00612860" w:rsidRPr="00612860" w:rsidRDefault="00612860" w:rsidP="00612860">
      <w:pPr>
        <w:rPr>
          <w:color w:val="000000"/>
        </w:rPr>
      </w:pPr>
      <w:r w:rsidRPr="00612860">
        <w:rPr>
          <w:color w:val="000000"/>
        </w:rPr>
        <w:t>The impact of these amendments to the translation rules for purposes of CTC is best shown through examples:</w:t>
      </w:r>
    </w:p>
    <w:p w14:paraId="3C120D7F" w14:textId="77777777" w:rsidR="00612860" w:rsidRPr="00361AF1" w:rsidRDefault="00612860" w:rsidP="00612860">
      <w:pPr>
        <w:rPr>
          <w:color w:val="000000"/>
        </w:rPr>
      </w:pPr>
      <w:r w:rsidRPr="00C85B89">
        <w:rPr>
          <w:color w:val="000000"/>
          <w:u w:val="single"/>
        </w:rPr>
        <w:t>Example A: Consideration received if a company has a functional currency in Rand</w:t>
      </w:r>
    </w:p>
    <w:p w14:paraId="1B9C9D9A" w14:textId="77777777" w:rsidR="00612860" w:rsidRPr="00612860" w:rsidRDefault="00612860" w:rsidP="00612860">
      <w:pPr>
        <w:rPr>
          <w:i/>
          <w:color w:val="000000"/>
          <w:u w:val="single"/>
        </w:rPr>
      </w:pPr>
      <w:r w:rsidRPr="00612860">
        <w:rPr>
          <w:i/>
          <w:color w:val="000000"/>
          <w:u w:val="single"/>
        </w:rPr>
        <w:t>Facts:</w:t>
      </w:r>
    </w:p>
    <w:p w14:paraId="38B41341" w14:textId="1EC4F0DF" w:rsidR="00724DE9" w:rsidRPr="00612860" w:rsidRDefault="00612860" w:rsidP="00612860">
      <w:pPr>
        <w:rPr>
          <w:color w:val="000000"/>
        </w:rPr>
      </w:pPr>
      <w:bookmarkStart w:id="90" w:name="_Hlk173161422"/>
      <w:r w:rsidRPr="4DA829A6">
        <w:rPr>
          <w:color w:val="000000" w:themeColor="text1"/>
        </w:rPr>
        <w:t xml:space="preserve">On 1 January 2025, Company A, a SA tax resident company with a primary listing on the JSE and a secondary listing on the NSE, issues 100 ordinary shares of a particular class at a consideration of $10 a share on the foreign exchange. On 30 July 2025, Company A makes a capital distribution per share in terms of that particular class of shares. </w:t>
      </w:r>
    </w:p>
    <w:p w14:paraId="385B4756" w14:textId="77777777" w:rsidR="00612860" w:rsidRPr="00612860" w:rsidRDefault="00612860" w:rsidP="00612860">
      <w:pPr>
        <w:rPr>
          <w:i/>
          <w:color w:val="000000"/>
        </w:rPr>
      </w:pPr>
      <w:r w:rsidRPr="00612860">
        <w:rPr>
          <w:i/>
          <w:color w:val="000000"/>
        </w:rPr>
        <w:t>$/R Exchange Rate:</w:t>
      </w:r>
    </w:p>
    <w:p w14:paraId="20CC8995" w14:textId="77777777" w:rsidR="00612860" w:rsidRPr="00612860" w:rsidRDefault="00612860" w:rsidP="00612860">
      <w:pPr>
        <w:numPr>
          <w:ilvl w:val="0"/>
          <w:numId w:val="39"/>
        </w:numPr>
        <w:rPr>
          <w:color w:val="000000"/>
        </w:rPr>
      </w:pPr>
      <w:r w:rsidRPr="00612860">
        <w:rPr>
          <w:color w:val="000000"/>
        </w:rPr>
        <w:t>1 January 2025 - R18.00</w:t>
      </w:r>
    </w:p>
    <w:p w14:paraId="61C6DCB6" w14:textId="77777777" w:rsidR="00612860" w:rsidRPr="00612860" w:rsidRDefault="00612860" w:rsidP="00612860">
      <w:pPr>
        <w:numPr>
          <w:ilvl w:val="0"/>
          <w:numId w:val="39"/>
        </w:numPr>
        <w:rPr>
          <w:color w:val="000000"/>
        </w:rPr>
      </w:pPr>
      <w:r w:rsidRPr="00612860">
        <w:rPr>
          <w:color w:val="000000"/>
        </w:rPr>
        <w:t>31 July 2025 – R19.00</w:t>
      </w:r>
    </w:p>
    <w:p w14:paraId="250E2C2D" w14:textId="77777777" w:rsidR="00612860" w:rsidRPr="00612860" w:rsidRDefault="00612860" w:rsidP="00612860">
      <w:pPr>
        <w:rPr>
          <w:i/>
          <w:color w:val="000000"/>
          <w:u w:val="single"/>
        </w:rPr>
      </w:pPr>
      <w:r w:rsidRPr="00612860">
        <w:rPr>
          <w:i/>
          <w:color w:val="000000"/>
          <w:u w:val="single"/>
        </w:rPr>
        <w:t>Results:</w:t>
      </w:r>
    </w:p>
    <w:p w14:paraId="2BC19011" w14:textId="77777777" w:rsidR="00612860" w:rsidRPr="00612860" w:rsidRDefault="00612860" w:rsidP="4DA829A6">
      <w:pPr>
        <w:rPr>
          <w:color w:val="000000"/>
        </w:rPr>
      </w:pPr>
      <w:r w:rsidRPr="4DA829A6">
        <w:rPr>
          <w:i/>
          <w:iCs/>
          <w:color w:val="000000" w:themeColor="text1"/>
        </w:rPr>
        <w:t>Tax event 1</w:t>
      </w:r>
      <w:r w:rsidRPr="4DA829A6">
        <w:rPr>
          <w:color w:val="000000" w:themeColor="text1"/>
        </w:rPr>
        <w:t xml:space="preserve">: Based on an assumed functional currency of the Republic, Company A’s CTC will increase by an amount of R18 000 [$1000 x R18] on 1 January 2025.  </w:t>
      </w:r>
    </w:p>
    <w:p w14:paraId="3BC0AE39" w14:textId="77777777" w:rsidR="00612860" w:rsidRPr="00612860" w:rsidRDefault="00612860" w:rsidP="4DA829A6">
      <w:pPr>
        <w:rPr>
          <w:color w:val="000000"/>
        </w:rPr>
      </w:pPr>
      <w:r w:rsidRPr="4DA829A6">
        <w:rPr>
          <w:i/>
          <w:iCs/>
          <w:color w:val="000000" w:themeColor="text1"/>
        </w:rPr>
        <w:t>Tax event 2</w:t>
      </w:r>
      <w:r w:rsidRPr="4DA829A6">
        <w:rPr>
          <w:color w:val="000000" w:themeColor="text1"/>
        </w:rPr>
        <w:t>: Important to note that in light of the fact that Company A has a functional currency of the Republic, and an already Rand determined CTC-amount (based on the calculation of tax event 1 above), any subsequent reduction of CTC will not need to be translated for purposes of the determination of CTC as at 31 July 2025 in terms of section 25E of the Act. Rather, the reduction would be the relevant Rand amount at the date of transfer determined by the directors of the company or by some other appropriate person or body of persons.</w:t>
      </w:r>
    </w:p>
    <w:p w14:paraId="69E89693" w14:textId="77777777" w:rsidR="00612860" w:rsidRPr="00C85B89" w:rsidRDefault="00612860" w:rsidP="00612860">
      <w:pPr>
        <w:rPr>
          <w:color w:val="000000"/>
          <w:u w:val="single"/>
        </w:rPr>
      </w:pPr>
      <w:r w:rsidRPr="00C85B89">
        <w:rPr>
          <w:color w:val="000000"/>
          <w:u w:val="single"/>
        </w:rPr>
        <w:t>Example B: Reductions of CTC made if a company has a functional currency other than that of the Republic</w:t>
      </w:r>
    </w:p>
    <w:p w14:paraId="1AE56563" w14:textId="77777777" w:rsidR="00612860" w:rsidRPr="00612860" w:rsidRDefault="00612860" w:rsidP="00612860">
      <w:pPr>
        <w:rPr>
          <w:i/>
          <w:color w:val="000000"/>
          <w:u w:val="single"/>
        </w:rPr>
      </w:pPr>
      <w:r w:rsidRPr="00612860">
        <w:rPr>
          <w:i/>
          <w:color w:val="000000"/>
          <w:u w:val="single"/>
        </w:rPr>
        <w:t>Facts:</w:t>
      </w:r>
    </w:p>
    <w:p w14:paraId="6D6F5497" w14:textId="77777777" w:rsidR="00612860" w:rsidRPr="00612860" w:rsidRDefault="00612860" w:rsidP="4DA829A6">
      <w:pPr>
        <w:rPr>
          <w:color w:val="000000"/>
        </w:rPr>
      </w:pPr>
      <w:r w:rsidRPr="4DA829A6">
        <w:rPr>
          <w:color w:val="000000" w:themeColor="text1"/>
        </w:rPr>
        <w:t xml:space="preserve">On 1 May 2025, Company B, a SA tax resident company that is a wholly owned subsidiary of a UK company, issues 100 ordinary shares of a particular class at a consideration of £10 a share. On 16 August 2025, Company B makes a capital distribution per share for that particular class of shares. </w:t>
      </w:r>
    </w:p>
    <w:p w14:paraId="630D0596" w14:textId="77777777" w:rsidR="00612860" w:rsidRPr="00612860" w:rsidRDefault="00612860" w:rsidP="00612860">
      <w:pPr>
        <w:rPr>
          <w:i/>
          <w:color w:val="000000"/>
        </w:rPr>
      </w:pPr>
      <w:r w:rsidRPr="00612860">
        <w:rPr>
          <w:i/>
          <w:color w:val="000000"/>
        </w:rPr>
        <w:t>£/R Exchange Rate:</w:t>
      </w:r>
    </w:p>
    <w:p w14:paraId="059C3884" w14:textId="77777777" w:rsidR="00612860" w:rsidRPr="00612860" w:rsidRDefault="00612860" w:rsidP="00612860">
      <w:pPr>
        <w:numPr>
          <w:ilvl w:val="0"/>
          <w:numId w:val="38"/>
        </w:numPr>
        <w:rPr>
          <w:color w:val="000000"/>
        </w:rPr>
      </w:pPr>
      <w:r w:rsidRPr="00612860">
        <w:rPr>
          <w:color w:val="000000"/>
        </w:rPr>
        <w:t>1 May 2025 – R24.00</w:t>
      </w:r>
    </w:p>
    <w:p w14:paraId="5530DE71" w14:textId="77777777" w:rsidR="00612860" w:rsidRDefault="00612860" w:rsidP="00612860">
      <w:pPr>
        <w:numPr>
          <w:ilvl w:val="0"/>
          <w:numId w:val="38"/>
        </w:numPr>
        <w:rPr>
          <w:color w:val="000000"/>
        </w:rPr>
      </w:pPr>
      <w:r w:rsidRPr="00612860">
        <w:rPr>
          <w:color w:val="000000"/>
        </w:rPr>
        <w:t>16 August 2025 – R25.00</w:t>
      </w:r>
    </w:p>
    <w:p w14:paraId="62634E2E" w14:textId="41889A61" w:rsidR="00DE3312" w:rsidRPr="00DE3312" w:rsidRDefault="00DE3312" w:rsidP="00DE3312">
      <w:pPr>
        <w:rPr>
          <w:i/>
          <w:color w:val="000000"/>
          <w:u w:val="single"/>
        </w:rPr>
      </w:pPr>
      <w:r w:rsidRPr="00DE3312">
        <w:rPr>
          <w:i/>
          <w:color w:val="000000"/>
          <w:u w:val="single"/>
        </w:rPr>
        <w:t>Results:</w:t>
      </w:r>
    </w:p>
    <w:p w14:paraId="4ED2819F" w14:textId="77777777" w:rsidR="00612860" w:rsidRPr="00612860" w:rsidRDefault="00612860" w:rsidP="4DA829A6">
      <w:pPr>
        <w:rPr>
          <w:color w:val="000000"/>
        </w:rPr>
      </w:pPr>
      <w:r w:rsidRPr="4DA829A6">
        <w:rPr>
          <w:i/>
          <w:iCs/>
          <w:color w:val="000000" w:themeColor="text1"/>
        </w:rPr>
        <w:t>Tax event 1</w:t>
      </w:r>
      <w:r w:rsidRPr="4DA829A6">
        <w:rPr>
          <w:color w:val="000000" w:themeColor="text1"/>
        </w:rPr>
        <w:t xml:space="preserve">: Based on an assumed functional currency other than that of the Republic, Company B has CTC of £1000 [100 ordinary shares x £10] as at 1 May 2025. </w:t>
      </w:r>
      <w:bookmarkStart w:id="91" w:name="_Hlk173300293"/>
      <w:r w:rsidRPr="4DA829A6">
        <w:rPr>
          <w:color w:val="000000" w:themeColor="text1"/>
        </w:rPr>
        <w:t xml:space="preserve">Important to note that in light of the fact that Company B has a functional currency other than that of the Republic that </w:t>
      </w:r>
      <w:bookmarkEnd w:id="90"/>
      <w:r w:rsidRPr="4DA829A6">
        <w:rPr>
          <w:color w:val="000000" w:themeColor="text1"/>
        </w:rPr>
        <w:t xml:space="preserve">the foreign consideration received for the issues of that class of shares will not be translated as at 1 May 2025 in terms of section 25E of the Act for purposes of the determination of CTC. </w:t>
      </w:r>
      <w:bookmarkEnd w:id="91"/>
    </w:p>
    <w:p w14:paraId="630B6742" w14:textId="4BE8BB3B" w:rsidR="00D86231" w:rsidRPr="00D86231" w:rsidRDefault="00612860" w:rsidP="4DA829A6">
      <w:pPr>
        <w:rPr>
          <w:color w:val="000000"/>
        </w:rPr>
      </w:pPr>
      <w:r w:rsidRPr="4DA829A6">
        <w:rPr>
          <w:i/>
          <w:iCs/>
          <w:color w:val="000000" w:themeColor="text1"/>
        </w:rPr>
        <w:t>Tax event 2:</w:t>
      </w:r>
      <w:r w:rsidRPr="4DA829A6">
        <w:rPr>
          <w:color w:val="000000" w:themeColor="text1"/>
        </w:rPr>
        <w:t xml:space="preserve"> On 16 August 2025, Company B makes a £1 per share capital distribution from CTC which results in a reduction in CTC of R2 500 [R25 x (100 x £1)]. The balance of the CTC, £900 [£1 000 – (100 x £1)] for that class of shares, will not be translated for purposes of the determination of CTC as at 16 August 2025.  Based on the application of proposal B above, only the amount in foreign currency by which CTC is reduced must be translated to the currency of the Republic by applying the spot rate on the date of transfer. It is important to note that the translation is only applied to the capital distribution amount and not the total CTC amount available prior to or post that capital distribution.</w:t>
      </w:r>
    </w:p>
    <w:p w14:paraId="6F48BB0A" w14:textId="77777777" w:rsidR="00D26309" w:rsidRDefault="00D26309" w:rsidP="00D26309">
      <w:pPr>
        <w:rPr>
          <w:b/>
        </w:rPr>
      </w:pPr>
      <w:r w:rsidRPr="00FC0786">
        <w:rPr>
          <w:b/>
        </w:rPr>
        <w:t>IV. Effective date</w:t>
      </w:r>
    </w:p>
    <w:p w14:paraId="1F4D7B9B" w14:textId="6F5372D6" w:rsidR="00824441" w:rsidRDefault="00A35F0E" w:rsidP="00D86231">
      <w:pPr>
        <w:rPr>
          <w:rFonts w:cs="Arial"/>
        </w:rPr>
      </w:pPr>
      <w:r w:rsidRPr="00A35F0E">
        <w:rPr>
          <w:rFonts w:cs="Arial"/>
        </w:rPr>
        <w:t>The amendments come into operation on 1 January 2025.</w:t>
      </w:r>
    </w:p>
    <w:p w14:paraId="7197DDE8" w14:textId="77777777" w:rsidR="00864756" w:rsidRDefault="00864756" w:rsidP="00D86231">
      <w:pPr>
        <w:rPr>
          <w:rFonts w:cs="Arial"/>
        </w:rPr>
      </w:pPr>
    </w:p>
    <w:p w14:paraId="0D973986" w14:textId="5A7FECF8" w:rsidR="00824441" w:rsidRPr="005E29F8" w:rsidRDefault="2CEEF21D" w:rsidP="009709FD">
      <w:pPr>
        <w:pStyle w:val="Heading3"/>
      </w:pPr>
      <w:bookmarkStart w:id="92" w:name="_Toc198158749"/>
      <w:r>
        <w:t xml:space="preserve">TAXATION ISSUES INVOLVING UNLISTED PROPERTY </w:t>
      </w:r>
      <w:r w:rsidR="78D58B03">
        <w:t>COMPANIES</w:t>
      </w:r>
      <w:bookmarkEnd w:id="92"/>
      <w:r>
        <w:t xml:space="preserve"> </w:t>
      </w:r>
    </w:p>
    <w:p w14:paraId="7D868924" w14:textId="23D69309" w:rsidR="00824441" w:rsidRDefault="00824441" w:rsidP="00824441">
      <w:bookmarkStart w:id="93" w:name="_Hlk172618240"/>
      <w:r w:rsidRPr="00FE47EB">
        <w:t>[</w:t>
      </w:r>
      <w:r w:rsidRPr="00EE7F1F">
        <w:t xml:space="preserve">Applicable provision: </w:t>
      </w:r>
      <w:r w:rsidR="003A7B87">
        <w:rPr>
          <w:lang w:val="en-US"/>
        </w:rPr>
        <w:t>D</w:t>
      </w:r>
      <w:r w:rsidRPr="003159DE">
        <w:rPr>
          <w:lang w:val="en-US"/>
        </w:rPr>
        <w:t>efinition of “REIT” in section 1 of the Act</w:t>
      </w:r>
      <w:r w:rsidRPr="00FE47EB">
        <w:t>]</w:t>
      </w:r>
    </w:p>
    <w:p w14:paraId="2D482483" w14:textId="77777777" w:rsidR="00824441" w:rsidRPr="00FC0786" w:rsidRDefault="00824441" w:rsidP="00824441">
      <w:pPr>
        <w:rPr>
          <w:b/>
        </w:rPr>
      </w:pPr>
      <w:r w:rsidRPr="00FC0786">
        <w:rPr>
          <w:b/>
        </w:rPr>
        <w:t>I. Background</w:t>
      </w:r>
    </w:p>
    <w:p w14:paraId="43AD87F0" w14:textId="1C023948" w:rsidR="00824441" w:rsidRPr="003159DE" w:rsidRDefault="2CEEF21D" w:rsidP="4DA829A6">
      <w:pPr>
        <w:rPr>
          <w:rFonts w:eastAsia="Calibri" w:cs="Arial"/>
        </w:rPr>
      </w:pPr>
      <w:r w:rsidRPr="4DA829A6">
        <w:rPr>
          <w:rFonts w:eastAsia="Calibri" w:cs="Arial"/>
        </w:rPr>
        <w:t xml:space="preserve">Broadly, in 2012, a unified approach termed </w:t>
      </w:r>
      <w:r w:rsidR="3F1B5B70" w:rsidRPr="4DA829A6">
        <w:rPr>
          <w:rFonts w:eastAsia="Calibri" w:cs="Arial"/>
        </w:rPr>
        <w:t>REITs (</w:t>
      </w:r>
      <w:r w:rsidRPr="4DA829A6">
        <w:rPr>
          <w:rFonts w:eastAsia="Calibri" w:cs="Arial"/>
        </w:rPr>
        <w:t>Real Estate Investment Trusts</w:t>
      </w:r>
      <w:r w:rsidR="2AF4FAD3" w:rsidRPr="4DA829A6">
        <w:rPr>
          <w:rFonts w:eastAsia="Calibri" w:cs="Arial"/>
        </w:rPr>
        <w:t>)</w:t>
      </w:r>
      <w:r w:rsidRPr="4DA829A6">
        <w:rPr>
          <w:rFonts w:eastAsia="Calibri" w:cs="Arial"/>
        </w:rPr>
        <w:t xml:space="preserve"> was adopted for property investment schemes encompassing both the property unit trust and property loan stock companies in the Act. The aim was to ensure that South Africa’s property investment scheme is in line with the international norms and ensuring that the objective of the REITs to provide investors with a steady rental stream while also providing capital growth stemming from the underlying property is maintained. The REIT regime provided a flow-through principle where income and capital gains will be taxed solely in the hands of the investor and not in the REITs. </w:t>
      </w:r>
    </w:p>
    <w:p w14:paraId="7344CD90" w14:textId="1A8D4388" w:rsidR="00824441" w:rsidRPr="003159DE" w:rsidRDefault="00824441" w:rsidP="4DA829A6">
      <w:pPr>
        <w:rPr>
          <w:rFonts w:eastAsia="Calibri" w:cs="Arial"/>
        </w:rPr>
      </w:pPr>
      <w:r w:rsidRPr="4DA829A6">
        <w:rPr>
          <w:rFonts w:eastAsia="Calibri" w:cs="Arial"/>
        </w:rPr>
        <w:t xml:space="preserve">Section 1 of the Act defines a </w:t>
      </w:r>
      <w:r w:rsidR="009E2A01" w:rsidRPr="4DA829A6">
        <w:rPr>
          <w:rFonts w:eastAsia="Calibri" w:cs="Arial"/>
        </w:rPr>
        <w:t>“</w:t>
      </w:r>
      <w:r w:rsidRPr="4DA829A6">
        <w:rPr>
          <w:rFonts w:eastAsia="Calibri" w:cs="Arial"/>
        </w:rPr>
        <w:t>REIT</w:t>
      </w:r>
      <w:r w:rsidR="009E2A01" w:rsidRPr="4DA829A6">
        <w:rPr>
          <w:rFonts w:eastAsia="Calibri" w:cs="Arial"/>
        </w:rPr>
        <w:t>”</w:t>
      </w:r>
      <w:r w:rsidRPr="4DA829A6">
        <w:rPr>
          <w:rFonts w:eastAsia="Calibri" w:cs="Arial"/>
        </w:rPr>
        <w:t xml:space="preserve"> to be a South African resident company, listed on the South African stock exchange and the shares of which are listed as shares in a REIT as defined in the listing requirements of that exchange.  </w:t>
      </w:r>
    </w:p>
    <w:p w14:paraId="318F032D" w14:textId="77777777" w:rsidR="00824441" w:rsidRPr="003159DE" w:rsidRDefault="00824441" w:rsidP="00824441">
      <w:pPr>
        <w:rPr>
          <w:rFonts w:eastAsia="Calibri" w:cs="Arial"/>
          <w:szCs w:val="22"/>
          <w:lang w:val="en-GB"/>
        </w:rPr>
      </w:pPr>
      <w:r w:rsidRPr="003159DE">
        <w:rPr>
          <w:rFonts w:eastAsia="Calibri" w:cs="Arial"/>
          <w:szCs w:val="22"/>
        </w:rPr>
        <w:t>The unlisted property companies were not afforded a flow-through treatment due to the lack of comparable regulation offered by the exchanges for the listed REITs.</w:t>
      </w:r>
    </w:p>
    <w:p w14:paraId="5679A48C" w14:textId="77777777" w:rsidR="00824441" w:rsidRPr="00FC0786" w:rsidRDefault="00824441" w:rsidP="00824441">
      <w:pPr>
        <w:rPr>
          <w:rFonts w:eastAsia="Calibri"/>
          <w:b/>
        </w:rPr>
      </w:pPr>
      <w:r w:rsidRPr="00FC0786">
        <w:rPr>
          <w:rFonts w:eastAsia="Calibri"/>
          <w:b/>
        </w:rPr>
        <w:t>II. Reasons for change</w:t>
      </w:r>
    </w:p>
    <w:p w14:paraId="13AA687A" w14:textId="77777777" w:rsidR="00824441" w:rsidRPr="003159DE" w:rsidRDefault="00824441" w:rsidP="4DA829A6">
      <w:pPr>
        <w:rPr>
          <w:rFonts w:eastAsia="Calibri" w:cs="Arial"/>
        </w:rPr>
      </w:pPr>
      <w:r w:rsidRPr="4DA829A6">
        <w:rPr>
          <w:rFonts w:eastAsia="Calibri" w:cs="Arial"/>
        </w:rPr>
        <w:t xml:space="preserve">As stated above, the issue is that the unlisted property companies were not afforded a flow-through treatment due to the lack of regulation. </w:t>
      </w:r>
    </w:p>
    <w:p w14:paraId="0B76CD17" w14:textId="77777777" w:rsidR="00824441" w:rsidRPr="00FC0786" w:rsidRDefault="00824441" w:rsidP="00824441">
      <w:pPr>
        <w:rPr>
          <w:rFonts w:eastAsia="Calibri"/>
          <w:b/>
        </w:rPr>
      </w:pPr>
      <w:r w:rsidRPr="00FC0786">
        <w:rPr>
          <w:rFonts w:eastAsia="Calibri"/>
          <w:b/>
        </w:rPr>
        <w:t>III. Proposal</w:t>
      </w:r>
    </w:p>
    <w:p w14:paraId="67A6AABE" w14:textId="361C6BE6" w:rsidR="00824441" w:rsidRPr="003159DE" w:rsidRDefault="2CEEF21D" w:rsidP="0BFF9FE6">
      <w:pPr>
        <w:rPr>
          <w:rFonts w:eastAsia="Calibri" w:cs="Arial"/>
        </w:rPr>
      </w:pPr>
      <w:r w:rsidRPr="0BFF9FE6">
        <w:rPr>
          <w:rFonts w:eastAsia="Calibri" w:cs="Arial"/>
        </w:rPr>
        <w:t xml:space="preserve">To provide a rule for the tax treatment of unlisted property companies and ensuring that </w:t>
      </w:r>
      <w:r w:rsidR="74986932" w:rsidRPr="0BFF9FE6">
        <w:rPr>
          <w:rFonts w:eastAsia="Calibri" w:cs="Arial"/>
        </w:rPr>
        <w:t>they meet certain requirements and conditions</w:t>
      </w:r>
      <w:r w:rsidRPr="0BFF9FE6">
        <w:rPr>
          <w:rFonts w:eastAsia="Calibri" w:cs="Arial"/>
        </w:rPr>
        <w:t xml:space="preserve">, it is proposed that the </w:t>
      </w:r>
      <w:r w:rsidR="63461CEF" w:rsidRPr="0BFF9FE6">
        <w:rPr>
          <w:rFonts w:eastAsia="Calibri" w:cs="Arial"/>
        </w:rPr>
        <w:t>“</w:t>
      </w:r>
      <w:r w:rsidRPr="0BFF9FE6">
        <w:rPr>
          <w:rFonts w:eastAsia="Calibri" w:cs="Arial"/>
        </w:rPr>
        <w:t>REIT</w:t>
      </w:r>
      <w:r w:rsidR="63461CEF" w:rsidRPr="0BFF9FE6">
        <w:rPr>
          <w:rFonts w:eastAsia="Calibri" w:cs="Arial"/>
        </w:rPr>
        <w:t>”</w:t>
      </w:r>
      <w:r w:rsidRPr="0BFF9FE6">
        <w:rPr>
          <w:rFonts w:eastAsia="Calibri" w:cs="Arial"/>
        </w:rPr>
        <w:t xml:space="preserve"> definition in section 1 of the Act be extended to cater for a company that is a South African company, that is not listed on </w:t>
      </w:r>
      <w:r w:rsidR="3DE40369" w:rsidRPr="0BFF9FE6">
        <w:rPr>
          <w:rFonts w:eastAsia="Calibri" w:cs="Arial"/>
        </w:rPr>
        <w:t>a</w:t>
      </w:r>
      <w:r w:rsidRPr="0BFF9FE6">
        <w:rPr>
          <w:rFonts w:eastAsia="Calibri" w:cs="Arial"/>
        </w:rPr>
        <w:t xml:space="preserve"> South African Stock Exchange</w:t>
      </w:r>
      <w:r w:rsidR="3D9CF526" w:rsidRPr="0BFF9FE6">
        <w:rPr>
          <w:rFonts w:eastAsia="Calibri" w:cs="Arial"/>
        </w:rPr>
        <w:t>,</w:t>
      </w:r>
      <w:r w:rsidRPr="0BFF9FE6">
        <w:rPr>
          <w:rFonts w:eastAsia="Calibri" w:cs="Arial"/>
        </w:rPr>
        <w:t xml:space="preserve"> but </w:t>
      </w:r>
      <w:r w:rsidR="0B34BE6B" w:rsidRPr="0BFF9FE6">
        <w:rPr>
          <w:rFonts w:eastAsia="Calibri" w:cs="Arial"/>
        </w:rPr>
        <w:t xml:space="preserve">meets the requirements and conditions set by the Minister of Finance by notice in the </w:t>
      </w:r>
      <w:r w:rsidR="0B34BE6B" w:rsidRPr="0BFF9FE6">
        <w:rPr>
          <w:rFonts w:eastAsia="Calibri" w:cs="Arial"/>
          <w:i/>
          <w:iCs/>
        </w:rPr>
        <w:t>Gazette</w:t>
      </w:r>
      <w:r w:rsidRPr="0BFF9FE6">
        <w:rPr>
          <w:rFonts w:eastAsia="Calibri" w:cs="Arial"/>
        </w:rPr>
        <w:t xml:space="preserve">.  </w:t>
      </w:r>
    </w:p>
    <w:p w14:paraId="7FF12E7C" w14:textId="77777777" w:rsidR="00824441" w:rsidRPr="00FC0786" w:rsidRDefault="00824441" w:rsidP="00824441">
      <w:pPr>
        <w:rPr>
          <w:b/>
        </w:rPr>
      </w:pPr>
      <w:r w:rsidRPr="00FC0786">
        <w:rPr>
          <w:b/>
        </w:rPr>
        <w:t>IV. Effective date</w:t>
      </w:r>
    </w:p>
    <w:p w14:paraId="6EC61AF7" w14:textId="0A0B225D" w:rsidR="00724DE9" w:rsidRPr="00864756" w:rsidRDefault="00824441" w:rsidP="00864756">
      <w:pPr>
        <w:rPr>
          <w:rFonts w:cs="Arial"/>
          <w:lang w:val="en-US"/>
        </w:rPr>
      </w:pPr>
      <w:bookmarkStart w:id="94" w:name="_Hlk172578415"/>
      <w:bookmarkEnd w:id="93"/>
      <w:r w:rsidRPr="4DA829A6">
        <w:rPr>
          <w:rFonts w:eastAsia="Calibri" w:cs="Arial"/>
        </w:rPr>
        <w:t xml:space="preserve">The proposed amendment will come into operation with effect from a date determined by the Minister of Finance by notice in the </w:t>
      </w:r>
      <w:r w:rsidRPr="4DA829A6">
        <w:rPr>
          <w:rFonts w:eastAsia="Calibri" w:cs="Arial"/>
          <w:i/>
          <w:iCs/>
        </w:rPr>
        <w:t xml:space="preserve">Gazette </w:t>
      </w:r>
      <w:r w:rsidRPr="4DA829A6">
        <w:rPr>
          <w:rFonts w:eastAsia="Calibri" w:cs="Arial"/>
        </w:rPr>
        <w:t xml:space="preserve">after the publication of the requirements regulating the unlisted property companies. </w:t>
      </w:r>
      <w:bookmarkEnd w:id="94"/>
    </w:p>
    <w:p w14:paraId="4B67C07E" w14:textId="77777777" w:rsidR="00AC2B70" w:rsidRPr="003177DB" w:rsidRDefault="00AC2B70" w:rsidP="002D5681">
      <w:pPr>
        <w:pStyle w:val="Heading2"/>
      </w:pPr>
      <w:bookmarkStart w:id="95" w:name="_Toc46433524"/>
      <w:bookmarkStart w:id="96" w:name="_Toc198158750"/>
      <w:r w:rsidRPr="003177DB">
        <w:t xml:space="preserve">INCOME TAX: BUSINESS </w:t>
      </w:r>
      <w:r>
        <w:t>(FINANCIAL INSTITUTIONS AND PRODUCTS</w:t>
      </w:r>
      <w:r w:rsidRPr="003177DB">
        <w:t>)</w:t>
      </w:r>
      <w:bookmarkEnd w:id="95"/>
      <w:bookmarkEnd w:id="96"/>
    </w:p>
    <w:p w14:paraId="66507EE8" w14:textId="77777777" w:rsidR="0020322C" w:rsidRPr="00FC0786" w:rsidRDefault="0020322C" w:rsidP="00FC0786">
      <w:pPr>
        <w:pStyle w:val="ListParagraph"/>
        <w:numPr>
          <w:ilvl w:val="0"/>
          <w:numId w:val="17"/>
        </w:numPr>
        <w:rPr>
          <w:b/>
          <w:vanish/>
          <w:lang w:val="en-US"/>
        </w:rPr>
      </w:pPr>
      <w:bookmarkStart w:id="97" w:name="_Toc14437876"/>
      <w:bookmarkStart w:id="98" w:name="_Toc14440213"/>
      <w:bookmarkStart w:id="99" w:name="_Toc14440270"/>
      <w:bookmarkStart w:id="100" w:name="_Toc14441804"/>
      <w:bookmarkStart w:id="101" w:name="_Toc24123776"/>
      <w:bookmarkStart w:id="102" w:name="_Toc29908429"/>
      <w:bookmarkStart w:id="103" w:name="_Toc29908478"/>
      <w:bookmarkStart w:id="104" w:name="_Toc29909375"/>
      <w:bookmarkStart w:id="105" w:name="_Toc29911421"/>
      <w:bookmarkStart w:id="106" w:name="_Toc30067422"/>
      <w:bookmarkStart w:id="107" w:name="_Toc30067496"/>
      <w:bookmarkStart w:id="108" w:name="_Toc30067635"/>
      <w:bookmarkStart w:id="109" w:name="_Toc30069389"/>
      <w:bookmarkStart w:id="110" w:name="_Toc30169240"/>
      <w:bookmarkStart w:id="111" w:name="_Toc44513701"/>
      <w:bookmarkStart w:id="112" w:name="_Toc44513751"/>
      <w:bookmarkStart w:id="113" w:name="_Toc44664629"/>
      <w:bookmarkStart w:id="114" w:name="_Toc44664671"/>
      <w:bookmarkStart w:id="115" w:name="_Toc44690626"/>
      <w:bookmarkStart w:id="116" w:name="_Toc44690672"/>
      <w:bookmarkStart w:id="117" w:name="_Toc44690827"/>
      <w:bookmarkStart w:id="118" w:name="_Toc45045415"/>
      <w:bookmarkStart w:id="119" w:name="_Toc45051015"/>
      <w:bookmarkStart w:id="120" w:name="_Toc45051060"/>
      <w:bookmarkStart w:id="121" w:name="_Toc45051813"/>
      <w:bookmarkStart w:id="122" w:name="_Toc45051858"/>
      <w:bookmarkStart w:id="123" w:name="_Toc45492818"/>
      <w:bookmarkStart w:id="124" w:name="_Toc45492864"/>
      <w:bookmarkStart w:id="125" w:name="_Toc45526716"/>
      <w:bookmarkStart w:id="126" w:name="_Toc45540319"/>
      <w:bookmarkStart w:id="127" w:name="_Toc45540371"/>
      <w:bookmarkStart w:id="128" w:name="_Toc45541196"/>
      <w:bookmarkStart w:id="129" w:name="_Toc45545719"/>
      <w:bookmarkStart w:id="130" w:name="_Toc45545771"/>
      <w:bookmarkStart w:id="131" w:name="_Toc45621770"/>
      <w:bookmarkStart w:id="132" w:name="_Toc45636839"/>
      <w:bookmarkStart w:id="133" w:name="_Toc45795488"/>
      <w:bookmarkStart w:id="134" w:name="_Toc45795670"/>
      <w:bookmarkStart w:id="135" w:name="_Toc46158320"/>
      <w:bookmarkStart w:id="136" w:name="_Toc46158427"/>
      <w:bookmarkStart w:id="137" w:name="_Toc46158576"/>
      <w:bookmarkStart w:id="138" w:name="_Toc46159106"/>
      <w:bookmarkStart w:id="139" w:name="_Toc46159161"/>
      <w:bookmarkStart w:id="140" w:name="_Toc46416064"/>
      <w:bookmarkStart w:id="141" w:name="_Toc46419911"/>
      <w:bookmarkStart w:id="142" w:name="_Toc46419964"/>
      <w:bookmarkStart w:id="143" w:name="_Toc46433282"/>
      <w:bookmarkStart w:id="144" w:name="_Toc46433335"/>
      <w:bookmarkStart w:id="145" w:name="_Toc46433525"/>
      <w:bookmarkStart w:id="146" w:name="_Toc4650401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9218204" w14:textId="0060C1D3" w:rsidR="002879BA" w:rsidRPr="005E29F8" w:rsidRDefault="00545E51" w:rsidP="009709FD">
      <w:pPr>
        <w:pStyle w:val="Heading3"/>
      </w:pPr>
      <w:bookmarkStart w:id="147" w:name="_Toc198158751"/>
      <w:r w:rsidRPr="4DA829A6">
        <w:t>CLARIFYING THE INTERACTION OF SECTION 24JB(3) OF THE INCOME TAX ACT AND THE GROSS INCOME DEFINITION</w:t>
      </w:r>
      <w:bookmarkEnd w:id="147"/>
    </w:p>
    <w:p w14:paraId="5585B755" w14:textId="437BD07C" w:rsidR="002879BA" w:rsidRDefault="002879BA" w:rsidP="00FC0786">
      <w:r>
        <w:t>[</w:t>
      </w:r>
      <w:r w:rsidR="00EE7F1F" w:rsidRPr="00EE7F1F">
        <w:rPr>
          <w:rFonts w:eastAsia="Arial" w:cs="Arial"/>
          <w:color w:val="000000"/>
          <w:szCs w:val="22"/>
          <w:lang w:eastAsia="en-ZA"/>
        </w:rPr>
        <w:t>Applicable provision:</w:t>
      </w:r>
      <w:r w:rsidR="002D77A7" w:rsidRPr="002D77A7">
        <w:rPr>
          <w:rFonts w:eastAsia="Calibri" w:cs="Arial"/>
          <w:sz w:val="24"/>
          <w:lang w:val="en-US"/>
        </w:rPr>
        <w:t xml:space="preserve"> </w:t>
      </w:r>
      <w:r w:rsidR="003A7B87">
        <w:rPr>
          <w:rFonts w:eastAsia="Calibri" w:cs="Arial"/>
          <w:sz w:val="24"/>
          <w:lang w:val="en-US"/>
        </w:rPr>
        <w:t>S</w:t>
      </w:r>
      <w:r w:rsidR="002D77A7" w:rsidRPr="002D77A7">
        <w:rPr>
          <w:rFonts w:eastAsia="Arial" w:cs="Arial"/>
          <w:color w:val="000000"/>
          <w:szCs w:val="22"/>
          <w:lang w:val="en-US" w:eastAsia="en-ZA"/>
        </w:rPr>
        <w:t xml:space="preserve">ection 24JB of the </w:t>
      </w:r>
      <w:r w:rsidR="008D0FC4" w:rsidRPr="002D77A7">
        <w:rPr>
          <w:rFonts w:eastAsia="Arial" w:cs="Arial"/>
          <w:color w:val="000000"/>
          <w:szCs w:val="22"/>
          <w:lang w:val="en-US" w:eastAsia="en-ZA"/>
        </w:rPr>
        <w:t>Act</w:t>
      </w:r>
      <w:r w:rsidR="008D0FC4" w:rsidRPr="00EE7F1F">
        <w:rPr>
          <w:rFonts w:eastAsia="Arial" w:cs="Arial"/>
          <w:color w:val="000000"/>
          <w:szCs w:val="22"/>
          <w:lang w:eastAsia="en-ZA"/>
        </w:rPr>
        <w:t>]</w:t>
      </w:r>
    </w:p>
    <w:p w14:paraId="05D71698" w14:textId="77777777" w:rsidR="002879BA" w:rsidRPr="00FC0786" w:rsidRDefault="002879BA" w:rsidP="00FC0786">
      <w:pPr>
        <w:rPr>
          <w:b/>
        </w:rPr>
      </w:pPr>
      <w:r w:rsidRPr="00FC0786">
        <w:rPr>
          <w:b/>
        </w:rPr>
        <w:t>I. Background</w:t>
      </w:r>
    </w:p>
    <w:p w14:paraId="62DA4E98" w14:textId="6823E998" w:rsidR="00C7385D" w:rsidRPr="00C7385D" w:rsidRDefault="00C7385D" w:rsidP="00C7385D">
      <w:pPr>
        <w:rPr>
          <w:rFonts w:eastAsia="Calibri" w:cs="Arial"/>
          <w:szCs w:val="22"/>
        </w:rPr>
      </w:pPr>
      <w:r w:rsidRPr="00C7385D">
        <w:rPr>
          <w:rFonts w:eastAsia="Calibri" w:cs="Arial"/>
          <w:szCs w:val="22"/>
        </w:rPr>
        <w:t>Section 24JB(3) of the Act states that</w:t>
      </w:r>
      <w:r w:rsidR="00DE022C">
        <w:rPr>
          <w:rFonts w:eastAsia="Calibri" w:cs="Arial"/>
          <w:szCs w:val="22"/>
        </w:rPr>
        <w:t xml:space="preserve">: </w:t>
      </w:r>
      <w:r w:rsidR="0022765B">
        <w:rPr>
          <w:rFonts w:eastAsia="Calibri" w:cs="Arial"/>
          <w:szCs w:val="22"/>
        </w:rPr>
        <w:t>“</w:t>
      </w:r>
      <w:r w:rsidRPr="00724DE9">
        <w:rPr>
          <w:rFonts w:eastAsia="Calibri" w:cs="Arial"/>
          <w:i/>
          <w:iCs/>
          <w:szCs w:val="22"/>
        </w:rPr>
        <w:t>any amount required to be taken into account in determining the taxable income in terms of any provision of Part I of Chapter II, or in determining any assessed capital loss of a covered person in respect of a financial asset or a financial liability contemplated in subsection (2) must only be taken into account in terms of this section</w:t>
      </w:r>
      <w:r w:rsidRPr="00C7385D">
        <w:rPr>
          <w:rFonts w:eastAsia="Calibri" w:cs="Arial"/>
          <w:szCs w:val="22"/>
        </w:rPr>
        <w:t>.</w:t>
      </w:r>
      <w:r w:rsidR="009726E0">
        <w:rPr>
          <w:rFonts w:eastAsia="Calibri" w:cs="Arial"/>
          <w:szCs w:val="22"/>
        </w:rPr>
        <w:t>”</w:t>
      </w:r>
      <w:r w:rsidRPr="00C7385D">
        <w:rPr>
          <w:rFonts w:eastAsia="Calibri" w:cs="Arial"/>
          <w:szCs w:val="22"/>
        </w:rPr>
        <w:t xml:space="preserve">  </w:t>
      </w:r>
    </w:p>
    <w:p w14:paraId="6C0616C0" w14:textId="730933B5" w:rsidR="00C7385D" w:rsidRPr="00C7385D" w:rsidRDefault="00C7385D" w:rsidP="00C7385D">
      <w:pPr>
        <w:rPr>
          <w:rFonts w:eastAsia="Calibri" w:cs="Arial"/>
          <w:szCs w:val="22"/>
          <w:lang w:val="en-US"/>
        </w:rPr>
      </w:pPr>
      <w:r w:rsidRPr="00C7385D">
        <w:rPr>
          <w:rFonts w:eastAsia="Calibri" w:cs="Arial"/>
          <w:szCs w:val="22"/>
          <w:lang w:val="en-US"/>
        </w:rPr>
        <w:t xml:space="preserve">In general, the aim is that section 24JB(3) of the Act ensures that </w:t>
      </w:r>
      <w:bookmarkStart w:id="148" w:name="_Hlk167475392"/>
      <w:r w:rsidRPr="00C7385D">
        <w:rPr>
          <w:rFonts w:eastAsia="Calibri" w:cs="Arial"/>
          <w:szCs w:val="22"/>
          <w:lang w:val="en-US"/>
        </w:rPr>
        <w:t xml:space="preserve">amounts in respect of financial assets and financial liabilities, measured at fair value in terms of </w:t>
      </w:r>
      <w:bookmarkEnd w:id="148"/>
      <w:r w:rsidRPr="00C7385D">
        <w:rPr>
          <w:rFonts w:eastAsia="Calibri" w:cs="Arial"/>
          <w:szCs w:val="22"/>
          <w:lang w:val="en-US"/>
        </w:rPr>
        <w:t xml:space="preserve">International Financial Reporting Standard (IFRS) 9  that are </w:t>
      </w:r>
      <w:proofErr w:type="spellStart"/>
      <w:r w:rsidRPr="00C7385D">
        <w:rPr>
          <w:rFonts w:eastAsia="Calibri" w:cs="Arial"/>
          <w:szCs w:val="22"/>
          <w:lang w:val="en-US"/>
        </w:rPr>
        <w:t>recognised</w:t>
      </w:r>
      <w:proofErr w:type="spellEnd"/>
      <w:r w:rsidRPr="00C7385D">
        <w:rPr>
          <w:rFonts w:eastAsia="Calibri" w:cs="Arial"/>
          <w:szCs w:val="22"/>
          <w:lang w:val="en-US"/>
        </w:rPr>
        <w:t xml:space="preserve"> in the statement of profit or loss and other comprehensive income are only included in or deducted from the income of certain persons under section 24JB(2) of the Act. Therefore, the amounts in respect of these financial assets and financial liabilities that are measured at fair value in terms of the IFRS 9 accounting standard cannot be dealt with under any section of the Act. </w:t>
      </w:r>
    </w:p>
    <w:p w14:paraId="40A3B56B" w14:textId="51B63D88" w:rsidR="00C7385D" w:rsidRPr="00C7385D" w:rsidRDefault="44CB72DA" w:rsidP="4DA829A6">
      <w:pPr>
        <w:rPr>
          <w:rFonts w:eastAsia="Calibri" w:cs="Arial"/>
        </w:rPr>
      </w:pPr>
      <w:r w:rsidRPr="4DA829A6">
        <w:rPr>
          <w:rFonts w:eastAsia="Calibri" w:cs="Arial"/>
        </w:rPr>
        <w:t xml:space="preserve">Section 24JB(3) of the Act refers to all the provisions in Part I of Chapter II of the Act (Part I of Chapter II covers sections 5 to 37G of the Act) that are normally utilised to calculate the taxable income of a covered person in respect of a financial asset or liability contemplated in section 24JB(2) of the Act. This means that the application of sections 5 to 37G of the Act (including paragraph 10 of the Eighth Schedule via section 26A of the Act) must </w:t>
      </w:r>
      <w:r w:rsidR="4EC028B2" w:rsidRPr="4DA829A6">
        <w:rPr>
          <w:rFonts w:eastAsia="Calibri" w:cs="Arial"/>
        </w:rPr>
        <w:t xml:space="preserve">not </w:t>
      </w:r>
      <w:r w:rsidRPr="4DA829A6">
        <w:rPr>
          <w:rFonts w:eastAsia="Calibri" w:cs="Arial"/>
        </w:rPr>
        <w:t xml:space="preserve">be </w:t>
      </w:r>
      <w:r w:rsidR="7F976B64" w:rsidRPr="4DA829A6">
        <w:rPr>
          <w:rFonts w:eastAsia="Calibri" w:cs="Arial"/>
        </w:rPr>
        <w:t>applied</w:t>
      </w:r>
      <w:r w:rsidRPr="4DA829A6">
        <w:rPr>
          <w:rFonts w:eastAsia="Calibri" w:cs="Arial"/>
        </w:rPr>
        <w:t xml:space="preserve"> in determining taxable income. Thus, only section 24JB must be applied as a form of fair-value-taxation. </w:t>
      </w:r>
    </w:p>
    <w:p w14:paraId="6373927A" w14:textId="77777777" w:rsidR="00C7385D" w:rsidRPr="00C7385D" w:rsidRDefault="00C7385D" w:rsidP="4DA829A6">
      <w:pPr>
        <w:rPr>
          <w:rFonts w:eastAsia="Calibri" w:cs="Arial"/>
        </w:rPr>
      </w:pPr>
      <w:r w:rsidRPr="4DA829A6">
        <w:rPr>
          <w:rFonts w:eastAsia="Calibri" w:cs="Arial"/>
        </w:rPr>
        <w:t>However, the definition of “gross income” in section 1(1) of the Act is not one of the provisions mentioned in section 24JB(3) of the Act when reference is made to Part I of Chapter II.</w:t>
      </w:r>
    </w:p>
    <w:p w14:paraId="6EE17CE6" w14:textId="77777777" w:rsidR="002879BA" w:rsidRPr="00FC0786" w:rsidRDefault="002879BA" w:rsidP="00FC0786">
      <w:pPr>
        <w:rPr>
          <w:b/>
        </w:rPr>
      </w:pPr>
      <w:r w:rsidRPr="00FC0786">
        <w:rPr>
          <w:b/>
        </w:rPr>
        <w:t>II. Reasons for change</w:t>
      </w:r>
    </w:p>
    <w:p w14:paraId="72C37E82" w14:textId="2E96D544" w:rsidR="00C7385D" w:rsidRPr="00C7385D" w:rsidRDefault="00C7385D" w:rsidP="4DA829A6">
      <w:pPr>
        <w:rPr>
          <w:rFonts w:eastAsia="Calibri" w:cs="Arial"/>
        </w:rPr>
      </w:pPr>
      <w:r w:rsidRPr="4DA829A6">
        <w:rPr>
          <w:rFonts w:eastAsia="Calibri" w:cs="Arial"/>
        </w:rPr>
        <w:t xml:space="preserve">It has come to Government’s attention that further clarity is required on the interaction between the aforementioned rule in section 24JB(3) of the Act and the definition of </w:t>
      </w:r>
      <w:r w:rsidR="00D5020D" w:rsidRPr="4DA829A6">
        <w:rPr>
          <w:rFonts w:eastAsia="Calibri" w:cs="Arial"/>
        </w:rPr>
        <w:t>“</w:t>
      </w:r>
      <w:r w:rsidRPr="4DA829A6">
        <w:rPr>
          <w:rFonts w:eastAsia="Calibri" w:cs="Arial"/>
        </w:rPr>
        <w:t>gross income</w:t>
      </w:r>
      <w:r w:rsidR="00D5020D" w:rsidRPr="4DA829A6">
        <w:rPr>
          <w:rFonts w:eastAsia="Calibri" w:cs="Arial"/>
        </w:rPr>
        <w:t>”</w:t>
      </w:r>
      <w:r w:rsidRPr="4DA829A6">
        <w:rPr>
          <w:rFonts w:eastAsia="Calibri" w:cs="Arial"/>
        </w:rPr>
        <w:t>.</w:t>
      </w:r>
    </w:p>
    <w:p w14:paraId="11160D55" w14:textId="77777777" w:rsidR="002879BA" w:rsidRPr="00FC0786" w:rsidRDefault="002879BA" w:rsidP="00FC0786">
      <w:pPr>
        <w:rPr>
          <w:b/>
        </w:rPr>
      </w:pPr>
      <w:r w:rsidRPr="00FC0786">
        <w:rPr>
          <w:b/>
        </w:rPr>
        <w:t>III. Proposal</w:t>
      </w:r>
    </w:p>
    <w:p w14:paraId="57F93AE9" w14:textId="7FFA0361" w:rsidR="00C7385D" w:rsidRPr="00C7385D" w:rsidRDefault="00C7385D" w:rsidP="4DA829A6">
      <w:pPr>
        <w:rPr>
          <w:rFonts w:eastAsia="Calibri" w:cs="Arial"/>
        </w:rPr>
      </w:pPr>
      <w:r w:rsidRPr="4DA829A6">
        <w:rPr>
          <w:rFonts w:eastAsia="Calibri" w:cs="Arial"/>
        </w:rPr>
        <w:t xml:space="preserve">It is proposed that </w:t>
      </w:r>
      <w:bookmarkStart w:id="149" w:name="_Hlk167476039"/>
      <w:r w:rsidRPr="4DA829A6">
        <w:rPr>
          <w:rFonts w:eastAsia="Calibri" w:cs="Arial"/>
        </w:rPr>
        <w:t xml:space="preserve">section 24JB(3) </w:t>
      </w:r>
      <w:r w:rsidR="00D5020D" w:rsidRPr="4DA829A6">
        <w:rPr>
          <w:rFonts w:eastAsia="Calibri" w:cs="Arial"/>
        </w:rPr>
        <w:t xml:space="preserve">of the Act </w:t>
      </w:r>
      <w:r w:rsidRPr="4DA829A6">
        <w:rPr>
          <w:rFonts w:eastAsia="Calibri" w:cs="Arial"/>
        </w:rPr>
        <w:t xml:space="preserve">be amended to specifically exclude the application of the definition of </w:t>
      </w:r>
      <w:r w:rsidR="00BF0AE6" w:rsidRPr="4DA829A6">
        <w:rPr>
          <w:rFonts w:eastAsia="Calibri" w:cs="Arial"/>
        </w:rPr>
        <w:t>“</w:t>
      </w:r>
      <w:r w:rsidRPr="4DA829A6">
        <w:rPr>
          <w:rFonts w:eastAsia="Calibri" w:cs="Arial"/>
        </w:rPr>
        <w:t>gross income</w:t>
      </w:r>
      <w:r w:rsidR="00BF0AE6" w:rsidRPr="4DA829A6">
        <w:rPr>
          <w:rFonts w:eastAsia="Calibri" w:cs="Arial"/>
        </w:rPr>
        <w:t>”</w:t>
      </w:r>
      <w:r w:rsidRPr="4DA829A6">
        <w:rPr>
          <w:rFonts w:eastAsia="Calibri" w:cs="Arial"/>
        </w:rPr>
        <w:t xml:space="preserve"> to ensure that section 24JB </w:t>
      </w:r>
      <w:r w:rsidR="00D5020D" w:rsidRPr="4DA829A6">
        <w:rPr>
          <w:rFonts w:eastAsia="Calibri" w:cs="Arial"/>
        </w:rPr>
        <w:t xml:space="preserve">of the Act </w:t>
      </w:r>
      <w:r w:rsidRPr="4DA829A6">
        <w:rPr>
          <w:rFonts w:eastAsia="Calibri" w:cs="Arial"/>
        </w:rPr>
        <w:t>takes preference over all other sections in the Act</w:t>
      </w:r>
      <w:bookmarkEnd w:id="149"/>
      <w:r w:rsidR="00116BDB" w:rsidRPr="4DA829A6">
        <w:rPr>
          <w:rFonts w:eastAsia="Calibri" w:cs="Arial"/>
        </w:rPr>
        <w:t xml:space="preserve"> </w:t>
      </w:r>
      <w:r w:rsidRPr="4DA829A6">
        <w:rPr>
          <w:rFonts w:eastAsia="Calibri" w:cs="Arial"/>
        </w:rPr>
        <w:t>in determining taxable income in respect of financial instruments described in section 24JB(2) of the Act</w:t>
      </w:r>
      <w:r w:rsidR="00116BDB" w:rsidRPr="4DA829A6">
        <w:rPr>
          <w:rFonts w:eastAsia="Calibri" w:cs="Arial"/>
        </w:rPr>
        <w:t>.</w:t>
      </w:r>
    </w:p>
    <w:p w14:paraId="2014EBE5" w14:textId="77777777" w:rsidR="002879BA" w:rsidRPr="00FC0786" w:rsidRDefault="002879BA" w:rsidP="00FC0786">
      <w:pPr>
        <w:rPr>
          <w:b/>
        </w:rPr>
      </w:pPr>
      <w:r w:rsidRPr="00FC0786">
        <w:rPr>
          <w:b/>
        </w:rPr>
        <w:t>IV. Effective date</w:t>
      </w:r>
    </w:p>
    <w:p w14:paraId="690EBFC0" w14:textId="57637C85" w:rsidR="00C7385D" w:rsidRDefault="02827B0D" w:rsidP="00C7385D">
      <w:pPr>
        <w:rPr>
          <w:lang w:val="en-US"/>
        </w:rPr>
      </w:pPr>
      <w:r w:rsidRPr="5FEEF3AA">
        <w:rPr>
          <w:lang w:val="en-US"/>
        </w:rPr>
        <w:t>The proposed amendment come</w:t>
      </w:r>
      <w:r w:rsidR="5649C5EF" w:rsidRPr="5FEEF3AA">
        <w:rPr>
          <w:lang w:val="en-US"/>
        </w:rPr>
        <w:t>s</w:t>
      </w:r>
      <w:r w:rsidRPr="5FEEF3AA">
        <w:rPr>
          <w:lang w:val="en-US"/>
        </w:rPr>
        <w:t xml:space="preserve"> into operation on 31 December 2024 and appl</w:t>
      </w:r>
      <w:r w:rsidR="63AC15B9" w:rsidRPr="5FEEF3AA">
        <w:rPr>
          <w:lang w:val="en-US"/>
        </w:rPr>
        <w:t>ies</w:t>
      </w:r>
      <w:r w:rsidRPr="5FEEF3AA">
        <w:rPr>
          <w:lang w:val="en-US"/>
        </w:rPr>
        <w:t xml:space="preserve"> in </w:t>
      </w:r>
      <w:r w:rsidR="236B967A" w:rsidRPr="5FEEF3AA">
        <w:rPr>
          <w:lang w:val="en-US"/>
        </w:rPr>
        <w:t xml:space="preserve">respect </w:t>
      </w:r>
      <w:r w:rsidR="63AC15B9" w:rsidRPr="5FEEF3AA">
        <w:rPr>
          <w:lang w:val="en-US"/>
        </w:rPr>
        <w:t>of</w:t>
      </w:r>
      <w:r w:rsidRPr="5FEEF3AA">
        <w:rPr>
          <w:lang w:val="en-US"/>
        </w:rPr>
        <w:t xml:space="preserve"> years of assessment ending on or after that date.</w:t>
      </w:r>
    </w:p>
    <w:p w14:paraId="24BB0DB8" w14:textId="77777777" w:rsidR="003159DE" w:rsidRDefault="003159DE" w:rsidP="00C7385D">
      <w:pPr>
        <w:rPr>
          <w:lang w:val="en-US"/>
        </w:rPr>
      </w:pPr>
    </w:p>
    <w:p w14:paraId="42F0180A" w14:textId="77777777" w:rsidR="003159DE" w:rsidRPr="005E29F8" w:rsidRDefault="003159DE" w:rsidP="009709FD">
      <w:pPr>
        <w:pStyle w:val="Heading3"/>
      </w:pPr>
      <w:bookmarkStart w:id="150" w:name="_Toc198158752"/>
      <w:r w:rsidRPr="005E29F8">
        <w:t>IMPACT OF IFRS 17 ON THE TAXATION OF INSURERS</w:t>
      </w:r>
      <w:bookmarkEnd w:id="150"/>
    </w:p>
    <w:p w14:paraId="0FD70650" w14:textId="1EACECA9" w:rsidR="003159DE" w:rsidRDefault="2D3C353E" w:rsidP="003159DE">
      <w:r>
        <w:t>[Applicable provision</w:t>
      </w:r>
      <w:r w:rsidR="0D05D13C">
        <w:t>:</w:t>
      </w:r>
      <w:r>
        <w:t xml:space="preserve"> </w:t>
      </w:r>
      <w:r w:rsidR="546EFFDA">
        <w:t>S</w:t>
      </w:r>
      <w:r>
        <w:t>ection 28 of the Act]</w:t>
      </w:r>
    </w:p>
    <w:p w14:paraId="4719D3E6" w14:textId="77777777" w:rsidR="003159DE" w:rsidRPr="00FC0786" w:rsidRDefault="003159DE" w:rsidP="003159DE">
      <w:pPr>
        <w:rPr>
          <w:b/>
        </w:rPr>
      </w:pPr>
      <w:r w:rsidRPr="00FC0786">
        <w:rPr>
          <w:b/>
        </w:rPr>
        <w:t>I. Background</w:t>
      </w:r>
    </w:p>
    <w:p w14:paraId="44E2F82B" w14:textId="6B6E2396" w:rsidR="003159DE" w:rsidRPr="00DC553A" w:rsidRDefault="003159DE" w:rsidP="003159DE">
      <w:pPr>
        <w:rPr>
          <w:rFonts w:eastAsia="Calibri" w:cs="Arial"/>
          <w:szCs w:val="22"/>
        </w:rPr>
      </w:pPr>
      <w:r w:rsidRPr="00DC553A">
        <w:rPr>
          <w:rFonts w:eastAsia="Calibri" w:cs="Arial"/>
          <w:szCs w:val="22"/>
        </w:rPr>
        <w:t xml:space="preserve">In 2022, amendments were made in the Act by introducing a phasing in period of three years to be provided to short-term insurers to cater for the tax impact as a result of the difference between the methodologies applied in valuing insurance liabilities between accounting standards IFRS 4 and IFRS 17 which was going to be effective for annual reporting periods beginning on or after 1 January 2023.  </w:t>
      </w:r>
    </w:p>
    <w:p w14:paraId="52576CC0" w14:textId="43C089A5" w:rsidR="003159DE" w:rsidRPr="00DC553A" w:rsidRDefault="2D3C353E" w:rsidP="5FEEF3AA">
      <w:pPr>
        <w:rPr>
          <w:rFonts w:eastAsia="Calibri" w:cs="Arial"/>
        </w:rPr>
      </w:pPr>
      <w:r w:rsidRPr="5FEEF3AA">
        <w:rPr>
          <w:rFonts w:eastAsia="Calibri" w:cs="Arial"/>
        </w:rPr>
        <w:t xml:space="preserve">The </w:t>
      </w:r>
      <w:r w:rsidR="331269C0" w:rsidRPr="5FEEF3AA">
        <w:rPr>
          <w:rFonts w:eastAsia="Calibri" w:cs="Arial"/>
        </w:rPr>
        <w:t>“</w:t>
      </w:r>
      <w:r w:rsidRPr="5FEEF3AA">
        <w:rPr>
          <w:rFonts w:eastAsia="Calibri" w:cs="Arial"/>
        </w:rPr>
        <w:t>phasing-in amount</w:t>
      </w:r>
      <w:r w:rsidR="331269C0" w:rsidRPr="5FEEF3AA">
        <w:rPr>
          <w:rFonts w:eastAsia="Calibri" w:cs="Arial"/>
        </w:rPr>
        <w:t>”</w:t>
      </w:r>
      <w:r w:rsidRPr="5FEEF3AA">
        <w:rPr>
          <w:rFonts w:eastAsia="Calibri" w:cs="Arial"/>
        </w:rPr>
        <w:t xml:space="preserve"> was defined to be an amount that is a difference between the amount that is deductible from the income of a short-term insurer in terms of section 28(3) or section 28(3A) of the Act at the end of the latest year of assessment commencing on or after 1 January 2022 but before 1 January 2023 (measuring year) determined under the current rules of section 28(3) or section 28(3A) of the Act and the amount of the deduction for the measuring year had IFRS 17 been applied at the end of the measuring year</w:t>
      </w:r>
      <w:r w:rsidR="1DBF18E8" w:rsidRPr="5FEEF3AA">
        <w:rPr>
          <w:rFonts w:eastAsia="Calibri" w:cs="Arial"/>
        </w:rPr>
        <w:t>, adjusted by specified amounts</w:t>
      </w:r>
      <w:r w:rsidRPr="5FEEF3AA">
        <w:rPr>
          <w:rFonts w:eastAsia="Calibri" w:cs="Arial"/>
        </w:rPr>
        <w:t xml:space="preserve">. </w:t>
      </w:r>
    </w:p>
    <w:p w14:paraId="7EF3E780" w14:textId="68BF12AF" w:rsidR="003159DE" w:rsidRPr="00DC553A" w:rsidRDefault="2D3C353E" w:rsidP="5FEEF3AA">
      <w:pPr>
        <w:rPr>
          <w:rFonts w:eastAsia="Calibri" w:cs="Arial"/>
        </w:rPr>
      </w:pPr>
      <w:r w:rsidRPr="5FEEF3AA">
        <w:rPr>
          <w:rFonts w:eastAsia="Calibri" w:cs="Arial"/>
        </w:rPr>
        <w:t xml:space="preserve">In general, prior to the change in 2022, the insurance liabilities were made up of </w:t>
      </w:r>
      <w:r w:rsidR="7B712CE6" w:rsidRPr="5FEEF3AA">
        <w:rPr>
          <w:rFonts w:eastAsia="Calibri" w:cs="Arial"/>
        </w:rPr>
        <w:t xml:space="preserve">the </w:t>
      </w:r>
      <w:r w:rsidRPr="5FEEF3AA">
        <w:rPr>
          <w:rFonts w:eastAsia="Calibri" w:cs="Arial"/>
        </w:rPr>
        <w:t>unearned premium reserve (</w:t>
      </w:r>
      <w:r w:rsidR="7EC6015B" w:rsidRPr="5FEEF3AA">
        <w:rPr>
          <w:rFonts w:eastAsia="Calibri" w:cs="Arial"/>
        </w:rPr>
        <w:t>“</w:t>
      </w:r>
      <w:r w:rsidRPr="5FEEF3AA">
        <w:rPr>
          <w:rFonts w:eastAsia="Calibri" w:cs="Arial"/>
        </w:rPr>
        <w:t>UPR</w:t>
      </w:r>
      <w:r w:rsidR="7EC6015B" w:rsidRPr="5FEEF3AA">
        <w:rPr>
          <w:rFonts w:eastAsia="Calibri" w:cs="Arial"/>
        </w:rPr>
        <w:t>”</w:t>
      </w:r>
      <w:r w:rsidRPr="5FEEF3AA">
        <w:rPr>
          <w:rFonts w:eastAsia="Calibri" w:cs="Arial"/>
        </w:rPr>
        <w:t>) liability</w:t>
      </w:r>
      <w:r w:rsidR="255263E9" w:rsidRPr="5FEEF3AA">
        <w:rPr>
          <w:rFonts w:eastAsia="Calibri" w:cs="Arial"/>
        </w:rPr>
        <w:t xml:space="preserve">, </w:t>
      </w:r>
      <w:r w:rsidRPr="5FEEF3AA">
        <w:rPr>
          <w:rFonts w:eastAsia="Calibri" w:cs="Arial"/>
        </w:rPr>
        <w:t>claims incurred but not reported (</w:t>
      </w:r>
      <w:r w:rsidR="7EC6015B" w:rsidRPr="5FEEF3AA">
        <w:rPr>
          <w:rFonts w:eastAsia="Calibri" w:cs="Arial"/>
        </w:rPr>
        <w:t>“</w:t>
      </w:r>
      <w:r w:rsidRPr="5FEEF3AA">
        <w:rPr>
          <w:rFonts w:eastAsia="Calibri" w:cs="Arial"/>
        </w:rPr>
        <w:t>IBNR</w:t>
      </w:r>
      <w:r w:rsidR="7EC6015B" w:rsidRPr="5FEEF3AA">
        <w:rPr>
          <w:rFonts w:eastAsia="Calibri" w:cs="Arial"/>
        </w:rPr>
        <w:t>”</w:t>
      </w:r>
      <w:r w:rsidRPr="5FEEF3AA">
        <w:rPr>
          <w:rFonts w:eastAsia="Calibri" w:cs="Arial"/>
        </w:rPr>
        <w:t>) and the outstanding claims reserve (</w:t>
      </w:r>
      <w:r w:rsidR="7EC6015B" w:rsidRPr="5FEEF3AA">
        <w:rPr>
          <w:rFonts w:eastAsia="Calibri" w:cs="Arial"/>
        </w:rPr>
        <w:t>“</w:t>
      </w:r>
      <w:r w:rsidRPr="5FEEF3AA">
        <w:rPr>
          <w:rFonts w:eastAsia="Calibri" w:cs="Arial"/>
        </w:rPr>
        <w:t>OCR</w:t>
      </w:r>
      <w:r w:rsidR="7EC6015B" w:rsidRPr="5FEEF3AA">
        <w:rPr>
          <w:rFonts w:eastAsia="Calibri" w:cs="Arial"/>
        </w:rPr>
        <w:t>”</w:t>
      </w:r>
      <w:r w:rsidRPr="5FEEF3AA">
        <w:rPr>
          <w:rFonts w:eastAsia="Calibri" w:cs="Arial"/>
        </w:rPr>
        <w:t>), net of deferred acquisition costs, deferred revenue liability and the re-insurance reserve</w:t>
      </w:r>
      <w:r w:rsidR="253F4DDC" w:rsidRPr="5FEEF3AA">
        <w:rPr>
          <w:rFonts w:eastAsia="Calibri" w:cs="Arial"/>
        </w:rPr>
        <w:t>,</w:t>
      </w:r>
      <w:r w:rsidRPr="5FEEF3AA">
        <w:rPr>
          <w:rFonts w:eastAsia="Calibri" w:cs="Arial"/>
        </w:rPr>
        <w:t xml:space="preserve"> which was provided for in section 28(3) of the Act.  </w:t>
      </w:r>
    </w:p>
    <w:p w14:paraId="10DDD62C" w14:textId="005A1E94" w:rsidR="00CC14BF" w:rsidRPr="00612860" w:rsidRDefault="2D3C353E" w:rsidP="5FEEF3AA">
      <w:pPr>
        <w:rPr>
          <w:rFonts w:eastAsia="Calibri" w:cs="Arial"/>
          <w:lang w:val="en-GB"/>
        </w:rPr>
      </w:pPr>
      <w:r w:rsidRPr="5FEEF3AA">
        <w:rPr>
          <w:rFonts w:eastAsia="Calibri" w:cs="Arial"/>
        </w:rPr>
        <w:t>Under IFRS 17, the insurance liabilities are made up of the liability for remaining coverage (</w:t>
      </w:r>
      <w:r w:rsidR="7EC6015B" w:rsidRPr="5FEEF3AA">
        <w:rPr>
          <w:rFonts w:eastAsia="Calibri" w:cs="Arial"/>
        </w:rPr>
        <w:t>“</w:t>
      </w:r>
      <w:r w:rsidRPr="5FEEF3AA">
        <w:rPr>
          <w:rFonts w:eastAsia="Calibri" w:cs="Arial"/>
        </w:rPr>
        <w:t>LRC</w:t>
      </w:r>
      <w:r w:rsidR="7EC6015B" w:rsidRPr="5FEEF3AA">
        <w:rPr>
          <w:rFonts w:eastAsia="Calibri" w:cs="Arial"/>
        </w:rPr>
        <w:t>”</w:t>
      </w:r>
      <w:r w:rsidRPr="5FEEF3AA">
        <w:rPr>
          <w:rFonts w:eastAsia="Calibri" w:cs="Arial"/>
        </w:rPr>
        <w:t>), which is the equivalent to UPR</w:t>
      </w:r>
      <w:r w:rsidR="51A1F92B" w:rsidRPr="5FEEF3AA">
        <w:rPr>
          <w:rFonts w:eastAsia="Calibri" w:cs="Arial"/>
        </w:rPr>
        <w:t>,</w:t>
      </w:r>
      <w:r w:rsidRPr="5FEEF3AA">
        <w:rPr>
          <w:rFonts w:eastAsia="Calibri" w:cs="Arial"/>
        </w:rPr>
        <w:t xml:space="preserve"> and the liability for incurred claims (</w:t>
      </w:r>
      <w:r w:rsidR="7EC6015B" w:rsidRPr="5FEEF3AA">
        <w:rPr>
          <w:rFonts w:eastAsia="Calibri" w:cs="Arial"/>
        </w:rPr>
        <w:t>“</w:t>
      </w:r>
      <w:r w:rsidRPr="5FEEF3AA">
        <w:rPr>
          <w:rFonts w:eastAsia="Calibri" w:cs="Arial"/>
        </w:rPr>
        <w:t>LIC</w:t>
      </w:r>
      <w:r w:rsidR="7EC6015B" w:rsidRPr="5FEEF3AA">
        <w:rPr>
          <w:rFonts w:eastAsia="Calibri" w:cs="Arial"/>
        </w:rPr>
        <w:t>”</w:t>
      </w:r>
      <w:r w:rsidRPr="5FEEF3AA">
        <w:rPr>
          <w:rFonts w:eastAsia="Calibri" w:cs="Arial"/>
        </w:rPr>
        <w:t xml:space="preserve">), which is akin to the IBNR and OCR. However, under IFRS 17, the LRC is taken into account </w:t>
      </w:r>
      <w:r w:rsidRPr="5FEEF3AA">
        <w:rPr>
          <w:rFonts w:eastAsia="Calibri" w:cs="Arial"/>
          <w:lang w:val="en-GB"/>
        </w:rPr>
        <w:t xml:space="preserve">as a deduction </w:t>
      </w:r>
      <w:r w:rsidR="1213A48A" w:rsidRPr="5FEEF3AA">
        <w:rPr>
          <w:rFonts w:eastAsia="Calibri" w:cs="Arial"/>
          <w:lang w:val="en-GB"/>
        </w:rPr>
        <w:t xml:space="preserve">when determining </w:t>
      </w:r>
      <w:r w:rsidRPr="5FEEF3AA">
        <w:rPr>
          <w:rFonts w:eastAsia="Calibri" w:cs="Arial"/>
          <w:lang w:val="en-GB"/>
        </w:rPr>
        <w:t xml:space="preserve">insurance revenue </w:t>
      </w:r>
      <w:r w:rsidR="2390B2A0" w:rsidRPr="5FEEF3AA">
        <w:rPr>
          <w:rFonts w:eastAsia="Calibri" w:cs="Arial"/>
          <w:lang w:val="en-GB"/>
        </w:rPr>
        <w:t>and is</w:t>
      </w:r>
      <w:r w:rsidR="5B0538EE" w:rsidRPr="5FEEF3AA">
        <w:rPr>
          <w:rFonts w:eastAsia="Calibri" w:cs="Arial"/>
          <w:lang w:val="en-GB"/>
        </w:rPr>
        <w:t xml:space="preserve">, therefore, also taken into account under section </w:t>
      </w:r>
      <w:r w:rsidR="5091652C" w:rsidRPr="5FEEF3AA">
        <w:rPr>
          <w:rFonts w:eastAsia="Calibri" w:cs="Arial"/>
          <w:lang w:val="en-GB"/>
        </w:rPr>
        <w:t>28(2)</w:t>
      </w:r>
      <w:r w:rsidR="5091652C" w:rsidRPr="00D259EF">
        <w:rPr>
          <w:rFonts w:eastAsia="Calibri" w:cs="Arial"/>
          <w:i/>
          <w:iCs/>
          <w:lang w:val="en-GB"/>
        </w:rPr>
        <w:t>(a)</w:t>
      </w:r>
      <w:r w:rsidR="2390B2A0" w:rsidRPr="5FEEF3AA">
        <w:rPr>
          <w:rFonts w:eastAsia="Calibri" w:cs="Arial"/>
          <w:lang w:val="en-GB"/>
        </w:rPr>
        <w:t xml:space="preserve"> </w:t>
      </w:r>
      <w:r w:rsidRPr="5FEEF3AA">
        <w:rPr>
          <w:rFonts w:eastAsia="Calibri" w:cs="Arial"/>
          <w:lang w:val="en-GB"/>
        </w:rPr>
        <w:t xml:space="preserve">when a short-term insurer is determining the taxable income derived during a year of assessment from carrying on short-term insurance business.  </w:t>
      </w:r>
    </w:p>
    <w:p w14:paraId="52CF361F" w14:textId="77777777" w:rsidR="003159DE" w:rsidRPr="00FC0786" w:rsidRDefault="003159DE" w:rsidP="003159DE">
      <w:pPr>
        <w:rPr>
          <w:rFonts w:eastAsia="Calibri"/>
          <w:b/>
        </w:rPr>
      </w:pPr>
      <w:r w:rsidRPr="00FC0786">
        <w:rPr>
          <w:rFonts w:eastAsia="Calibri"/>
          <w:b/>
        </w:rPr>
        <w:t>II. Reasons for change</w:t>
      </w:r>
    </w:p>
    <w:p w14:paraId="725C2DBB" w14:textId="1C53B868" w:rsidR="003159DE" w:rsidRPr="006E080A" w:rsidRDefault="2D3C353E" w:rsidP="00D259EF">
      <w:pPr>
        <w:pStyle w:val="ListParagraph"/>
        <w:numPr>
          <w:ilvl w:val="0"/>
          <w:numId w:val="4"/>
        </w:numPr>
        <w:spacing w:after="0" w:line="269" w:lineRule="auto"/>
        <w:ind w:right="153"/>
        <w:rPr>
          <w:rFonts w:eastAsia="Arial" w:cs="Arial"/>
          <w:szCs w:val="22"/>
        </w:rPr>
      </w:pPr>
      <w:r w:rsidRPr="5FEEF3AA">
        <w:rPr>
          <w:rFonts w:eastAsia="Calibri" w:cs="Arial"/>
        </w:rPr>
        <w:t>As stated above, the change in the treatment of UPR under IFRS 17 that led to it being taken into account under section 28(2)(</w:t>
      </w:r>
      <w:r w:rsidRPr="5FEEF3AA">
        <w:rPr>
          <w:rFonts w:eastAsia="Calibri" w:cs="Arial"/>
          <w:i/>
          <w:iCs/>
        </w:rPr>
        <w:t>a</w:t>
      </w:r>
      <w:r w:rsidRPr="5FEEF3AA">
        <w:rPr>
          <w:rFonts w:eastAsia="Calibri" w:cs="Arial"/>
        </w:rPr>
        <w:t>)</w:t>
      </w:r>
      <w:r w:rsidR="4AB4E9D9" w:rsidRPr="5FEEF3AA">
        <w:rPr>
          <w:rFonts w:eastAsia="Calibri" w:cs="Arial"/>
        </w:rPr>
        <w:t xml:space="preserve"> of the Act</w:t>
      </w:r>
      <w:r w:rsidRPr="5FEEF3AA">
        <w:rPr>
          <w:rFonts w:eastAsia="Calibri" w:cs="Arial"/>
        </w:rPr>
        <w:t xml:space="preserve"> has created complexity when calculating the </w:t>
      </w:r>
      <w:r w:rsidR="6143A1C5" w:rsidRPr="5FEEF3AA">
        <w:rPr>
          <w:rFonts w:eastAsia="Calibri" w:cs="Arial"/>
        </w:rPr>
        <w:t>“</w:t>
      </w:r>
      <w:r w:rsidRPr="5FEEF3AA">
        <w:rPr>
          <w:rFonts w:eastAsia="Calibri" w:cs="Arial"/>
        </w:rPr>
        <w:t>phasing-in</w:t>
      </w:r>
      <w:r w:rsidR="103D4F6E" w:rsidRPr="5FEEF3AA">
        <w:rPr>
          <w:rFonts w:eastAsia="Calibri" w:cs="Arial"/>
        </w:rPr>
        <w:t>-</w:t>
      </w:r>
      <w:r w:rsidRPr="5FEEF3AA">
        <w:rPr>
          <w:rFonts w:eastAsia="Calibri" w:cs="Arial"/>
        </w:rPr>
        <w:t>amount</w:t>
      </w:r>
      <w:r w:rsidR="6143A1C5" w:rsidRPr="5FEEF3AA">
        <w:rPr>
          <w:rFonts w:eastAsia="Calibri" w:cs="Arial"/>
        </w:rPr>
        <w:t>”</w:t>
      </w:r>
      <w:r w:rsidR="103D4F6E" w:rsidRPr="5FEEF3AA">
        <w:rPr>
          <w:rFonts w:eastAsia="Calibri" w:cs="Arial"/>
        </w:rPr>
        <w:t xml:space="preserve"> </w:t>
      </w:r>
      <w:r w:rsidRPr="5FEEF3AA">
        <w:rPr>
          <w:rFonts w:eastAsia="Calibri" w:cs="Arial"/>
        </w:rPr>
        <w:t xml:space="preserve">as </w:t>
      </w:r>
      <w:r w:rsidR="6D4A1B1F" w:rsidRPr="5FEEF3AA">
        <w:rPr>
          <w:rFonts w:eastAsia="Calibri" w:cs="Arial"/>
        </w:rPr>
        <w:t>the</w:t>
      </w:r>
      <w:r w:rsidRPr="5FEEF3AA">
        <w:rPr>
          <w:rFonts w:eastAsia="Calibri" w:cs="Arial"/>
        </w:rPr>
        <w:t xml:space="preserve"> difference between the amount that is deductible from the income of a short-term insurer in terms of section 28(3) or section 28(3A) of the Act at the end of the latest year of assessment commencing on or after 1 January 2022 but before 1 January 2023 (measuring year) determined under the current rules of section 28(3) or section 28(3A) of the Act and the amount of the deduction for the measuring year had IFRS 17 been applied at the end of the measuring year. </w:t>
      </w:r>
    </w:p>
    <w:p w14:paraId="5BF76613" w14:textId="77777777" w:rsidR="006E080A" w:rsidRPr="00D259EF" w:rsidRDefault="006E080A" w:rsidP="006E080A">
      <w:pPr>
        <w:pStyle w:val="ListParagraph"/>
        <w:spacing w:after="0" w:line="269" w:lineRule="auto"/>
        <w:ind w:left="720" w:right="153"/>
        <w:rPr>
          <w:rFonts w:eastAsia="Arial" w:cs="Arial"/>
          <w:szCs w:val="22"/>
        </w:rPr>
      </w:pPr>
    </w:p>
    <w:p w14:paraId="198F84DD" w14:textId="01D35345" w:rsidR="7FF7C705" w:rsidRPr="006E080A" w:rsidRDefault="7FF7C705" w:rsidP="00D259EF">
      <w:pPr>
        <w:pStyle w:val="ListParagraph"/>
        <w:numPr>
          <w:ilvl w:val="0"/>
          <w:numId w:val="4"/>
        </w:numPr>
        <w:spacing w:after="0" w:line="269" w:lineRule="auto"/>
        <w:ind w:right="153"/>
        <w:rPr>
          <w:rFonts w:eastAsia="Calibri" w:cs="Arial"/>
          <w:szCs w:val="22"/>
        </w:rPr>
      </w:pPr>
      <w:r w:rsidRPr="5FEEF3AA">
        <w:rPr>
          <w:rFonts w:eastAsia="Arial" w:cs="Arial"/>
          <w:szCs w:val="22"/>
        </w:rPr>
        <w:t xml:space="preserve">For cell captive arrangements, the licensed </w:t>
      </w:r>
      <w:r w:rsidR="4775BFBA" w:rsidRPr="5FEEF3AA">
        <w:rPr>
          <w:rFonts w:eastAsia="Arial" w:cs="Arial"/>
          <w:szCs w:val="22"/>
        </w:rPr>
        <w:t xml:space="preserve">short-term </w:t>
      </w:r>
      <w:r w:rsidRPr="5FEEF3AA">
        <w:rPr>
          <w:rFonts w:eastAsia="Arial" w:cs="Arial"/>
          <w:szCs w:val="22"/>
        </w:rPr>
        <w:t>insurer acts as the principal for all insurance contracts, even though the risks are transferred to the cell owner via a participation agreement. As a result, the transfer of risk to the cell owner, after accounting for commercial reinsurance, can be recognised for IFRS purposes as outward reinsurance transactions. This applies to both ‘first party’ and ‘third party’ risks.</w:t>
      </w:r>
    </w:p>
    <w:p w14:paraId="4F3CF753" w14:textId="77777777" w:rsidR="006E080A" w:rsidRPr="006E080A" w:rsidRDefault="006E080A" w:rsidP="006E080A">
      <w:pPr>
        <w:pStyle w:val="ListParagraph"/>
        <w:rPr>
          <w:rFonts w:eastAsia="Calibri" w:cs="Arial"/>
          <w:szCs w:val="22"/>
        </w:rPr>
      </w:pPr>
    </w:p>
    <w:p w14:paraId="5483616A" w14:textId="77777777" w:rsidR="006E080A" w:rsidRDefault="006E080A" w:rsidP="006E080A">
      <w:pPr>
        <w:pStyle w:val="ListParagraph"/>
        <w:spacing w:after="0" w:line="269" w:lineRule="auto"/>
        <w:ind w:left="720" w:right="153"/>
        <w:rPr>
          <w:rFonts w:eastAsia="Calibri" w:cs="Arial"/>
          <w:szCs w:val="22"/>
        </w:rPr>
      </w:pPr>
    </w:p>
    <w:p w14:paraId="0596DFF9" w14:textId="452D4F0C" w:rsidR="7535EBCD" w:rsidRPr="006E080A" w:rsidRDefault="7535EBCD" w:rsidP="00D259EF">
      <w:pPr>
        <w:pStyle w:val="ListParagraph"/>
        <w:numPr>
          <w:ilvl w:val="0"/>
          <w:numId w:val="4"/>
        </w:numPr>
        <w:spacing w:after="0" w:line="269" w:lineRule="auto"/>
        <w:ind w:right="153"/>
        <w:rPr>
          <w:rFonts w:eastAsia="Calibri" w:cs="Arial"/>
          <w:szCs w:val="22"/>
        </w:rPr>
      </w:pPr>
      <w:r w:rsidRPr="5FEEF3AA">
        <w:rPr>
          <w:rFonts w:eastAsia="Arial" w:cs="Arial"/>
          <w:szCs w:val="22"/>
        </w:rPr>
        <w:t>Section 28(3C)(</w:t>
      </w:r>
      <w:r w:rsidRPr="5FEEF3AA">
        <w:rPr>
          <w:rFonts w:eastAsia="Arial" w:cs="Arial"/>
          <w:i/>
          <w:iCs/>
          <w:szCs w:val="22"/>
        </w:rPr>
        <w:t>b</w:t>
      </w:r>
      <w:r w:rsidRPr="5FEEF3AA">
        <w:rPr>
          <w:rFonts w:eastAsia="Arial" w:cs="Arial"/>
          <w:szCs w:val="22"/>
        </w:rPr>
        <w:t xml:space="preserve">) allows for a deduction of the liability for remaining coverage (LRC), net of reinsurance, calculated for the last assessment year starting on or after January 1, 2022, but before January 1, 2023, as if IFRS 17 had been applied at the end of that assessment year. </w:t>
      </w:r>
      <w:r w:rsidR="7F78FBF1" w:rsidRPr="5FEEF3AA">
        <w:rPr>
          <w:rFonts w:eastAsia="Arial" w:cs="Arial"/>
          <w:szCs w:val="22"/>
        </w:rPr>
        <w:t xml:space="preserve">Cases have been encountered </w:t>
      </w:r>
      <w:r w:rsidRPr="5FEEF3AA">
        <w:rPr>
          <w:rFonts w:eastAsia="Arial" w:cs="Arial"/>
          <w:szCs w:val="22"/>
        </w:rPr>
        <w:t>where the reinsurance asset related to the LRC exceeds the LRC itself, resulting in the net LRC being a net asset</w:t>
      </w:r>
      <w:r w:rsidRPr="5FEEF3AA">
        <w:rPr>
          <w:rFonts w:eastAsia="Arial" w:cs="Arial"/>
          <w:i/>
          <w:iCs/>
          <w:szCs w:val="22"/>
        </w:rPr>
        <w:t>.</w:t>
      </w:r>
    </w:p>
    <w:p w14:paraId="4B81BC7A" w14:textId="77777777" w:rsidR="006E080A" w:rsidRPr="00D259EF" w:rsidRDefault="006E080A" w:rsidP="006E080A">
      <w:pPr>
        <w:pStyle w:val="ListParagraph"/>
        <w:spacing w:after="0" w:line="269" w:lineRule="auto"/>
        <w:ind w:left="720" w:right="153"/>
        <w:rPr>
          <w:rFonts w:eastAsia="Calibri" w:cs="Arial"/>
          <w:szCs w:val="22"/>
        </w:rPr>
      </w:pPr>
    </w:p>
    <w:p w14:paraId="0BBFF823" w14:textId="56F6FC58" w:rsidR="7535EBCD" w:rsidRDefault="7535EBCD" w:rsidP="00D259EF">
      <w:pPr>
        <w:pStyle w:val="ListParagraph"/>
        <w:numPr>
          <w:ilvl w:val="0"/>
          <w:numId w:val="4"/>
        </w:numPr>
        <w:spacing w:after="0" w:line="269" w:lineRule="auto"/>
        <w:ind w:right="153"/>
        <w:rPr>
          <w:rFonts w:eastAsia="Arial" w:cs="Arial"/>
          <w:szCs w:val="22"/>
        </w:rPr>
      </w:pPr>
      <w:r w:rsidRPr="5FEEF3AA">
        <w:rPr>
          <w:rFonts w:eastAsia="Arial" w:cs="Arial"/>
          <w:szCs w:val="22"/>
        </w:rPr>
        <w:t>Section 28(3C)(</w:t>
      </w:r>
      <w:r w:rsidRPr="5FEEF3AA">
        <w:rPr>
          <w:rFonts w:eastAsia="Arial" w:cs="Arial"/>
          <w:i/>
          <w:iCs/>
          <w:szCs w:val="22"/>
        </w:rPr>
        <w:t>c</w:t>
      </w:r>
      <w:r w:rsidRPr="5FEEF3AA">
        <w:rPr>
          <w:rFonts w:eastAsia="Arial" w:cs="Arial"/>
          <w:szCs w:val="22"/>
        </w:rPr>
        <w:t>) allows for a deduction of the net amounts of insurance premium or reinsurance premium debtors, and reinsurance premium payables, considered in determining the liabilities for remaining coverage at the end of the most recent assessment year starting on or after January 1, 2022, but before January 1, 2023, as if IFRS 17 had been applied at the end of that year. Paragraph (</w:t>
      </w:r>
      <w:r w:rsidRPr="5FEEF3AA">
        <w:rPr>
          <w:rFonts w:eastAsia="Arial" w:cs="Arial"/>
          <w:i/>
          <w:iCs/>
          <w:szCs w:val="22"/>
        </w:rPr>
        <w:t>c</w:t>
      </w:r>
      <w:r w:rsidRPr="5FEEF3AA">
        <w:rPr>
          <w:rFonts w:eastAsia="Arial" w:cs="Arial"/>
          <w:szCs w:val="22"/>
        </w:rPr>
        <w:t xml:space="preserve">) assumes that the total of the insurance premium debtor and reinsurance premium debtor will exceed the reinsurance premium payable, resulting in a net debtor position. However, </w:t>
      </w:r>
      <w:r w:rsidR="0346FE60" w:rsidRPr="5FEEF3AA">
        <w:rPr>
          <w:rFonts w:eastAsia="Arial" w:cs="Arial"/>
          <w:szCs w:val="22"/>
        </w:rPr>
        <w:t xml:space="preserve">cases have been </w:t>
      </w:r>
      <w:r w:rsidRPr="5FEEF3AA">
        <w:rPr>
          <w:rFonts w:eastAsia="Arial" w:cs="Arial"/>
          <w:szCs w:val="22"/>
        </w:rPr>
        <w:t xml:space="preserve">observed </w:t>
      </w:r>
      <w:r w:rsidR="7E74DA6E" w:rsidRPr="5FEEF3AA">
        <w:rPr>
          <w:rFonts w:eastAsia="Arial" w:cs="Arial"/>
          <w:szCs w:val="22"/>
        </w:rPr>
        <w:t>w</w:t>
      </w:r>
      <w:r w:rsidRPr="5FEEF3AA">
        <w:rPr>
          <w:rFonts w:eastAsia="Arial" w:cs="Arial"/>
          <w:szCs w:val="22"/>
        </w:rPr>
        <w:t>here the outcome is a net creditor position (i.e., payables exceed receivables), which would typically lead to an inclusion in taxable income.</w:t>
      </w:r>
    </w:p>
    <w:p w14:paraId="68C0B072" w14:textId="77777777" w:rsidR="006E080A" w:rsidRPr="006E080A" w:rsidRDefault="006E080A" w:rsidP="006E080A">
      <w:pPr>
        <w:spacing w:after="0" w:line="269" w:lineRule="auto"/>
        <w:ind w:right="153"/>
        <w:rPr>
          <w:rFonts w:eastAsia="Arial" w:cs="Arial"/>
          <w:szCs w:val="22"/>
        </w:rPr>
      </w:pPr>
    </w:p>
    <w:p w14:paraId="7AAB9EDB" w14:textId="56520A1A" w:rsidR="7535EBCD" w:rsidRDefault="7535EBCD" w:rsidP="00D259EF">
      <w:pPr>
        <w:pStyle w:val="ListParagraph"/>
        <w:numPr>
          <w:ilvl w:val="0"/>
          <w:numId w:val="4"/>
        </w:numPr>
        <w:spacing w:after="0" w:line="269" w:lineRule="auto"/>
        <w:ind w:right="153"/>
        <w:rPr>
          <w:rFonts w:eastAsia="Arial" w:cs="Arial"/>
          <w:szCs w:val="22"/>
        </w:rPr>
      </w:pPr>
      <w:r w:rsidRPr="5FEEF3AA">
        <w:rPr>
          <w:rFonts w:eastAsia="Arial" w:cs="Arial"/>
          <w:szCs w:val="22"/>
        </w:rPr>
        <w:t>Paragraph (</w:t>
      </w:r>
      <w:r w:rsidRPr="5FEEF3AA">
        <w:rPr>
          <w:rFonts w:eastAsia="Arial" w:cs="Arial"/>
          <w:i/>
          <w:iCs/>
          <w:szCs w:val="22"/>
        </w:rPr>
        <w:t>c</w:t>
      </w:r>
      <w:r w:rsidRPr="5FEEF3AA">
        <w:rPr>
          <w:rFonts w:eastAsia="Arial" w:cs="Arial"/>
          <w:szCs w:val="22"/>
        </w:rPr>
        <w:t>) of section 28(3D) determines the ‘phasing-in amount’ when the total deduction under section 28(3) for the latest assessment year starting on or after January 1, 2022, exceeds the combined deductions under the amended section 28(3) and subsection 3C</w:t>
      </w:r>
      <w:r w:rsidRPr="5FEEF3AA">
        <w:rPr>
          <w:rFonts w:eastAsia="Arial" w:cs="Arial"/>
          <w:i/>
          <w:iCs/>
          <w:szCs w:val="22"/>
        </w:rPr>
        <w:t>(b)</w:t>
      </w:r>
      <w:r w:rsidRPr="5FEEF3AA">
        <w:rPr>
          <w:rFonts w:eastAsia="Arial" w:cs="Arial"/>
          <w:szCs w:val="22"/>
        </w:rPr>
        <w:t xml:space="preserve"> if IFRS 17 had been applied. The paragraph also specifies that this difference must be reduced by the difference between (</w:t>
      </w:r>
      <w:proofErr w:type="spellStart"/>
      <w:r w:rsidRPr="5FEEF3AA">
        <w:rPr>
          <w:rFonts w:eastAsia="Arial" w:cs="Arial"/>
          <w:szCs w:val="22"/>
        </w:rPr>
        <w:t>i</w:t>
      </w:r>
      <w:proofErr w:type="spellEnd"/>
      <w:r w:rsidRPr="5FEEF3AA">
        <w:rPr>
          <w:rFonts w:eastAsia="Arial" w:cs="Arial"/>
          <w:szCs w:val="22"/>
        </w:rPr>
        <w:t>) the amount of insurance premium debtors and reinsurance premium debtors, and (ii) the amount of reinsurance premiums payable at the end of the latest assessment year starting on or after January 1, 2022, but before January 1, 2023, excluding amounts that are part of the liability for incurred claims. However, there are instances where this reduction results in a negative amount, leading to an inclusion in taxable income rather than the intended deduction.</w:t>
      </w:r>
    </w:p>
    <w:p w14:paraId="745B60CD" w14:textId="69E0A9B5" w:rsidR="5FEEF3AA" w:rsidRDefault="5FEEF3AA" w:rsidP="00D259EF">
      <w:pPr>
        <w:spacing w:after="0" w:line="269" w:lineRule="auto"/>
        <w:ind w:left="831" w:right="152"/>
        <w:rPr>
          <w:rFonts w:eastAsia="Arial" w:cs="Arial"/>
          <w:szCs w:val="22"/>
        </w:rPr>
      </w:pPr>
    </w:p>
    <w:p w14:paraId="55536368" w14:textId="44CCE244" w:rsidR="003159DE" w:rsidRPr="00FC0786" w:rsidRDefault="2D3C353E" w:rsidP="5FEEF3AA">
      <w:pPr>
        <w:rPr>
          <w:rFonts w:eastAsia="Calibri"/>
          <w:b/>
          <w:bCs/>
        </w:rPr>
      </w:pPr>
      <w:r w:rsidRPr="5FEEF3AA">
        <w:rPr>
          <w:rFonts w:eastAsia="Calibri"/>
          <w:b/>
          <w:bCs/>
        </w:rPr>
        <w:t>III. Proposal</w:t>
      </w:r>
      <w:r w:rsidR="6D09E01C" w:rsidRPr="5FEEF3AA">
        <w:rPr>
          <w:rFonts w:eastAsia="Calibri"/>
          <w:b/>
          <w:bCs/>
        </w:rPr>
        <w:t>s</w:t>
      </w:r>
    </w:p>
    <w:p w14:paraId="7B196C03" w14:textId="52D640CD" w:rsidR="003159DE" w:rsidRPr="006E080A" w:rsidRDefault="2D3C353E" w:rsidP="00D259EF">
      <w:pPr>
        <w:pStyle w:val="ListParagraph"/>
        <w:numPr>
          <w:ilvl w:val="0"/>
          <w:numId w:val="1"/>
        </w:numPr>
        <w:spacing w:after="0" w:line="269" w:lineRule="auto"/>
        <w:ind w:right="153"/>
        <w:rPr>
          <w:rFonts w:eastAsia="Arial" w:cs="Arial"/>
          <w:szCs w:val="22"/>
        </w:rPr>
      </w:pPr>
      <w:r w:rsidRPr="5FEEF3AA">
        <w:rPr>
          <w:rFonts w:eastAsia="Calibri" w:cs="Arial"/>
          <w:lang w:val="en-GB"/>
        </w:rPr>
        <w:t>To avoid an excessive phasing in amount, as a result of LRC not specifically being allowed as a deduction under the IFRS 17</w:t>
      </w:r>
      <w:r w:rsidRPr="5FEEF3AA">
        <w:rPr>
          <w:rFonts w:eastAsia="Calibri" w:cs="Arial"/>
        </w:rPr>
        <w:t>, it is proposed that the phase-in provisions be amended to include the LRC when comparing the IFRS 4 liabilities to the IFRS 17 liabilities.</w:t>
      </w:r>
    </w:p>
    <w:p w14:paraId="50B59EF9" w14:textId="77777777" w:rsidR="006E080A" w:rsidRPr="00DC553A" w:rsidRDefault="006E080A" w:rsidP="006E080A">
      <w:pPr>
        <w:pStyle w:val="ListParagraph"/>
        <w:spacing w:after="0" w:line="269" w:lineRule="auto"/>
        <w:ind w:left="720" w:right="153"/>
        <w:rPr>
          <w:rFonts w:eastAsia="Arial" w:cs="Arial"/>
          <w:szCs w:val="22"/>
        </w:rPr>
      </w:pPr>
    </w:p>
    <w:p w14:paraId="7FED9093" w14:textId="66B26FC7" w:rsidR="5300812F" w:rsidRDefault="5300812F" w:rsidP="00D259EF">
      <w:pPr>
        <w:pStyle w:val="ListParagraph"/>
        <w:numPr>
          <w:ilvl w:val="0"/>
          <w:numId w:val="1"/>
        </w:numPr>
        <w:spacing w:after="0" w:line="269" w:lineRule="auto"/>
        <w:ind w:right="153"/>
        <w:rPr>
          <w:rFonts w:eastAsia="Arial" w:cs="Arial"/>
          <w:szCs w:val="22"/>
        </w:rPr>
      </w:pPr>
      <w:r w:rsidRPr="5FEEF3AA">
        <w:rPr>
          <w:rFonts w:eastAsia="Arial" w:cs="Arial"/>
          <w:szCs w:val="22"/>
        </w:rPr>
        <w:t>A</w:t>
      </w:r>
      <w:r w:rsidR="5085ECE5" w:rsidRPr="5FEEF3AA">
        <w:rPr>
          <w:rFonts w:eastAsia="Arial" w:cs="Arial"/>
          <w:szCs w:val="22"/>
        </w:rPr>
        <w:t>mendment</w:t>
      </w:r>
      <w:r w:rsidR="3932E8D7" w:rsidRPr="5FEEF3AA">
        <w:rPr>
          <w:rFonts w:eastAsia="Arial" w:cs="Arial"/>
          <w:szCs w:val="22"/>
        </w:rPr>
        <w:t>s</w:t>
      </w:r>
      <w:r w:rsidR="5085ECE5" w:rsidRPr="5FEEF3AA">
        <w:rPr>
          <w:rFonts w:eastAsia="Arial" w:cs="Arial"/>
          <w:szCs w:val="22"/>
        </w:rPr>
        <w:t xml:space="preserve"> </w:t>
      </w:r>
      <w:r w:rsidR="09F4EC46" w:rsidRPr="5FEEF3AA">
        <w:rPr>
          <w:rFonts w:eastAsia="Arial" w:cs="Arial"/>
          <w:szCs w:val="22"/>
        </w:rPr>
        <w:t>are</w:t>
      </w:r>
      <w:r w:rsidR="5085ECE5" w:rsidRPr="5FEEF3AA">
        <w:rPr>
          <w:rFonts w:eastAsia="Arial" w:cs="Arial"/>
          <w:szCs w:val="22"/>
        </w:rPr>
        <w:t xml:space="preserve"> proposed</w:t>
      </w:r>
      <w:r w:rsidR="20DEE8DD" w:rsidRPr="5FEEF3AA">
        <w:rPr>
          <w:rFonts w:eastAsia="Arial" w:cs="Arial"/>
          <w:szCs w:val="22"/>
        </w:rPr>
        <w:t xml:space="preserve"> to section 28 </w:t>
      </w:r>
      <w:r w:rsidR="5085ECE5" w:rsidRPr="5FEEF3AA">
        <w:rPr>
          <w:rFonts w:eastAsia="Arial" w:cs="Arial"/>
          <w:szCs w:val="22"/>
        </w:rPr>
        <w:t xml:space="preserve">to </w:t>
      </w:r>
      <w:r w:rsidR="39006C6F" w:rsidRPr="5FEEF3AA">
        <w:rPr>
          <w:rFonts w:eastAsia="Arial" w:cs="Arial"/>
          <w:szCs w:val="22"/>
        </w:rPr>
        <w:t>disregard</w:t>
      </w:r>
      <w:r w:rsidR="5085ECE5" w:rsidRPr="5FEEF3AA">
        <w:rPr>
          <w:rFonts w:eastAsia="Arial" w:cs="Arial"/>
          <w:szCs w:val="22"/>
        </w:rPr>
        <w:t xml:space="preserve"> amounts payable to or receivable from a cell owner that do not relate to a policy</w:t>
      </w:r>
      <w:r w:rsidR="3DF14987" w:rsidRPr="5FEEF3AA">
        <w:rPr>
          <w:rFonts w:eastAsia="Arial" w:cs="Arial"/>
          <w:szCs w:val="22"/>
        </w:rPr>
        <w:t xml:space="preserve"> and to remove references to “third party risks”</w:t>
      </w:r>
      <w:r w:rsidR="5085ECE5" w:rsidRPr="5FEEF3AA">
        <w:rPr>
          <w:rFonts w:eastAsia="Arial" w:cs="Arial"/>
          <w:szCs w:val="22"/>
        </w:rPr>
        <w:t>.</w:t>
      </w:r>
    </w:p>
    <w:p w14:paraId="4636B4FC" w14:textId="77777777" w:rsidR="006E080A" w:rsidRPr="006E080A" w:rsidRDefault="006E080A" w:rsidP="006E080A">
      <w:pPr>
        <w:spacing w:after="0" w:line="269" w:lineRule="auto"/>
        <w:ind w:right="153"/>
        <w:rPr>
          <w:rFonts w:eastAsia="Arial" w:cs="Arial"/>
          <w:szCs w:val="22"/>
        </w:rPr>
      </w:pPr>
    </w:p>
    <w:p w14:paraId="5B8392BC" w14:textId="73EDBAD5" w:rsidR="14D5F3F1" w:rsidRPr="006E080A" w:rsidRDefault="14D5F3F1" w:rsidP="00D259EF">
      <w:pPr>
        <w:pStyle w:val="ListParagraph"/>
        <w:numPr>
          <w:ilvl w:val="0"/>
          <w:numId w:val="1"/>
        </w:numPr>
        <w:spacing w:after="0" w:line="269" w:lineRule="auto"/>
        <w:ind w:right="153"/>
        <w:rPr>
          <w:rFonts w:eastAsia="Calibri" w:cs="Arial"/>
        </w:rPr>
      </w:pPr>
      <w:r w:rsidRPr="5FEEF3AA">
        <w:rPr>
          <w:rFonts w:eastAsia="Calibri" w:cs="Arial"/>
        </w:rPr>
        <w:t>It is proposed that subse</w:t>
      </w:r>
      <w:r w:rsidR="6A1C08F0" w:rsidRPr="5FEEF3AA">
        <w:rPr>
          <w:rFonts w:eastAsia="Calibri" w:cs="Arial"/>
        </w:rPr>
        <w:t>ction (3)</w:t>
      </w:r>
      <w:r w:rsidRPr="5FEEF3AA">
        <w:rPr>
          <w:rFonts w:eastAsia="Arial" w:cs="Arial"/>
          <w:i/>
          <w:iCs/>
          <w:szCs w:val="22"/>
        </w:rPr>
        <w:t>(</w:t>
      </w:r>
      <w:proofErr w:type="spellStart"/>
      <w:r w:rsidRPr="5FEEF3AA">
        <w:rPr>
          <w:rFonts w:eastAsia="Arial" w:cs="Arial"/>
          <w:i/>
          <w:iCs/>
          <w:szCs w:val="22"/>
        </w:rPr>
        <w:t>b</w:t>
      </w:r>
      <w:r w:rsidRPr="5FEEF3AA">
        <w:rPr>
          <w:rFonts w:eastAsia="Arial" w:cs="Arial"/>
          <w:szCs w:val="22"/>
        </w:rPr>
        <w:t>A</w:t>
      </w:r>
      <w:proofErr w:type="spellEnd"/>
      <w:r w:rsidRPr="5FEEF3AA">
        <w:rPr>
          <w:rFonts w:eastAsia="Arial" w:cs="Arial"/>
          <w:i/>
          <w:iCs/>
          <w:szCs w:val="22"/>
        </w:rPr>
        <w:t>)</w:t>
      </w:r>
      <w:r w:rsidRPr="5FEEF3AA">
        <w:rPr>
          <w:rFonts w:eastAsia="Arial" w:cs="Arial"/>
          <w:szCs w:val="22"/>
        </w:rPr>
        <w:t xml:space="preserve"> be introduced to address situations where the net LRC amount is a net asset, rather than a net liability.</w:t>
      </w:r>
    </w:p>
    <w:p w14:paraId="7DCDF741" w14:textId="77777777" w:rsidR="006E080A" w:rsidRPr="006E080A" w:rsidRDefault="006E080A" w:rsidP="006E080A">
      <w:pPr>
        <w:spacing w:after="0" w:line="269" w:lineRule="auto"/>
        <w:ind w:right="153"/>
        <w:rPr>
          <w:rFonts w:eastAsia="Calibri" w:cs="Arial"/>
        </w:rPr>
      </w:pPr>
    </w:p>
    <w:p w14:paraId="3BDB3B8B" w14:textId="54DAEF4D" w:rsidR="304442A3" w:rsidRPr="006E080A" w:rsidRDefault="304442A3" w:rsidP="00D259EF">
      <w:pPr>
        <w:pStyle w:val="ListParagraph"/>
        <w:numPr>
          <w:ilvl w:val="0"/>
          <w:numId w:val="1"/>
        </w:numPr>
        <w:spacing w:after="0" w:line="269" w:lineRule="auto"/>
        <w:ind w:right="153"/>
        <w:rPr>
          <w:rFonts w:eastAsia="Calibri" w:cs="Arial"/>
        </w:rPr>
      </w:pPr>
      <w:r w:rsidRPr="5FEEF3AA">
        <w:rPr>
          <w:rFonts w:eastAsia="Calibri" w:cs="Arial"/>
        </w:rPr>
        <w:t>It is proposed that subsection 3C</w:t>
      </w:r>
      <w:r w:rsidRPr="5FEEF3AA">
        <w:rPr>
          <w:rFonts w:eastAsia="Arial" w:cs="Arial"/>
          <w:i/>
          <w:iCs/>
          <w:szCs w:val="22"/>
        </w:rPr>
        <w:t>(</w:t>
      </w:r>
      <w:proofErr w:type="spellStart"/>
      <w:r w:rsidRPr="5FEEF3AA">
        <w:rPr>
          <w:rFonts w:eastAsia="Arial" w:cs="Arial"/>
          <w:i/>
          <w:iCs/>
          <w:szCs w:val="22"/>
        </w:rPr>
        <w:t>c</w:t>
      </w:r>
      <w:r w:rsidRPr="5FEEF3AA">
        <w:rPr>
          <w:rFonts w:eastAsia="Arial" w:cs="Arial"/>
          <w:szCs w:val="22"/>
        </w:rPr>
        <w:t>A</w:t>
      </w:r>
      <w:proofErr w:type="spellEnd"/>
      <w:r w:rsidRPr="5FEEF3AA">
        <w:rPr>
          <w:rFonts w:eastAsia="Arial" w:cs="Arial"/>
          <w:i/>
          <w:iCs/>
          <w:szCs w:val="22"/>
        </w:rPr>
        <w:t>)</w:t>
      </w:r>
      <w:r w:rsidRPr="5FEEF3AA">
        <w:rPr>
          <w:rFonts w:eastAsia="Arial" w:cs="Arial"/>
          <w:szCs w:val="22"/>
        </w:rPr>
        <w:t xml:space="preserve"> be introduced to address the tax treatment for a net creditor position, rather than a net debtor position.</w:t>
      </w:r>
    </w:p>
    <w:p w14:paraId="39C79E63" w14:textId="77777777" w:rsidR="006E080A" w:rsidRPr="006E080A" w:rsidRDefault="006E080A" w:rsidP="006E080A">
      <w:pPr>
        <w:spacing w:after="0" w:line="269" w:lineRule="auto"/>
        <w:ind w:right="153"/>
        <w:rPr>
          <w:rFonts w:eastAsia="Calibri" w:cs="Arial"/>
        </w:rPr>
      </w:pPr>
    </w:p>
    <w:p w14:paraId="70AAB50F" w14:textId="7B602741" w:rsidR="5FEEF3AA" w:rsidRPr="00864756" w:rsidRDefault="7DAB8EB6" w:rsidP="5FEEF3AA">
      <w:pPr>
        <w:pStyle w:val="ListParagraph"/>
        <w:numPr>
          <w:ilvl w:val="0"/>
          <w:numId w:val="1"/>
        </w:numPr>
        <w:spacing w:after="0" w:line="269" w:lineRule="auto"/>
        <w:ind w:right="153"/>
        <w:rPr>
          <w:rFonts w:eastAsia="Calibri" w:cs="Arial"/>
        </w:rPr>
      </w:pPr>
      <w:r w:rsidRPr="5FEEF3AA">
        <w:rPr>
          <w:rFonts w:eastAsia="Arial" w:cs="Arial"/>
          <w:szCs w:val="22"/>
        </w:rPr>
        <w:t xml:space="preserve">The phase-in provisions </w:t>
      </w:r>
      <w:r w:rsidR="31985C34" w:rsidRPr="5FEEF3AA">
        <w:rPr>
          <w:rFonts w:eastAsia="Arial" w:cs="Arial"/>
          <w:szCs w:val="22"/>
        </w:rPr>
        <w:t xml:space="preserve">in subsection 3D </w:t>
      </w:r>
      <w:r w:rsidRPr="5FEEF3AA">
        <w:rPr>
          <w:rFonts w:eastAsia="Arial" w:cs="Arial"/>
          <w:szCs w:val="22"/>
        </w:rPr>
        <w:t>will be amended to cater for any resultant negative positions</w:t>
      </w:r>
      <w:r w:rsidR="4A96B662" w:rsidRPr="5FEEF3AA">
        <w:rPr>
          <w:rFonts w:eastAsia="Arial" w:cs="Arial"/>
          <w:szCs w:val="22"/>
        </w:rPr>
        <w:t xml:space="preserve"> as described under paragraph </w:t>
      </w:r>
      <w:r w:rsidR="17108401" w:rsidRPr="5FEEF3AA">
        <w:rPr>
          <w:rFonts w:eastAsia="Arial" w:cs="Arial"/>
          <w:szCs w:val="22"/>
        </w:rPr>
        <w:t>E</w:t>
      </w:r>
      <w:r w:rsidR="4A96B662" w:rsidRPr="5FEEF3AA">
        <w:rPr>
          <w:rFonts w:eastAsia="Arial" w:cs="Arial"/>
          <w:szCs w:val="22"/>
        </w:rPr>
        <w:t xml:space="preserve"> of reasons for change</w:t>
      </w:r>
      <w:r w:rsidRPr="5FEEF3AA">
        <w:rPr>
          <w:rFonts w:eastAsia="Arial" w:cs="Arial"/>
          <w:szCs w:val="22"/>
        </w:rPr>
        <w:t>.</w:t>
      </w:r>
    </w:p>
    <w:p w14:paraId="1951AA20" w14:textId="77777777" w:rsidR="003159DE" w:rsidRPr="00864756" w:rsidRDefault="003159DE" w:rsidP="00864756">
      <w:pPr>
        <w:spacing w:before="240"/>
        <w:rPr>
          <w:rFonts w:eastAsia="Calibri"/>
          <w:b/>
          <w:bCs/>
        </w:rPr>
      </w:pPr>
      <w:r w:rsidRPr="00864756">
        <w:rPr>
          <w:rFonts w:eastAsia="Calibri"/>
          <w:b/>
          <w:bCs/>
        </w:rPr>
        <w:t>IV. Effective date</w:t>
      </w:r>
    </w:p>
    <w:p w14:paraId="40C81F57" w14:textId="31C4DC12" w:rsidR="00D90A2B" w:rsidRDefault="2D3C353E" w:rsidP="5FEEF3AA">
      <w:pPr>
        <w:rPr>
          <w:rFonts w:eastAsia="Calibri" w:cs="Arial"/>
          <w:lang w:val="en-GB"/>
        </w:rPr>
      </w:pPr>
      <w:r w:rsidRPr="5FEEF3AA">
        <w:rPr>
          <w:rFonts w:eastAsia="Calibri" w:cs="Arial"/>
          <w:lang w:val="en-GB"/>
        </w:rPr>
        <w:t>The proposed amendment</w:t>
      </w:r>
      <w:r w:rsidR="7D3B0656" w:rsidRPr="5FEEF3AA">
        <w:rPr>
          <w:rFonts w:eastAsia="Calibri" w:cs="Arial"/>
          <w:lang w:val="en-GB"/>
        </w:rPr>
        <w:t>s are</w:t>
      </w:r>
      <w:r w:rsidRPr="5FEEF3AA">
        <w:rPr>
          <w:rFonts w:eastAsia="Calibri" w:cs="Arial"/>
          <w:lang w:val="en-GB"/>
        </w:rPr>
        <w:t xml:space="preserve"> deemed to have come into operation on 1 January 2023 and apply in respect of years of assessment commencing on </w:t>
      </w:r>
      <w:r w:rsidRPr="00AC0731">
        <w:rPr>
          <w:rFonts w:eastAsia="Calibri" w:cs="Arial"/>
          <w:lang w:val="en-GB"/>
        </w:rPr>
        <w:t>or after that date</w:t>
      </w:r>
      <w:r w:rsidR="21882A61" w:rsidRPr="00AC0731">
        <w:rPr>
          <w:rFonts w:eastAsia="Calibri" w:cs="Arial"/>
          <w:lang w:val="en-GB"/>
        </w:rPr>
        <w:t>.</w:t>
      </w:r>
    </w:p>
    <w:p w14:paraId="270554DB" w14:textId="77777777" w:rsidR="00B42771" w:rsidRDefault="00B42771" w:rsidP="5FEEF3AA">
      <w:pPr>
        <w:rPr>
          <w:rFonts w:eastAsia="Calibri" w:cs="Arial"/>
          <w:lang w:val="en-GB"/>
        </w:rPr>
      </w:pPr>
    </w:p>
    <w:p w14:paraId="6F018A87" w14:textId="77777777" w:rsidR="00D90A2B" w:rsidRDefault="00D90A2B" w:rsidP="5FEEF3AA">
      <w:pPr>
        <w:rPr>
          <w:rFonts w:eastAsia="Calibri" w:cs="Arial"/>
          <w:lang w:val="en-GB"/>
        </w:rPr>
      </w:pPr>
    </w:p>
    <w:p w14:paraId="499765DE" w14:textId="7F923DA7" w:rsidR="00AC0731" w:rsidRDefault="00AC0731" w:rsidP="00AC0731">
      <w:pPr>
        <w:jc w:val="center"/>
        <w:rPr>
          <w:rFonts w:eastAsia="Calibri"/>
          <w:lang w:val="en-US"/>
        </w:rPr>
      </w:pPr>
      <w:r w:rsidRPr="000B3880">
        <w:rPr>
          <w:rFonts w:eastAsia="Calibri"/>
          <w:lang w:val="en-US"/>
        </w:rPr>
        <w:t>_</w:t>
      </w:r>
      <w:r>
        <w:rPr>
          <w:rFonts w:eastAsia="Calibri"/>
          <w:lang w:val="en-US"/>
        </w:rPr>
        <w:t>___________________________</w:t>
      </w:r>
    </w:p>
    <w:p w14:paraId="2E441683" w14:textId="77777777" w:rsidR="00AC0731" w:rsidRDefault="00AC0731" w:rsidP="5FEEF3AA">
      <w:pPr>
        <w:rPr>
          <w:rFonts w:eastAsia="Calibri"/>
          <w:lang w:val="en-US"/>
        </w:rPr>
      </w:pPr>
    </w:p>
    <w:p w14:paraId="5BA16C1B" w14:textId="77777777" w:rsidR="00B42771" w:rsidRDefault="00B42771" w:rsidP="5FEEF3AA">
      <w:pPr>
        <w:rPr>
          <w:rFonts w:eastAsia="Calibri" w:cs="Arial"/>
          <w:lang w:val="en-GB"/>
        </w:rPr>
      </w:pPr>
    </w:p>
    <w:p w14:paraId="7559B29A" w14:textId="268BF59F" w:rsidR="0020322C" w:rsidRPr="00DC10DB" w:rsidRDefault="006C730C" w:rsidP="00DC10DB">
      <w:pPr>
        <w:pStyle w:val="Heading2"/>
      </w:pPr>
      <w:bookmarkStart w:id="151" w:name="_Toc46433535"/>
      <w:bookmarkStart w:id="152" w:name="_Toc198158753"/>
      <w:r w:rsidRPr="005E29F8">
        <w:t>INCOME TAX: BUSINESS (INCENTIVES)</w:t>
      </w:r>
      <w:bookmarkStart w:id="153" w:name="_Toc14437885"/>
      <w:bookmarkStart w:id="154" w:name="_Toc14440222"/>
      <w:bookmarkStart w:id="155" w:name="_Toc14440279"/>
      <w:bookmarkStart w:id="156" w:name="_Toc14441813"/>
      <w:bookmarkStart w:id="157" w:name="_Toc24123783"/>
      <w:bookmarkStart w:id="158" w:name="_Toc29908436"/>
      <w:bookmarkStart w:id="159" w:name="_Toc29908485"/>
      <w:bookmarkStart w:id="160" w:name="_Toc29909382"/>
      <w:bookmarkStart w:id="161" w:name="_Toc29911428"/>
      <w:bookmarkStart w:id="162" w:name="_Toc30067429"/>
      <w:bookmarkStart w:id="163" w:name="_Toc30067503"/>
      <w:bookmarkStart w:id="164" w:name="_Toc30067642"/>
      <w:bookmarkStart w:id="165" w:name="_Toc30069396"/>
      <w:bookmarkStart w:id="166" w:name="_Toc30169247"/>
      <w:bookmarkStart w:id="167" w:name="_Toc44513708"/>
      <w:bookmarkStart w:id="168" w:name="_Toc44513758"/>
      <w:bookmarkStart w:id="169" w:name="_Toc44664636"/>
      <w:bookmarkStart w:id="170" w:name="_Toc44664678"/>
      <w:bookmarkStart w:id="171" w:name="_Toc44690638"/>
      <w:bookmarkStart w:id="172" w:name="_Toc44690684"/>
      <w:bookmarkStart w:id="173" w:name="_Toc44690839"/>
      <w:bookmarkStart w:id="174" w:name="_Toc45045427"/>
      <w:bookmarkStart w:id="175" w:name="_Toc45051027"/>
      <w:bookmarkStart w:id="176" w:name="_Toc45051072"/>
      <w:bookmarkStart w:id="177" w:name="_Toc45051825"/>
      <w:bookmarkStart w:id="178" w:name="_Toc45051870"/>
      <w:bookmarkStart w:id="179" w:name="_Toc45492829"/>
      <w:bookmarkStart w:id="180" w:name="_Toc45492875"/>
      <w:bookmarkStart w:id="181" w:name="_Toc45526727"/>
      <w:bookmarkStart w:id="182" w:name="_Toc45540330"/>
      <w:bookmarkStart w:id="183" w:name="_Toc45540382"/>
      <w:bookmarkStart w:id="184" w:name="_Toc45541207"/>
      <w:bookmarkStart w:id="185" w:name="_Toc45545730"/>
      <w:bookmarkStart w:id="186" w:name="_Toc45545782"/>
      <w:bookmarkStart w:id="187" w:name="_Toc45621781"/>
      <w:bookmarkStart w:id="188" w:name="_Toc45636850"/>
      <w:bookmarkStart w:id="189" w:name="_Toc45795499"/>
      <w:bookmarkStart w:id="190" w:name="_Toc45795681"/>
      <w:bookmarkStart w:id="191" w:name="_Toc46158331"/>
      <w:bookmarkStart w:id="192" w:name="_Toc46158438"/>
      <w:bookmarkStart w:id="193" w:name="_Toc46158587"/>
      <w:bookmarkStart w:id="194" w:name="_Toc46159117"/>
      <w:bookmarkStart w:id="195" w:name="_Toc46159172"/>
      <w:bookmarkStart w:id="196" w:name="_Toc46416075"/>
      <w:bookmarkStart w:id="197" w:name="_Toc46419922"/>
      <w:bookmarkStart w:id="198" w:name="_Toc46419975"/>
      <w:bookmarkStart w:id="199" w:name="_Toc46433293"/>
      <w:bookmarkStart w:id="200" w:name="_Toc46433346"/>
      <w:bookmarkStart w:id="201" w:name="_Toc46433536"/>
      <w:bookmarkStart w:id="202" w:name="_Toc46504021"/>
      <w:bookmarkEnd w:id="15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152"/>
    </w:p>
    <w:p w14:paraId="7992A3A1" w14:textId="77777777" w:rsidR="009709FD" w:rsidRDefault="009709FD" w:rsidP="009709FD">
      <w:pPr>
        <w:pStyle w:val="Heading3"/>
        <w:rPr>
          <w:lang w:val="en-US"/>
        </w:rPr>
      </w:pPr>
      <w:bookmarkStart w:id="203" w:name="_Toc198158754"/>
      <w:r w:rsidRPr="00D12BFA">
        <w:rPr>
          <w:lang w:val="en-US"/>
        </w:rPr>
        <w:t>DEDUCTION IN RESPECT OF CERTAIN ASSETS USED IN DOMESTIC PRODUCTION OF BATTERY ELECTRIC AND HYDROGEN-POWERED VEHICLES</w:t>
      </w:r>
      <w:bookmarkEnd w:id="203"/>
      <w:r w:rsidRPr="00D12BFA">
        <w:rPr>
          <w:lang w:val="en-US"/>
        </w:rPr>
        <w:t xml:space="preserve"> </w:t>
      </w:r>
    </w:p>
    <w:p w14:paraId="4898410E" w14:textId="77777777" w:rsidR="00645A13" w:rsidRPr="00645A13" w:rsidRDefault="00645A13" w:rsidP="00645A13">
      <w:pPr>
        <w:rPr>
          <w:lang w:val="en-US"/>
        </w:rPr>
      </w:pPr>
      <w:r w:rsidRPr="00645A13">
        <w:t>[</w:t>
      </w:r>
      <w:r w:rsidRPr="00645A13">
        <w:rPr>
          <w:lang w:val="en-US"/>
        </w:rPr>
        <w:t>Applicable provisions: Sections 8, 12C, 13, 13</w:t>
      </w:r>
      <w:r w:rsidRPr="00645A13">
        <w:rPr>
          <w:i/>
          <w:iCs/>
          <w:lang w:val="en-US"/>
        </w:rPr>
        <w:t>quat</w:t>
      </w:r>
      <w:r w:rsidRPr="00645A13">
        <w:rPr>
          <w:lang w:val="en-US"/>
        </w:rPr>
        <w:t xml:space="preserve"> and insertion of the new section 12V of the Act</w:t>
      </w:r>
      <w:r w:rsidRPr="00645A13">
        <w:t>]</w:t>
      </w:r>
    </w:p>
    <w:p w14:paraId="14049E2A" w14:textId="77777777" w:rsidR="00645A13" w:rsidRPr="00645A13" w:rsidRDefault="00645A13" w:rsidP="00645A13">
      <w:pPr>
        <w:rPr>
          <w:b/>
        </w:rPr>
      </w:pPr>
      <w:r w:rsidRPr="00645A13">
        <w:rPr>
          <w:b/>
        </w:rPr>
        <w:t>I. Background</w:t>
      </w:r>
    </w:p>
    <w:p w14:paraId="10347033" w14:textId="77777777" w:rsidR="00645A13" w:rsidRPr="00645A13" w:rsidRDefault="00645A13" w:rsidP="00645A13">
      <w:pPr>
        <w:rPr>
          <w:bCs/>
          <w:lang w:val="en-GB"/>
        </w:rPr>
      </w:pPr>
      <w:r w:rsidRPr="00645A13">
        <w:rPr>
          <w:bCs/>
          <w:lang w:val="en-GB"/>
        </w:rPr>
        <w:t xml:space="preserve">To support the development of the automotive industry, government has – through the Department of Trade, Industry and Competition (“the </w:t>
      </w:r>
      <w:proofErr w:type="spellStart"/>
      <w:r w:rsidRPr="00645A13">
        <w:rPr>
          <w:bCs/>
          <w:i/>
          <w:iCs/>
          <w:lang w:val="en-GB"/>
        </w:rPr>
        <w:t>dtic</w:t>
      </w:r>
      <w:proofErr w:type="spellEnd"/>
      <w:r w:rsidRPr="00645A13">
        <w:rPr>
          <w:bCs/>
          <w:lang w:val="en-GB"/>
        </w:rPr>
        <w:t>”) – implemented various incentives over time. These included the Motor Industry Development Programme (“MIDP”), which ran from 1995 until 2012 to bolster the automotive sector's international competitiveness and global reintegration utilizing strategies such as import duty reductions and export incentives. In 2013, the MIDP was replaced with the Automotive Production and Development Programme (“APDP”), which focused on significantly growing production volumes in the specified motor vehicle industry and promoting value addition in the automotive component industry through stable and moderate tariffs, a local volume assembly allowance, a production incentive and grant funding. In line with the Automotive Masterplan, the APDP was updated in 2021 to APDP Phase 2 and outlines ambitious targets on vehicle production volumes and requirements for local content to sustain the sector's growth.</w:t>
      </w:r>
    </w:p>
    <w:p w14:paraId="46C11E2F" w14:textId="77777777" w:rsidR="00645A13" w:rsidRPr="00645A13" w:rsidRDefault="00645A13" w:rsidP="00645A13">
      <w:pPr>
        <w:rPr>
          <w:b/>
        </w:rPr>
      </w:pPr>
      <w:r w:rsidRPr="00645A13">
        <w:rPr>
          <w:b/>
        </w:rPr>
        <w:t>II. Reasons for change</w:t>
      </w:r>
    </w:p>
    <w:p w14:paraId="79AFB9C0" w14:textId="77777777" w:rsidR="00645A13" w:rsidRPr="00645A13" w:rsidRDefault="00645A13" w:rsidP="00645A13">
      <w:pPr>
        <w:rPr>
          <w:bCs/>
          <w:lang w:val="en-GB"/>
        </w:rPr>
      </w:pPr>
      <w:r w:rsidRPr="00645A13">
        <w:rPr>
          <w:bCs/>
          <w:lang w:val="en-GB"/>
        </w:rPr>
        <w:t xml:space="preserve">The </w:t>
      </w:r>
      <w:proofErr w:type="spellStart"/>
      <w:r w:rsidRPr="00645A13">
        <w:rPr>
          <w:bCs/>
          <w:i/>
          <w:iCs/>
          <w:lang w:val="en-GB"/>
        </w:rPr>
        <w:t>dtic</w:t>
      </w:r>
      <w:proofErr w:type="spellEnd"/>
      <w:r w:rsidRPr="00645A13">
        <w:rPr>
          <w:bCs/>
          <w:lang w:val="en-GB"/>
        </w:rPr>
        <w:t xml:space="preserve"> published the </w:t>
      </w:r>
      <w:r w:rsidRPr="00645A13">
        <w:rPr>
          <w:bCs/>
          <w:i/>
          <w:iCs/>
          <w:lang w:val="en-GB"/>
        </w:rPr>
        <w:t>Electric Vehicles White Paper</w:t>
      </w:r>
      <w:r w:rsidRPr="00645A13">
        <w:rPr>
          <w:bCs/>
          <w:lang w:val="en-GB"/>
        </w:rPr>
        <w:t xml:space="preserve"> outlining its plan to transition the automotive industry from primarily producing Internal Combustion Engine (“ICE”) vehicles to a dual platform that includes the production of electric vehicles (“EVs”). The compelling reasons behind this transition include the urgent need to address environmental concerns and for countries to meet their national emission reduction commitments stemming from the Paris Agreement. Additionally, some of South Africa’s key export markets like the European Union (“EU”) and the United Kingdom (“UK”) have announced their intentions to ban the sale of new ICE vehicles by 2035. According to the </w:t>
      </w:r>
      <w:proofErr w:type="spellStart"/>
      <w:r w:rsidRPr="00645A13">
        <w:rPr>
          <w:bCs/>
          <w:i/>
          <w:iCs/>
          <w:lang w:val="en-GB"/>
        </w:rPr>
        <w:t>dtic</w:t>
      </w:r>
      <w:proofErr w:type="spellEnd"/>
      <w:r w:rsidRPr="00645A13">
        <w:rPr>
          <w:bCs/>
          <w:lang w:val="en-GB"/>
        </w:rPr>
        <w:t xml:space="preserve">, this paradigm shift threatens the country’s strategic position in the global automotive export industry, since the majority of the vehicles manufactured in the country are currently exported to these countries.  </w:t>
      </w:r>
    </w:p>
    <w:p w14:paraId="6576024B" w14:textId="77777777" w:rsidR="00645A13" w:rsidRPr="00645A13" w:rsidRDefault="00645A13" w:rsidP="00645A13">
      <w:pPr>
        <w:rPr>
          <w:bCs/>
          <w:lang w:val="en-GB"/>
        </w:rPr>
      </w:pPr>
      <w:r w:rsidRPr="00645A13">
        <w:rPr>
          <w:bCs/>
          <w:lang w:val="en-GB"/>
        </w:rPr>
        <w:t>Internationally, a number of countries have introduced various tax incentives to encourage investment in EVs production and related infrastructure. These incentives include accelerated depreciation allowances, tax holidays, lower corporate income tax rates for profits from EV and/or battery production facilities, tax credits for EVs production, R&amp;D tax incentives for EVs and battery research, reduced customs duties for imports of components as well as VAT reductions or exemptions.</w:t>
      </w:r>
    </w:p>
    <w:p w14:paraId="7B42E7B6" w14:textId="77777777" w:rsidR="00645A13" w:rsidRPr="00645A13" w:rsidRDefault="00645A13" w:rsidP="00645A13">
      <w:r w:rsidRPr="00645A13">
        <w:rPr>
          <w:b/>
        </w:rPr>
        <w:t>III. Proposal</w:t>
      </w:r>
    </w:p>
    <w:p w14:paraId="76A12811" w14:textId="14DA0547" w:rsidR="00B42771" w:rsidRPr="00B42771" w:rsidRDefault="00645A13" w:rsidP="00645A13">
      <w:pPr>
        <w:rPr>
          <w:lang w:val="en-GB"/>
        </w:rPr>
      </w:pPr>
      <w:bookmarkStart w:id="204" w:name="_Hlk172110702"/>
      <w:r w:rsidRPr="00645A13">
        <w:rPr>
          <w:lang w:val="en-GB"/>
        </w:rPr>
        <w:t>To encourage investment in the local production of electric and hydrogen-powered vehicles, Government proposes to introduce a 150 per cent investment allowance targeting new investments in the production of electric and hydrogen-powered vehicles in South Africa. This means motor vehicle manufacturers will be able to claim 150 per cent of qualifying investment spending on production capacity for battery electric and hydrogen</w:t>
      </w:r>
      <w:r w:rsidRPr="00645A13">
        <w:rPr>
          <w:rFonts w:ascii="Cambria Math" w:hAnsi="Cambria Math" w:cs="Cambria Math"/>
          <w:lang w:val="en-GB"/>
        </w:rPr>
        <w:t>‐</w:t>
      </w:r>
      <w:r w:rsidRPr="00645A13">
        <w:rPr>
          <w:lang w:val="en-GB"/>
        </w:rPr>
        <w:t>powered vehicles in the year the investment assets are brought into use.</w:t>
      </w:r>
    </w:p>
    <w:p w14:paraId="32FD1E44" w14:textId="77777777" w:rsidR="00645A13" w:rsidRPr="00645A13" w:rsidRDefault="00645A13" w:rsidP="00645A13">
      <w:pPr>
        <w:numPr>
          <w:ilvl w:val="0"/>
          <w:numId w:val="21"/>
        </w:numPr>
        <w:rPr>
          <w:i/>
          <w:iCs/>
          <w:lang w:val="en-US"/>
        </w:rPr>
      </w:pPr>
      <w:r w:rsidRPr="00645A13">
        <w:rPr>
          <w:i/>
          <w:iCs/>
          <w:lang w:val="en-US"/>
        </w:rPr>
        <w:t>Eligibility for the EVs investment allowance tax incentive</w:t>
      </w:r>
    </w:p>
    <w:p w14:paraId="337EED3F" w14:textId="77777777" w:rsidR="00645A13" w:rsidRPr="00645A13" w:rsidRDefault="00645A13" w:rsidP="00645A13">
      <w:pPr>
        <w:rPr>
          <w:lang w:val="en-GB"/>
        </w:rPr>
      </w:pPr>
      <w:bookmarkStart w:id="205" w:name="_Hlk163483458"/>
      <w:r w:rsidRPr="00645A13">
        <w:rPr>
          <w:lang w:val="en-GB"/>
        </w:rPr>
        <w:t>Any motor vehicle manufacturer</w:t>
      </w:r>
      <w:bookmarkEnd w:id="205"/>
      <w:r w:rsidRPr="00645A13">
        <w:rPr>
          <w:lang w:val="en-GB"/>
        </w:rPr>
        <w:t xml:space="preserve"> investing in new and unused buildings, machinery, plant, implements, utensils and articles to be used for the production </w:t>
      </w:r>
      <w:bookmarkStart w:id="206" w:name="_Hlk163483482"/>
      <w:r w:rsidRPr="00645A13">
        <w:rPr>
          <w:lang w:val="en-GB"/>
        </w:rPr>
        <w:t xml:space="preserve">of battery </w:t>
      </w:r>
      <w:bookmarkStart w:id="207" w:name="_Hlk163484828"/>
      <w:r w:rsidRPr="00645A13">
        <w:rPr>
          <w:lang w:val="en-GB"/>
        </w:rPr>
        <w:t>electric or hydrogen-powered vehicles</w:t>
      </w:r>
      <w:bookmarkEnd w:id="206"/>
      <w:bookmarkEnd w:id="207"/>
      <w:r w:rsidRPr="00645A13">
        <w:rPr>
          <w:lang w:val="en-GB"/>
        </w:rPr>
        <w:t xml:space="preserve"> will qualify for the incentive.</w:t>
      </w:r>
    </w:p>
    <w:p w14:paraId="27605BDC" w14:textId="77777777" w:rsidR="00645A13" w:rsidRPr="00645A13" w:rsidRDefault="00645A13" w:rsidP="00645A13">
      <w:pPr>
        <w:rPr>
          <w:lang w:val="en-US"/>
        </w:rPr>
      </w:pPr>
      <w:r w:rsidRPr="00645A13">
        <w:rPr>
          <w:bCs/>
          <w:lang w:val="en-GB"/>
        </w:rPr>
        <w:t>The general overriding requirements for businesses to deduct a capital allowance will be applicable to companies wanting to make use of this incentive. These requirements are</w:t>
      </w:r>
      <w:r w:rsidRPr="00645A13">
        <w:rPr>
          <w:lang w:val="en-US"/>
        </w:rPr>
        <w:t>:</w:t>
      </w:r>
    </w:p>
    <w:p w14:paraId="36B0D5D2" w14:textId="77777777" w:rsidR="00645A13" w:rsidRPr="00645A13" w:rsidRDefault="00645A13" w:rsidP="00645A13">
      <w:pPr>
        <w:numPr>
          <w:ilvl w:val="0"/>
          <w:numId w:val="34"/>
        </w:numPr>
        <w:rPr>
          <w:bCs/>
          <w:lang w:val="en-GB"/>
        </w:rPr>
      </w:pPr>
      <w:r w:rsidRPr="00645A13">
        <w:rPr>
          <w:bCs/>
          <w:lang w:val="en-GB"/>
        </w:rPr>
        <w:t>will be carrying on a trade as a result of the bringing into use of the assets; and</w:t>
      </w:r>
    </w:p>
    <w:p w14:paraId="3907BD65" w14:textId="77777777" w:rsidR="00645A13" w:rsidRPr="00645A13" w:rsidRDefault="00645A13" w:rsidP="00645A13">
      <w:pPr>
        <w:numPr>
          <w:ilvl w:val="0"/>
          <w:numId w:val="34"/>
        </w:numPr>
        <w:rPr>
          <w:bCs/>
          <w:lang w:val="en-GB"/>
        </w:rPr>
      </w:pPr>
      <w:r w:rsidRPr="00645A13">
        <w:rPr>
          <w:bCs/>
          <w:lang w:val="en-GB"/>
        </w:rPr>
        <w:t xml:space="preserve">the business must have acquired and brought the asset into use (the business must own the asset). </w:t>
      </w:r>
    </w:p>
    <w:p w14:paraId="1A6D39CF" w14:textId="0CCE271B" w:rsidR="00645A13" w:rsidRPr="00645A13" w:rsidRDefault="00645A13" w:rsidP="00645A13">
      <w:pPr>
        <w:rPr>
          <w:lang w:val="en-US"/>
        </w:rPr>
      </w:pPr>
      <w:r w:rsidRPr="00645A13">
        <w:rPr>
          <w:bCs/>
          <w:lang w:val="en-GB"/>
        </w:rPr>
        <w:t>Additional requirements will include:</w:t>
      </w:r>
      <w:r w:rsidRPr="00645A13">
        <w:rPr>
          <w:lang w:val="en-US"/>
        </w:rPr>
        <w:t xml:space="preserve"> </w:t>
      </w:r>
    </w:p>
    <w:p w14:paraId="6B4F6F2C" w14:textId="77777777" w:rsidR="00645A13" w:rsidRPr="00645A13" w:rsidRDefault="00645A13" w:rsidP="00645A13">
      <w:pPr>
        <w:numPr>
          <w:ilvl w:val="0"/>
          <w:numId w:val="22"/>
        </w:numPr>
      </w:pPr>
      <w:r w:rsidRPr="00645A13">
        <w:t xml:space="preserve">the capital assets will be used by the company mainly for the local production of battery </w:t>
      </w:r>
      <w:bookmarkStart w:id="208" w:name="_Hlk167437589"/>
      <w:r w:rsidRPr="00645A13">
        <w:t xml:space="preserve">electric and hydrogen-powered </w:t>
      </w:r>
      <w:bookmarkEnd w:id="208"/>
      <w:r w:rsidRPr="00645A13">
        <w:t xml:space="preserve">vehicles in South Africa; </w:t>
      </w:r>
    </w:p>
    <w:p w14:paraId="6168D4EE" w14:textId="77777777" w:rsidR="00645A13" w:rsidRPr="00645A13" w:rsidRDefault="00645A13" w:rsidP="00645A13">
      <w:pPr>
        <w:numPr>
          <w:ilvl w:val="0"/>
          <w:numId w:val="22"/>
        </w:numPr>
      </w:pPr>
      <w:r w:rsidRPr="00645A13">
        <w:t>only new and unused assets qualify (including improvements), to ensure that assets will add to the production capacity for battery electric and hydrogen-powered vehicles that the company plans to produce; and</w:t>
      </w:r>
    </w:p>
    <w:p w14:paraId="659E5E5D" w14:textId="210D3674" w:rsidR="00577E34" w:rsidRDefault="00645A13" w:rsidP="00B42771">
      <w:pPr>
        <w:numPr>
          <w:ilvl w:val="0"/>
          <w:numId w:val="22"/>
        </w:numPr>
      </w:pPr>
      <w:r w:rsidRPr="00645A13">
        <w:t xml:space="preserve">assets must be brought into use for the first time on or after 1 March 2026 and before 1 March 2036. </w:t>
      </w:r>
    </w:p>
    <w:p w14:paraId="6A4547E1" w14:textId="77777777" w:rsidR="00B42771" w:rsidRPr="00645A13" w:rsidRDefault="00B42771" w:rsidP="00B42771">
      <w:pPr>
        <w:ind w:left="1515"/>
      </w:pPr>
    </w:p>
    <w:p w14:paraId="568B1B19" w14:textId="77777777" w:rsidR="00645A13" w:rsidRPr="00645A13" w:rsidRDefault="00645A13" w:rsidP="00645A13">
      <w:pPr>
        <w:numPr>
          <w:ilvl w:val="0"/>
          <w:numId w:val="21"/>
        </w:numPr>
        <w:rPr>
          <w:i/>
          <w:lang w:val="en-US"/>
        </w:rPr>
      </w:pPr>
      <w:r w:rsidRPr="00645A13">
        <w:rPr>
          <w:i/>
          <w:lang w:val="en-US"/>
        </w:rPr>
        <w:t xml:space="preserve">Manufacturing assets used in the production of </w:t>
      </w:r>
      <w:r w:rsidRPr="00645A13">
        <w:rPr>
          <w:i/>
          <w:iCs/>
          <w:lang w:val="en-US"/>
        </w:rPr>
        <w:t xml:space="preserve">battery </w:t>
      </w:r>
      <w:r w:rsidRPr="00645A13">
        <w:rPr>
          <w:i/>
          <w:lang w:val="en-US"/>
        </w:rPr>
        <w:t>electric and hydrogen-powered vehicles eligible for the investment allowance</w:t>
      </w:r>
    </w:p>
    <w:p w14:paraId="319B64B3" w14:textId="77777777" w:rsidR="00645A13" w:rsidRPr="00645A13" w:rsidRDefault="00645A13" w:rsidP="00645A13">
      <w:r w:rsidRPr="00645A13">
        <w:t>The incentive will be available for new and unused buildings , plant and machinery (including improvements) acquired and brought into use for the first time by the company on or after 1 March 2026. Assets acquired and brought into use before this date will not be eligible for the incentive (because an incentive in this instance would represent a deadweight loss).</w:t>
      </w:r>
    </w:p>
    <w:p w14:paraId="3172FFF8" w14:textId="77777777" w:rsidR="00645A13" w:rsidRPr="00645A13" w:rsidRDefault="00645A13" w:rsidP="00645A13">
      <w:r w:rsidRPr="00645A13">
        <w:t xml:space="preserve">Assets will qualify if they will be used mainly in the production of battery electric and hydrogen-powered vehicles in South Africa. While eligibility will be based on facts and circumstances, it is envisaged that eligible assets will be those that are necessary to set up a new facility or extend an existing building to cater for the domestic production of battery electric vehicles and hydrogen-powered vehicles. </w:t>
      </w:r>
    </w:p>
    <w:p w14:paraId="23D297E0" w14:textId="77777777" w:rsidR="00645A13" w:rsidRPr="00645A13" w:rsidRDefault="00645A13" w:rsidP="00645A13">
      <w:r w:rsidRPr="00645A13">
        <w:t>The cost of the asset for tax purposes will be limited to the lesser of the arm’s length market value on the date of acquisition or the actual cost to the taxpayer. This is intended to ensure that taxpayers do benefit from an additional allowance on financing costs.</w:t>
      </w:r>
    </w:p>
    <w:p w14:paraId="61192A7D" w14:textId="77777777" w:rsidR="00645A13" w:rsidRPr="00645A13" w:rsidRDefault="00645A13" w:rsidP="00645A13">
      <w:pPr>
        <w:numPr>
          <w:ilvl w:val="0"/>
          <w:numId w:val="21"/>
        </w:numPr>
        <w:rPr>
          <w:i/>
          <w:iCs/>
          <w:lang w:val="en-US"/>
        </w:rPr>
      </w:pPr>
      <w:r w:rsidRPr="00645A13">
        <w:rPr>
          <w:i/>
          <w:iCs/>
          <w:lang w:val="en-US"/>
        </w:rPr>
        <w:t>Recoupment of the investment allowance</w:t>
      </w:r>
    </w:p>
    <w:bookmarkEnd w:id="204"/>
    <w:p w14:paraId="1D7FED81" w14:textId="77777777" w:rsidR="00645A13" w:rsidRPr="00645A13" w:rsidRDefault="00645A13" w:rsidP="00645A13">
      <w:r w:rsidRPr="00645A13">
        <w:t>Where an asset in respect of which an investment allowance was granted is disposed of within a period of 5 years from the date it was brought into use, there shall be  included in the taxpayer’s income 50 per cent of the cost of that asset, which has been recouped  during the current year of assessment, in addition to the inclusion of amounts in terms of section 8(4)(</w:t>
      </w:r>
      <w:r w:rsidRPr="00645A13">
        <w:rPr>
          <w:i/>
          <w:iCs/>
        </w:rPr>
        <w:t>a</w:t>
      </w:r>
      <w:r w:rsidRPr="00645A13">
        <w:t>) of the Act, but limited to the total amount allowed to be deducted in respect of that asset.</w:t>
      </w:r>
    </w:p>
    <w:p w14:paraId="4FC73D83" w14:textId="77777777" w:rsidR="00645A13" w:rsidRPr="00645A13" w:rsidRDefault="00645A13" w:rsidP="00645A13">
      <w:pPr>
        <w:numPr>
          <w:ilvl w:val="0"/>
          <w:numId w:val="21"/>
        </w:numPr>
        <w:rPr>
          <w:i/>
          <w:iCs/>
          <w:lang w:val="en-US"/>
        </w:rPr>
      </w:pPr>
      <w:r w:rsidRPr="00645A13">
        <w:rPr>
          <w:i/>
          <w:iCs/>
          <w:lang w:val="en-US"/>
        </w:rPr>
        <w:t xml:space="preserve"> Limitation of deduction in respect of assets granted a deduction in terms of section 12V of the Act</w:t>
      </w:r>
    </w:p>
    <w:p w14:paraId="298FA7A7" w14:textId="77777777" w:rsidR="00645A13" w:rsidRPr="00645A13" w:rsidRDefault="00645A13" w:rsidP="00645A13">
      <w:r w:rsidRPr="00645A13">
        <w:t>To ensure that there is no double deduction, taxpayers who qualify for the section 12V deduction will not be allowed to claim deductions under section 12C, section 13, and section 13</w:t>
      </w:r>
      <w:r w:rsidRPr="00645A13">
        <w:rPr>
          <w:i/>
          <w:iCs/>
        </w:rPr>
        <w:t>quat</w:t>
      </w:r>
      <w:r w:rsidRPr="00645A13">
        <w:t xml:space="preserve"> of the Act for assets brought into use during the period of the incentive. </w:t>
      </w:r>
    </w:p>
    <w:p w14:paraId="071F7C13" w14:textId="77777777" w:rsidR="00645A13" w:rsidRPr="00645A13" w:rsidRDefault="00645A13" w:rsidP="00645A13">
      <w:pPr>
        <w:rPr>
          <w:b/>
        </w:rPr>
      </w:pPr>
      <w:r w:rsidRPr="00645A13">
        <w:rPr>
          <w:b/>
        </w:rPr>
        <w:t>IV. Effective date</w:t>
      </w:r>
    </w:p>
    <w:p w14:paraId="5DE7A68A" w14:textId="77777777" w:rsidR="00645A13" w:rsidRPr="00645A13" w:rsidRDefault="00645A13" w:rsidP="00645A13">
      <w:pPr>
        <w:rPr>
          <w:lang w:val="en-US"/>
        </w:rPr>
      </w:pPr>
      <w:r w:rsidRPr="00645A13">
        <w:rPr>
          <w:lang w:val="en-US"/>
        </w:rPr>
        <w:t xml:space="preserve">The proposed incentive will come into effect on 1 March 2026 and applies in respect of assets brought into use on or after that date. </w:t>
      </w:r>
    </w:p>
    <w:p w14:paraId="4DCE2BB4" w14:textId="77777777" w:rsidR="00CC3584" w:rsidRDefault="00CC3584" w:rsidP="00F068A5">
      <w:pPr>
        <w:pStyle w:val="4Body"/>
      </w:pPr>
    </w:p>
    <w:p w14:paraId="2595F451" w14:textId="77777777" w:rsidR="00824441" w:rsidRPr="00824441" w:rsidRDefault="00824441" w:rsidP="00824441">
      <w:pPr>
        <w:pStyle w:val="NoSpacing"/>
        <w:jc w:val="center"/>
        <w:rPr>
          <w:rFonts w:ascii="Arial" w:eastAsia="Times New Roman" w:hAnsi="Arial" w:cs="Arial"/>
          <w:szCs w:val="24"/>
        </w:rPr>
      </w:pPr>
      <w:r w:rsidRPr="00E972D0">
        <w:rPr>
          <w:rFonts w:ascii="Arial" w:eastAsia="Times New Roman" w:hAnsi="Arial" w:cs="Arial"/>
          <w:szCs w:val="24"/>
          <w:lang w:val="en-US"/>
        </w:rPr>
        <w:t>_________________________</w:t>
      </w:r>
    </w:p>
    <w:p w14:paraId="164ECBD0" w14:textId="77777777" w:rsidR="00824441" w:rsidRDefault="00824441" w:rsidP="00677478">
      <w:pPr>
        <w:pStyle w:val="4Body"/>
      </w:pPr>
    </w:p>
    <w:p w14:paraId="4D05C8BD" w14:textId="77777777" w:rsidR="00724DE9" w:rsidRPr="00344E7C" w:rsidRDefault="00724DE9" w:rsidP="00677478">
      <w:pPr>
        <w:pStyle w:val="4Body"/>
      </w:pPr>
    </w:p>
    <w:p w14:paraId="181E7DD8" w14:textId="77777777" w:rsidR="001A7BD5" w:rsidRPr="003177DB" w:rsidRDefault="001A7BD5" w:rsidP="002D5681">
      <w:pPr>
        <w:pStyle w:val="Heading2"/>
      </w:pPr>
      <w:bookmarkStart w:id="209" w:name="_Toc46433542"/>
      <w:bookmarkStart w:id="210" w:name="_Toc198158755"/>
      <w:r w:rsidRPr="003177DB">
        <w:t xml:space="preserve">INCOME TAX: </w:t>
      </w:r>
      <w:r>
        <w:t>INTERNATIONAL</w:t>
      </w:r>
      <w:bookmarkEnd w:id="209"/>
      <w:bookmarkEnd w:id="210"/>
    </w:p>
    <w:p w14:paraId="64CE7D91" w14:textId="77777777" w:rsidR="0020322C" w:rsidRPr="00FC0786" w:rsidRDefault="0020322C" w:rsidP="00FC0786">
      <w:pPr>
        <w:pStyle w:val="ListParagraph"/>
        <w:numPr>
          <w:ilvl w:val="0"/>
          <w:numId w:val="17"/>
        </w:numPr>
        <w:rPr>
          <w:b/>
          <w:vanish/>
          <w:lang w:val="en-US"/>
        </w:rPr>
      </w:pPr>
      <w:bookmarkStart w:id="211" w:name="_Toc14437893"/>
      <w:bookmarkStart w:id="212" w:name="_Toc14440230"/>
      <w:bookmarkStart w:id="213" w:name="_Toc14440287"/>
      <w:bookmarkStart w:id="214" w:name="_Toc14441822"/>
      <w:bookmarkStart w:id="215" w:name="_Toc24123791"/>
      <w:bookmarkStart w:id="216" w:name="_Toc29908444"/>
      <w:bookmarkStart w:id="217" w:name="_Toc29908493"/>
      <w:bookmarkStart w:id="218" w:name="_Toc29909390"/>
      <w:bookmarkStart w:id="219" w:name="_Toc29911436"/>
      <w:bookmarkStart w:id="220" w:name="_Toc30067439"/>
      <w:bookmarkStart w:id="221" w:name="_Toc30067513"/>
      <w:bookmarkStart w:id="222" w:name="_Toc30067652"/>
      <w:bookmarkStart w:id="223" w:name="_Toc30069406"/>
      <w:bookmarkStart w:id="224" w:name="_Toc30169257"/>
      <w:bookmarkStart w:id="225" w:name="_Toc44513718"/>
      <w:bookmarkStart w:id="226" w:name="_Toc44513768"/>
      <w:bookmarkStart w:id="227" w:name="_Toc44664645"/>
      <w:bookmarkStart w:id="228" w:name="_Toc44664687"/>
      <w:bookmarkStart w:id="229" w:name="_Toc44690647"/>
      <w:bookmarkStart w:id="230" w:name="_Toc44690693"/>
      <w:bookmarkStart w:id="231" w:name="_Toc44690848"/>
      <w:bookmarkStart w:id="232" w:name="_Toc45045436"/>
      <w:bookmarkStart w:id="233" w:name="_Toc45051034"/>
      <w:bookmarkStart w:id="234" w:name="_Toc45051079"/>
      <w:bookmarkStart w:id="235" w:name="_Toc45051832"/>
      <w:bookmarkStart w:id="236" w:name="_Toc45051877"/>
      <w:bookmarkStart w:id="237" w:name="_Toc45492836"/>
      <w:bookmarkStart w:id="238" w:name="_Toc45492882"/>
      <w:bookmarkStart w:id="239" w:name="_Toc45526734"/>
      <w:bookmarkStart w:id="240" w:name="_Toc45540337"/>
      <w:bookmarkStart w:id="241" w:name="_Toc45540389"/>
      <w:bookmarkStart w:id="242" w:name="_Toc45541214"/>
      <w:bookmarkStart w:id="243" w:name="_Toc45545737"/>
      <w:bookmarkStart w:id="244" w:name="_Toc45545789"/>
      <w:bookmarkStart w:id="245" w:name="_Toc45621788"/>
      <w:bookmarkStart w:id="246" w:name="_Toc45636857"/>
      <w:bookmarkStart w:id="247" w:name="_Toc45795506"/>
      <w:bookmarkStart w:id="248" w:name="_Toc45795688"/>
      <w:bookmarkStart w:id="249" w:name="_Toc46158338"/>
      <w:bookmarkStart w:id="250" w:name="_Toc46158445"/>
      <w:bookmarkStart w:id="251" w:name="_Toc46158594"/>
      <w:bookmarkStart w:id="252" w:name="_Toc46159124"/>
      <w:bookmarkStart w:id="253" w:name="_Toc46159179"/>
      <w:bookmarkStart w:id="254" w:name="_Toc46416082"/>
      <w:bookmarkStart w:id="255" w:name="_Toc46419929"/>
      <w:bookmarkStart w:id="256" w:name="_Toc46419982"/>
      <w:bookmarkStart w:id="257" w:name="_Toc46433300"/>
      <w:bookmarkStart w:id="258" w:name="_Toc46433353"/>
      <w:bookmarkStart w:id="259" w:name="_Toc46433543"/>
      <w:bookmarkStart w:id="260" w:name="_Toc4650402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EF706AA" w14:textId="77777777" w:rsidR="00DC10DB" w:rsidRPr="00DC10DB" w:rsidRDefault="00DC10DB" w:rsidP="00DC10DB">
      <w:pPr>
        <w:pStyle w:val="ListParagraph"/>
        <w:keepNext/>
        <w:numPr>
          <w:ilvl w:val="0"/>
          <w:numId w:val="35"/>
        </w:numPr>
        <w:tabs>
          <w:tab w:val="left" w:pos="-1134"/>
          <w:tab w:val="left" w:pos="-709"/>
        </w:tabs>
        <w:outlineLvl w:val="2"/>
        <w:rPr>
          <w:rFonts w:cs="Arial"/>
          <w:b/>
          <w:vanish/>
          <w:szCs w:val="22"/>
        </w:rPr>
      </w:pPr>
      <w:bookmarkStart w:id="261" w:name="_Toc193020698"/>
      <w:bookmarkStart w:id="262" w:name="_Toc193020737"/>
      <w:bookmarkStart w:id="263" w:name="_Toc198158032"/>
      <w:bookmarkStart w:id="264" w:name="_Toc198158756"/>
      <w:bookmarkEnd w:id="261"/>
      <w:bookmarkEnd w:id="262"/>
      <w:bookmarkEnd w:id="263"/>
      <w:bookmarkEnd w:id="264"/>
    </w:p>
    <w:p w14:paraId="60B4030F" w14:textId="3AF61E59" w:rsidR="001A7BD5" w:rsidRPr="005E29F8" w:rsidRDefault="00545E51" w:rsidP="009709FD">
      <w:pPr>
        <w:pStyle w:val="Heading3"/>
      </w:pPr>
      <w:bookmarkStart w:id="265" w:name="_Toc198158757"/>
      <w:r w:rsidRPr="005E29F8">
        <w:t>CLARIFYING THE TRANSLATION FOR HYPERINFLATIONARY CURRENCIES</w:t>
      </w:r>
      <w:bookmarkEnd w:id="265"/>
    </w:p>
    <w:p w14:paraId="74E6390D" w14:textId="4C6BD8C7" w:rsidR="001A7BD5" w:rsidRPr="001A7BD5" w:rsidRDefault="001A7BD5" w:rsidP="00FC0786">
      <w:pPr>
        <w:rPr>
          <w:lang w:val="en-US"/>
        </w:rPr>
      </w:pPr>
      <w:r w:rsidRPr="0021487A">
        <w:t>[</w:t>
      </w:r>
      <w:r w:rsidR="00510C06" w:rsidRPr="00510C06">
        <w:rPr>
          <w:rFonts w:eastAsia="Arial" w:cs="Arial"/>
          <w:color w:val="000000"/>
          <w:szCs w:val="22"/>
          <w:lang w:eastAsia="en-ZA"/>
        </w:rPr>
        <w:t>Applicable provision</w:t>
      </w:r>
      <w:r w:rsidR="00AF77E1">
        <w:rPr>
          <w:rFonts w:eastAsia="Arial" w:cs="Arial"/>
          <w:color w:val="000000"/>
          <w:szCs w:val="22"/>
          <w:lang w:eastAsia="en-ZA"/>
        </w:rPr>
        <w:t>s</w:t>
      </w:r>
      <w:r w:rsidR="00510C06" w:rsidRPr="00510C06">
        <w:rPr>
          <w:rFonts w:eastAsia="Arial" w:cs="Arial"/>
          <w:color w:val="000000"/>
          <w:szCs w:val="22"/>
          <w:lang w:eastAsia="en-ZA"/>
        </w:rPr>
        <w:t xml:space="preserve">: </w:t>
      </w:r>
      <w:r w:rsidR="00071B02">
        <w:rPr>
          <w:rFonts w:eastAsia="Arial" w:cs="Arial"/>
          <w:color w:val="000000"/>
          <w:szCs w:val="22"/>
          <w:lang w:val="en-US" w:eastAsia="en-ZA"/>
        </w:rPr>
        <w:t>S</w:t>
      </w:r>
      <w:r w:rsidR="00236670" w:rsidRPr="00236670">
        <w:rPr>
          <w:rFonts w:eastAsia="Arial" w:cs="Arial"/>
          <w:color w:val="000000"/>
          <w:szCs w:val="22"/>
          <w:lang w:val="en-US" w:eastAsia="en-ZA"/>
        </w:rPr>
        <w:t>ection</w:t>
      </w:r>
      <w:r w:rsidR="00301A7F">
        <w:rPr>
          <w:rFonts w:eastAsia="Arial" w:cs="Arial"/>
          <w:color w:val="000000"/>
          <w:szCs w:val="22"/>
          <w:lang w:val="en-US" w:eastAsia="en-ZA"/>
        </w:rPr>
        <w:t>s</w:t>
      </w:r>
      <w:r w:rsidR="00236670" w:rsidRPr="00236670">
        <w:rPr>
          <w:rFonts w:eastAsia="Arial" w:cs="Arial"/>
          <w:color w:val="000000"/>
          <w:szCs w:val="22"/>
          <w:lang w:val="en-US" w:eastAsia="en-ZA"/>
        </w:rPr>
        <w:t xml:space="preserve"> 9D(2A) and</w:t>
      </w:r>
      <w:r w:rsidR="00E653E5">
        <w:rPr>
          <w:rFonts w:eastAsia="Arial" w:cs="Arial"/>
          <w:color w:val="000000"/>
          <w:szCs w:val="22"/>
          <w:lang w:val="en-US" w:eastAsia="en-ZA"/>
        </w:rPr>
        <w:t xml:space="preserve"> </w:t>
      </w:r>
      <w:r w:rsidR="00236670" w:rsidRPr="00236670">
        <w:rPr>
          <w:rFonts w:eastAsia="Arial" w:cs="Arial"/>
          <w:color w:val="000000"/>
          <w:szCs w:val="22"/>
          <w:lang w:val="en-US" w:eastAsia="en-ZA"/>
        </w:rPr>
        <w:t>9D(6) of the Act</w:t>
      </w:r>
      <w:r w:rsidRPr="0021487A">
        <w:t>]</w:t>
      </w:r>
    </w:p>
    <w:p w14:paraId="3F27A96D" w14:textId="77777777" w:rsidR="001A7BD5" w:rsidRPr="00FC0786" w:rsidRDefault="001A7BD5" w:rsidP="00FC0786">
      <w:pPr>
        <w:rPr>
          <w:b/>
        </w:rPr>
      </w:pPr>
      <w:r w:rsidRPr="00FC0786">
        <w:rPr>
          <w:b/>
        </w:rPr>
        <w:t>I. Background</w:t>
      </w:r>
    </w:p>
    <w:p w14:paraId="1C141764" w14:textId="7EE8AA29" w:rsidR="006D0DED" w:rsidRDefault="06D87F5A" w:rsidP="4DA829A6">
      <w:pPr>
        <w:spacing w:after="5" w:line="249" w:lineRule="auto"/>
        <w:ind w:left="53" w:hanging="10"/>
        <w:rPr>
          <w:rFonts w:eastAsia="Arial" w:cs="Arial"/>
          <w:color w:val="000000"/>
          <w:lang w:eastAsia="en-ZA"/>
        </w:rPr>
      </w:pPr>
      <w:r w:rsidRPr="5FEEF3AA">
        <w:rPr>
          <w:rFonts w:eastAsia="Arial" w:cs="Arial"/>
          <w:color w:val="000000" w:themeColor="text1"/>
          <w:lang w:eastAsia="en-ZA"/>
        </w:rPr>
        <w:t xml:space="preserve">The meaning of “local currency” is </w:t>
      </w:r>
      <w:r w:rsidR="2BF299E8" w:rsidRPr="5FEEF3AA">
        <w:rPr>
          <w:rFonts w:eastAsia="Arial" w:cs="Arial"/>
          <w:color w:val="000000" w:themeColor="text1"/>
          <w:lang w:eastAsia="en-ZA"/>
        </w:rPr>
        <w:t>given</w:t>
      </w:r>
      <w:r w:rsidRPr="5FEEF3AA">
        <w:rPr>
          <w:rFonts w:eastAsia="Arial" w:cs="Arial"/>
          <w:color w:val="000000" w:themeColor="text1"/>
          <w:lang w:eastAsia="en-ZA"/>
        </w:rPr>
        <w:t xml:space="preserve"> in section 9D(2A)(</w:t>
      </w:r>
      <w:r w:rsidRPr="5FEEF3AA">
        <w:rPr>
          <w:rFonts w:eastAsia="Arial" w:cs="Arial"/>
          <w:i/>
          <w:iCs/>
          <w:color w:val="000000" w:themeColor="text1"/>
          <w:lang w:eastAsia="en-ZA"/>
        </w:rPr>
        <w:t>k</w:t>
      </w:r>
      <w:r w:rsidRPr="5FEEF3AA">
        <w:rPr>
          <w:rFonts w:eastAsia="Arial" w:cs="Arial"/>
          <w:color w:val="000000" w:themeColor="text1"/>
          <w:lang w:eastAsia="en-ZA"/>
        </w:rPr>
        <w:t xml:space="preserve">) </w:t>
      </w:r>
      <w:r w:rsidR="640744D4" w:rsidRPr="5FEEF3AA">
        <w:rPr>
          <w:rFonts w:eastAsia="Arial" w:cs="Arial"/>
          <w:color w:val="000000" w:themeColor="text1"/>
          <w:lang w:eastAsia="en-ZA"/>
        </w:rPr>
        <w:t xml:space="preserve">of the Act </w:t>
      </w:r>
      <w:r w:rsidRPr="5FEEF3AA">
        <w:rPr>
          <w:rFonts w:eastAsia="Arial" w:cs="Arial"/>
          <w:color w:val="000000" w:themeColor="text1"/>
          <w:lang w:eastAsia="en-ZA"/>
        </w:rPr>
        <w:t>for purposes of gains or losses on foreign exchange transactions and for purposes of paragraph 43 of the Eighth Schedule</w:t>
      </w:r>
      <w:r w:rsidR="27B881AE" w:rsidRPr="5FEEF3AA">
        <w:rPr>
          <w:rFonts w:eastAsia="Arial" w:cs="Arial"/>
          <w:color w:val="000000" w:themeColor="text1"/>
          <w:lang w:eastAsia="en-ZA"/>
        </w:rPr>
        <w:t xml:space="preserve"> to the Act</w:t>
      </w:r>
      <w:r w:rsidRPr="5FEEF3AA">
        <w:rPr>
          <w:rFonts w:eastAsia="Arial" w:cs="Arial"/>
          <w:color w:val="000000" w:themeColor="text1"/>
          <w:lang w:eastAsia="en-ZA"/>
        </w:rPr>
        <w:t xml:space="preserve"> that deals with assets disposed of or acquired in foreign currency. In general, the term “local currency” of a controlled foreign company (CFC) means the currency used for purposes of its financial reporting.</w:t>
      </w:r>
    </w:p>
    <w:p w14:paraId="3C8F892B" w14:textId="4B8A84C3" w:rsidR="006D0DED" w:rsidRPr="006D0DED" w:rsidRDefault="006D0DED" w:rsidP="006D0DED">
      <w:pPr>
        <w:spacing w:after="5" w:line="249" w:lineRule="auto"/>
        <w:ind w:left="53" w:hanging="10"/>
        <w:rPr>
          <w:rFonts w:eastAsia="Arial" w:cs="Arial"/>
          <w:color w:val="000000"/>
          <w:szCs w:val="22"/>
          <w:lang w:eastAsia="en-ZA"/>
        </w:rPr>
      </w:pPr>
      <w:r w:rsidRPr="006D0DED">
        <w:rPr>
          <w:rFonts w:eastAsia="Arial" w:cs="Arial"/>
          <w:color w:val="000000"/>
          <w:szCs w:val="22"/>
          <w:lang w:eastAsia="en-ZA"/>
        </w:rPr>
        <w:t xml:space="preserve"> </w:t>
      </w:r>
    </w:p>
    <w:p w14:paraId="698E08F7" w14:textId="3ED4F269" w:rsidR="006D0DED" w:rsidRPr="006D0DED" w:rsidRDefault="75653F42" w:rsidP="4DA829A6">
      <w:pPr>
        <w:spacing w:after="5" w:line="249" w:lineRule="auto"/>
        <w:ind w:left="53" w:hanging="10"/>
        <w:rPr>
          <w:rFonts w:eastAsia="Arial" w:cs="Arial"/>
          <w:color w:val="000000"/>
          <w:lang w:eastAsia="en-ZA"/>
        </w:rPr>
      </w:pPr>
      <w:bookmarkStart w:id="266" w:name="_Hlk156455269"/>
      <w:r w:rsidRPr="5FEEF3AA">
        <w:rPr>
          <w:rFonts w:eastAsia="Arial" w:cs="Arial"/>
          <w:color w:val="000000" w:themeColor="text1"/>
          <w:lang w:eastAsia="en-ZA"/>
        </w:rPr>
        <w:t>T</w:t>
      </w:r>
      <w:r w:rsidR="06D87F5A" w:rsidRPr="5FEEF3AA">
        <w:rPr>
          <w:rFonts w:eastAsia="Arial" w:cs="Arial"/>
          <w:color w:val="000000" w:themeColor="text1"/>
          <w:lang w:eastAsia="en-ZA"/>
        </w:rPr>
        <w:t>he net income of a CFC is determined in the currency used by that CFC for purposes of financial reporting (the functional currency) and is translated into the currency of the Republic at the average exchange rate for that year of assessment.</w:t>
      </w:r>
      <w:bookmarkEnd w:id="266"/>
      <w:r w:rsidR="06D87F5A" w:rsidRPr="5FEEF3AA">
        <w:rPr>
          <w:rFonts w:eastAsia="Arial" w:cs="Arial"/>
          <w:color w:val="000000" w:themeColor="text1"/>
          <w:lang w:eastAsia="en-ZA"/>
        </w:rPr>
        <w:t xml:space="preserve"> Exchange items are treated as not attributable to any permanent establishment of the CFC </w:t>
      </w:r>
      <w:bookmarkStart w:id="267" w:name="_Hlk156452896"/>
      <w:r w:rsidR="06D87F5A" w:rsidRPr="5FEEF3AA">
        <w:rPr>
          <w:rFonts w:eastAsia="Arial" w:cs="Arial"/>
          <w:color w:val="000000" w:themeColor="text1"/>
          <w:lang w:eastAsia="en-ZA"/>
        </w:rPr>
        <w:t>if the currency used for financial reporting is the currency of the country which has an official rate of inflation of 100 per cent or more throughout the foreign tax year</w:t>
      </w:r>
      <w:bookmarkEnd w:id="267"/>
      <w:r w:rsidR="06D87F5A" w:rsidRPr="5FEEF3AA">
        <w:rPr>
          <w:rFonts w:eastAsia="Arial" w:cs="Arial"/>
          <w:color w:val="000000" w:themeColor="text1"/>
          <w:lang w:eastAsia="en-ZA"/>
        </w:rPr>
        <w:t xml:space="preserve">. </w:t>
      </w:r>
    </w:p>
    <w:p w14:paraId="06C89C3D" w14:textId="77777777" w:rsidR="00665E23" w:rsidRPr="00665E23" w:rsidRDefault="00665E23" w:rsidP="00665E23">
      <w:pPr>
        <w:spacing w:after="5" w:line="249" w:lineRule="auto"/>
        <w:ind w:left="53" w:hanging="10"/>
        <w:rPr>
          <w:rFonts w:eastAsia="Arial" w:cs="Arial"/>
          <w:color w:val="000000"/>
          <w:szCs w:val="22"/>
          <w:lang w:eastAsia="en-ZA"/>
        </w:rPr>
      </w:pPr>
    </w:p>
    <w:p w14:paraId="5F9DD0D2" w14:textId="77777777" w:rsidR="00665E23" w:rsidRDefault="002F2F0C" w:rsidP="00665E23">
      <w:pPr>
        <w:rPr>
          <w:b/>
        </w:rPr>
      </w:pPr>
      <w:r w:rsidRPr="00FC0786">
        <w:rPr>
          <w:b/>
        </w:rPr>
        <w:t>II. Reasons for change</w:t>
      </w:r>
    </w:p>
    <w:p w14:paraId="114EDF16" w14:textId="02FF9DF5" w:rsidR="00D90A2B" w:rsidRPr="00DC10DB" w:rsidRDefault="06D87F5A" w:rsidP="4DA829A6">
      <w:pPr>
        <w:rPr>
          <w:rFonts w:eastAsia="Arial" w:cs="Arial"/>
          <w:color w:val="000000" w:themeColor="text1"/>
          <w:lang w:eastAsia="en-ZA"/>
        </w:rPr>
      </w:pPr>
      <w:r w:rsidRPr="5FEEF3AA">
        <w:rPr>
          <w:rFonts w:eastAsia="Arial" w:cs="Arial"/>
          <w:color w:val="000000" w:themeColor="text1"/>
          <w:lang w:eastAsia="en-ZA"/>
        </w:rPr>
        <w:t>For hyperinflationary cases, the policy intention is that transactions in a third currency should be translated directly to Rand and not into the hyperinflationary functional currency and thereafter to Rand applying the average exchange rate. However, currently</w:t>
      </w:r>
      <w:r w:rsidR="5F878F7F" w:rsidRPr="5FEEF3AA">
        <w:rPr>
          <w:rFonts w:eastAsia="Arial" w:cs="Arial"/>
          <w:color w:val="000000" w:themeColor="text1"/>
          <w:lang w:eastAsia="en-ZA"/>
        </w:rPr>
        <w:t>,</w:t>
      </w:r>
      <w:r w:rsidRPr="5FEEF3AA">
        <w:rPr>
          <w:rFonts w:eastAsia="Arial" w:cs="Arial"/>
          <w:color w:val="000000" w:themeColor="text1"/>
          <w:lang w:eastAsia="en-ZA"/>
        </w:rPr>
        <w:t xml:space="preserve"> the proviso to section 9D(6) of the Act deems those exchange items not to be attributable to a permanent establishment, and subsection (2A)(</w:t>
      </w:r>
      <w:r w:rsidRPr="5FEEF3AA">
        <w:rPr>
          <w:rFonts w:eastAsia="Arial" w:cs="Arial"/>
          <w:i/>
          <w:iCs/>
          <w:color w:val="000000" w:themeColor="text1"/>
          <w:lang w:eastAsia="en-ZA"/>
        </w:rPr>
        <w:t>k</w:t>
      </w:r>
      <w:r w:rsidRPr="5FEEF3AA">
        <w:rPr>
          <w:rFonts w:eastAsia="Arial" w:cs="Arial"/>
          <w:color w:val="000000" w:themeColor="text1"/>
          <w:lang w:eastAsia="en-ZA"/>
        </w:rPr>
        <w:t>) requires the hyperinflationary functional currency to be the local currency.</w:t>
      </w:r>
    </w:p>
    <w:p w14:paraId="4E107579" w14:textId="77777777" w:rsidR="00665E23" w:rsidRDefault="002F2F0C" w:rsidP="00665E23">
      <w:pPr>
        <w:rPr>
          <w:b/>
        </w:rPr>
      </w:pPr>
      <w:r w:rsidRPr="00FC0786">
        <w:rPr>
          <w:b/>
        </w:rPr>
        <w:t>III. Proposal</w:t>
      </w:r>
    </w:p>
    <w:p w14:paraId="3CF4ADDF" w14:textId="6889188A" w:rsidR="006D0DED" w:rsidRPr="006D0DED" w:rsidRDefault="06D87F5A" w:rsidP="5FEEF3AA">
      <w:pPr>
        <w:rPr>
          <w:rFonts w:eastAsia="Arial" w:cs="Arial"/>
          <w:color w:val="000000"/>
          <w:lang w:eastAsia="en-ZA"/>
        </w:rPr>
      </w:pPr>
      <w:r w:rsidRPr="5FEEF3AA">
        <w:rPr>
          <w:rFonts w:eastAsia="Arial" w:cs="Arial"/>
          <w:color w:val="000000" w:themeColor="text1"/>
          <w:lang w:eastAsia="en-ZA"/>
        </w:rPr>
        <w:t>In order to align the rules with the policy intention, it is proposed that section 9D(2A)(</w:t>
      </w:r>
      <w:r w:rsidRPr="5FEEF3AA">
        <w:rPr>
          <w:rFonts w:eastAsia="Arial" w:cs="Arial"/>
          <w:i/>
          <w:iCs/>
          <w:color w:val="000000" w:themeColor="text1"/>
          <w:lang w:eastAsia="en-ZA"/>
        </w:rPr>
        <w:t>k</w:t>
      </w:r>
      <w:r w:rsidRPr="5FEEF3AA">
        <w:rPr>
          <w:rFonts w:eastAsia="Arial" w:cs="Arial"/>
          <w:color w:val="000000" w:themeColor="text1"/>
          <w:lang w:eastAsia="en-ZA"/>
        </w:rPr>
        <w:t xml:space="preserve">) of the Act  be amended to cater </w:t>
      </w:r>
      <w:r w:rsidR="3D5D7425" w:rsidRPr="5FEEF3AA">
        <w:rPr>
          <w:rFonts w:eastAsia="Arial" w:cs="Arial"/>
          <w:color w:val="000000" w:themeColor="text1"/>
          <w:lang w:eastAsia="en-ZA"/>
        </w:rPr>
        <w:t>for</w:t>
      </w:r>
      <w:r w:rsidRPr="5FEEF3AA">
        <w:rPr>
          <w:rFonts w:eastAsia="Arial" w:cs="Arial"/>
          <w:color w:val="000000" w:themeColor="text1"/>
          <w:lang w:eastAsia="en-ZA"/>
        </w:rPr>
        <w:t xml:space="preserve"> a situation where the functional currency of a particular country has an official inflation rate of 100 per</w:t>
      </w:r>
      <w:r w:rsidR="245D839C" w:rsidRPr="5FEEF3AA">
        <w:rPr>
          <w:rFonts w:eastAsia="Arial" w:cs="Arial"/>
          <w:color w:val="000000" w:themeColor="text1"/>
          <w:lang w:eastAsia="en-ZA"/>
        </w:rPr>
        <w:t xml:space="preserve"> </w:t>
      </w:r>
      <w:r w:rsidRPr="5FEEF3AA">
        <w:rPr>
          <w:rFonts w:eastAsia="Arial" w:cs="Arial"/>
          <w:color w:val="000000" w:themeColor="text1"/>
          <w:lang w:eastAsia="en-ZA"/>
        </w:rPr>
        <w:t xml:space="preserve">cent or more for the foreign tax year, </w:t>
      </w:r>
      <w:r w:rsidR="150068AB" w:rsidRPr="5FEEF3AA">
        <w:rPr>
          <w:rFonts w:eastAsia="Arial" w:cs="Arial"/>
          <w:color w:val="000000" w:themeColor="text1"/>
          <w:lang w:eastAsia="en-ZA"/>
        </w:rPr>
        <w:t xml:space="preserve">by deeming </w:t>
      </w:r>
      <w:r w:rsidRPr="5FEEF3AA">
        <w:rPr>
          <w:rFonts w:eastAsia="Arial" w:cs="Arial"/>
          <w:color w:val="000000" w:themeColor="text1"/>
          <w:lang w:eastAsia="en-ZA"/>
        </w:rPr>
        <w:t>the “local currency” to be the currency of the Republic.</w:t>
      </w:r>
    </w:p>
    <w:p w14:paraId="61373E6C" w14:textId="77777777" w:rsidR="002F2F0C" w:rsidRPr="00FC0786" w:rsidRDefault="002F2F0C" w:rsidP="00FC0786">
      <w:pPr>
        <w:rPr>
          <w:b/>
        </w:rPr>
      </w:pPr>
      <w:r w:rsidRPr="00FC0786">
        <w:rPr>
          <w:b/>
        </w:rPr>
        <w:t>IV. Effective date</w:t>
      </w:r>
    </w:p>
    <w:p w14:paraId="23E69444" w14:textId="6E7F4B35" w:rsidR="007F1DE5" w:rsidRDefault="7E4BC8CC" w:rsidP="5FEEF3AA">
      <w:pPr>
        <w:rPr>
          <w:rFonts w:eastAsia="Arial" w:cs="Arial"/>
          <w:color w:val="000000"/>
          <w:lang w:eastAsia="en-ZA"/>
        </w:rPr>
      </w:pPr>
      <w:r w:rsidRPr="5FEEF3AA">
        <w:rPr>
          <w:rFonts w:eastAsia="Arial" w:cs="Arial"/>
          <w:color w:val="000000" w:themeColor="text1"/>
          <w:lang w:val="en-US" w:eastAsia="en-ZA"/>
        </w:rPr>
        <w:t>The proposed amendment come</w:t>
      </w:r>
      <w:r w:rsidR="61A109B7" w:rsidRPr="5FEEF3AA">
        <w:rPr>
          <w:rFonts w:eastAsia="Arial" w:cs="Arial"/>
          <w:color w:val="000000" w:themeColor="text1"/>
          <w:lang w:val="en-US" w:eastAsia="en-ZA"/>
        </w:rPr>
        <w:t>s</w:t>
      </w:r>
      <w:r w:rsidRPr="5FEEF3AA">
        <w:rPr>
          <w:rFonts w:eastAsia="Arial" w:cs="Arial"/>
          <w:color w:val="000000" w:themeColor="text1"/>
          <w:lang w:val="en-US" w:eastAsia="en-ZA"/>
        </w:rPr>
        <w:t xml:space="preserve"> into operation on 31 December 2024 and appl</w:t>
      </w:r>
      <w:r w:rsidR="7989C3E0" w:rsidRPr="5FEEF3AA">
        <w:rPr>
          <w:rFonts w:eastAsia="Arial" w:cs="Arial"/>
          <w:color w:val="000000" w:themeColor="text1"/>
          <w:lang w:val="en-US" w:eastAsia="en-ZA"/>
        </w:rPr>
        <w:t>ies</w:t>
      </w:r>
      <w:r w:rsidRPr="5FEEF3AA">
        <w:rPr>
          <w:rFonts w:eastAsia="Arial" w:cs="Arial"/>
          <w:color w:val="000000" w:themeColor="text1"/>
          <w:lang w:val="en-US" w:eastAsia="en-ZA"/>
        </w:rPr>
        <w:t xml:space="preserve"> in respect of foreign tax years of CFCs ending on or after that date.</w:t>
      </w:r>
    </w:p>
    <w:p w14:paraId="08CBBA89" w14:textId="77777777" w:rsidR="005641A9" w:rsidRPr="005641A9" w:rsidRDefault="005641A9" w:rsidP="00FC0786">
      <w:pPr>
        <w:rPr>
          <w:rFonts w:eastAsia="Arial" w:cs="Arial"/>
          <w:color w:val="000000"/>
          <w:szCs w:val="22"/>
          <w:lang w:eastAsia="en-ZA"/>
        </w:rPr>
      </w:pPr>
    </w:p>
    <w:p w14:paraId="5FD2B1EB" w14:textId="50B49763" w:rsidR="001A7BD5" w:rsidRPr="005E29F8" w:rsidRDefault="00545E51" w:rsidP="009709FD">
      <w:pPr>
        <w:pStyle w:val="Heading3"/>
      </w:pPr>
      <w:bookmarkStart w:id="268" w:name="_Toc198158758"/>
      <w:r w:rsidRPr="005E29F8">
        <w:t>CLARIFYING THE 18-MONTH PERIOD IN RELATION TO SHAREHOLDINGS BY GROUP ENTITIES</w:t>
      </w:r>
      <w:bookmarkEnd w:id="268"/>
    </w:p>
    <w:p w14:paraId="31006D92" w14:textId="04F8CCB1" w:rsidR="001A7BD5" w:rsidRDefault="001A7BD5" w:rsidP="00FC0786">
      <w:r w:rsidRPr="007A6FB8">
        <w:t>[</w:t>
      </w:r>
      <w:r w:rsidR="00665E23" w:rsidRPr="00665E23">
        <w:rPr>
          <w:rFonts w:eastAsia="Arial" w:cs="Arial"/>
          <w:color w:val="000000"/>
          <w:szCs w:val="22"/>
          <w:lang w:eastAsia="en-ZA"/>
        </w:rPr>
        <w:t xml:space="preserve">Applicable provision: </w:t>
      </w:r>
      <w:r w:rsidR="00E10A81">
        <w:rPr>
          <w:rFonts w:eastAsia="Arial" w:cs="Arial"/>
          <w:color w:val="000000"/>
          <w:szCs w:val="22"/>
          <w:lang w:val="en-US" w:eastAsia="en-ZA"/>
        </w:rPr>
        <w:t>P</w:t>
      </w:r>
      <w:r w:rsidR="00DC553A" w:rsidRPr="00DC553A">
        <w:rPr>
          <w:rFonts w:eastAsia="Arial" w:cs="Arial"/>
          <w:color w:val="000000"/>
          <w:szCs w:val="22"/>
          <w:lang w:val="en-US" w:eastAsia="en-ZA"/>
        </w:rPr>
        <w:t>aragraph 64B of the Eighth Schedule to the Act</w:t>
      </w:r>
      <w:r w:rsidRPr="007A6FB8">
        <w:t>]</w:t>
      </w:r>
    </w:p>
    <w:p w14:paraId="787854C6" w14:textId="77777777" w:rsidR="001A7BD5" w:rsidRPr="00FC0786" w:rsidRDefault="001A7BD5" w:rsidP="00FC0786">
      <w:pPr>
        <w:rPr>
          <w:b/>
        </w:rPr>
      </w:pPr>
      <w:r w:rsidRPr="00FC0786">
        <w:rPr>
          <w:b/>
        </w:rPr>
        <w:t>I. Background</w:t>
      </w:r>
    </w:p>
    <w:p w14:paraId="085B0F1F" w14:textId="247531BB" w:rsidR="00DC553A" w:rsidRPr="00DC553A" w:rsidRDefault="00DC553A" w:rsidP="00DC553A">
      <w:pPr>
        <w:pStyle w:val="4Body"/>
        <w:rPr>
          <w:color w:val="000000"/>
          <w:lang w:val="en-ZA" w:eastAsia="en-ZA"/>
        </w:rPr>
      </w:pPr>
      <w:r w:rsidRPr="00DC553A">
        <w:rPr>
          <w:color w:val="000000"/>
          <w:lang w:val="en-ZA" w:eastAsia="en-ZA"/>
        </w:rPr>
        <w:t>The participation exemption under paragraph 64B of the Eighth Schedule to the Act requires a person to disregard any capital gain or capital loss resulting from the disposal of equity shares in a non-resident company if certain requirements are met. Amongst those requirements is that the person disposing of such equity shares should have held the interest for a period of at least 18</w:t>
      </w:r>
      <w:r w:rsidR="000012A4">
        <w:rPr>
          <w:color w:val="000000"/>
          <w:lang w:val="en-ZA" w:eastAsia="en-ZA"/>
        </w:rPr>
        <w:t>-</w:t>
      </w:r>
      <w:r w:rsidRPr="00DC553A">
        <w:rPr>
          <w:color w:val="000000"/>
          <w:lang w:val="en-ZA" w:eastAsia="en-ZA"/>
        </w:rPr>
        <w:t xml:space="preserve">months prior to that disposal. </w:t>
      </w:r>
    </w:p>
    <w:p w14:paraId="285FCDFD" w14:textId="2C9D2C50" w:rsidR="00DC553A" w:rsidRPr="00DC553A" w:rsidRDefault="00DC553A" w:rsidP="00DC553A">
      <w:pPr>
        <w:pStyle w:val="4Body"/>
        <w:rPr>
          <w:color w:val="000000"/>
          <w:lang w:val="en-ZA" w:eastAsia="en-ZA"/>
        </w:rPr>
      </w:pPr>
      <w:r w:rsidRPr="00DC553A">
        <w:rPr>
          <w:color w:val="000000"/>
          <w:lang w:val="en-ZA" w:eastAsia="en-ZA"/>
        </w:rPr>
        <w:t xml:space="preserve">Prior to 2023, the participation exemption under paragraph 64B(4) of the Eighth Schedule to the Act required that a person must disregard any capital gain determined </w:t>
      </w:r>
      <w:bookmarkStart w:id="269" w:name="_Hlk130547437"/>
      <w:r w:rsidRPr="00DC553A">
        <w:rPr>
          <w:color w:val="000000"/>
          <w:lang w:val="en-ZA" w:eastAsia="en-ZA"/>
        </w:rPr>
        <w:t xml:space="preserve">in respect of any foreign return of capital received by or accrued </w:t>
      </w:r>
      <w:bookmarkEnd w:id="269"/>
      <w:r w:rsidRPr="00DC553A">
        <w:rPr>
          <w:color w:val="000000"/>
          <w:lang w:val="en-ZA" w:eastAsia="en-ZA"/>
        </w:rPr>
        <w:t xml:space="preserve">to that person from a </w:t>
      </w:r>
      <w:r w:rsidR="004113C7">
        <w:rPr>
          <w:color w:val="000000"/>
          <w:lang w:val="en-ZA" w:eastAsia="en-ZA"/>
        </w:rPr>
        <w:t>“</w:t>
      </w:r>
      <w:r w:rsidRPr="00DC553A">
        <w:rPr>
          <w:color w:val="000000"/>
          <w:lang w:val="en-ZA" w:eastAsia="en-ZA"/>
        </w:rPr>
        <w:t>foreign company</w:t>
      </w:r>
      <w:r w:rsidR="004113C7">
        <w:rPr>
          <w:color w:val="000000"/>
          <w:lang w:val="en-ZA" w:eastAsia="en-ZA"/>
        </w:rPr>
        <w:t>”</w:t>
      </w:r>
      <w:r w:rsidRPr="00DC553A">
        <w:rPr>
          <w:color w:val="000000"/>
          <w:lang w:val="en-ZA" w:eastAsia="en-ZA"/>
        </w:rPr>
        <w:t xml:space="preserve"> as defined in section 9D of the Act. This rule applied when that person (whether alone or together with any other person forming part of the same group of companies as that person) holds at least 10</w:t>
      </w:r>
      <w:r w:rsidR="00AC4341">
        <w:rPr>
          <w:color w:val="000000"/>
          <w:lang w:val="en-ZA" w:eastAsia="en-ZA"/>
        </w:rPr>
        <w:t xml:space="preserve"> per cent</w:t>
      </w:r>
      <w:r w:rsidRPr="00DC553A">
        <w:rPr>
          <w:color w:val="000000"/>
          <w:lang w:val="en-ZA" w:eastAsia="en-ZA"/>
        </w:rPr>
        <w:t xml:space="preserve"> of the total equity shares and voting rights in that company.</w:t>
      </w:r>
    </w:p>
    <w:p w14:paraId="17E84F83" w14:textId="3C4E3E7E" w:rsidR="00E10A81" w:rsidRDefault="7678A999" w:rsidP="00DC553A">
      <w:pPr>
        <w:pStyle w:val="4Body"/>
        <w:rPr>
          <w:color w:val="000000" w:themeColor="text1"/>
          <w:lang w:val="en-ZA" w:eastAsia="en-ZA"/>
        </w:rPr>
      </w:pPr>
      <w:r w:rsidRPr="5FEEF3AA">
        <w:rPr>
          <w:color w:val="000000" w:themeColor="text1"/>
          <w:lang w:val="en-ZA" w:eastAsia="en-ZA"/>
        </w:rPr>
        <w:t xml:space="preserve">In 2023, an amendment was made to the Act </w:t>
      </w:r>
      <w:r w:rsidR="04B9B727" w:rsidRPr="5FEEF3AA">
        <w:rPr>
          <w:color w:val="000000" w:themeColor="text1"/>
          <w:lang w:val="en-ZA" w:eastAsia="en-ZA"/>
        </w:rPr>
        <w:t xml:space="preserve">to introduce </w:t>
      </w:r>
      <w:r w:rsidRPr="5FEEF3AA">
        <w:rPr>
          <w:color w:val="000000" w:themeColor="text1"/>
          <w:lang w:val="en-ZA" w:eastAsia="en-ZA"/>
        </w:rPr>
        <w:t xml:space="preserve">an 18-months holding requirement </w:t>
      </w:r>
      <w:r w:rsidR="6DEA0F8B" w:rsidRPr="5FEEF3AA">
        <w:rPr>
          <w:color w:val="000000" w:themeColor="text1"/>
          <w:lang w:val="en-ZA" w:eastAsia="en-ZA"/>
        </w:rPr>
        <w:t xml:space="preserve">to be </w:t>
      </w:r>
      <w:proofErr w:type="spellStart"/>
      <w:r w:rsidR="6DEA0F8B" w:rsidRPr="5FEEF3AA">
        <w:rPr>
          <w:color w:val="000000" w:themeColor="text1"/>
          <w:lang w:val="en-ZA" w:eastAsia="en-ZA"/>
        </w:rPr>
        <w:t>applied</w:t>
      </w:r>
      <w:r w:rsidR="6E7C6C3A" w:rsidRPr="5FEEF3AA">
        <w:rPr>
          <w:color w:val="000000" w:themeColor="text1"/>
          <w:lang w:val="en-ZA" w:eastAsia="en-ZA"/>
        </w:rPr>
        <w:t>to</w:t>
      </w:r>
      <w:proofErr w:type="spellEnd"/>
      <w:r w:rsidR="6E7C6C3A" w:rsidRPr="5FEEF3AA">
        <w:rPr>
          <w:color w:val="000000" w:themeColor="text1"/>
          <w:lang w:val="en-ZA" w:eastAsia="en-ZA"/>
        </w:rPr>
        <w:t xml:space="preserve"> qualify for the</w:t>
      </w:r>
      <w:r w:rsidRPr="5FEEF3AA">
        <w:rPr>
          <w:color w:val="000000" w:themeColor="text1"/>
          <w:lang w:val="en-ZA" w:eastAsia="en-ZA"/>
        </w:rPr>
        <w:t xml:space="preserve"> participation exemption  in respect of foreign return of capital </w:t>
      </w:r>
      <w:r w:rsidR="5E66380F" w:rsidRPr="5FEEF3AA">
        <w:rPr>
          <w:color w:val="000000" w:themeColor="text1"/>
          <w:lang w:val="en-ZA" w:eastAsia="en-ZA"/>
        </w:rPr>
        <w:t>from</w:t>
      </w:r>
      <w:r w:rsidRPr="5FEEF3AA">
        <w:rPr>
          <w:color w:val="000000" w:themeColor="text1"/>
          <w:lang w:val="en-ZA" w:eastAsia="en-ZA"/>
        </w:rPr>
        <w:t xml:space="preserve"> a foreign company.</w:t>
      </w:r>
    </w:p>
    <w:p w14:paraId="283D9CA6" w14:textId="77777777" w:rsidR="00B42771" w:rsidRDefault="00B42771" w:rsidP="00DC553A">
      <w:pPr>
        <w:pStyle w:val="4Body"/>
        <w:rPr>
          <w:color w:val="000000" w:themeColor="text1"/>
          <w:lang w:val="en-ZA" w:eastAsia="en-ZA"/>
        </w:rPr>
      </w:pPr>
    </w:p>
    <w:p w14:paraId="064DF4E4" w14:textId="77777777" w:rsidR="00B42771" w:rsidRPr="00DC553A" w:rsidRDefault="00B42771" w:rsidP="00DC553A">
      <w:pPr>
        <w:pStyle w:val="4Body"/>
        <w:rPr>
          <w:color w:val="000000"/>
          <w:lang w:val="en-ZA" w:eastAsia="en-ZA"/>
        </w:rPr>
      </w:pPr>
    </w:p>
    <w:p w14:paraId="65D9B9CF" w14:textId="53C08B47" w:rsidR="00232DAC" w:rsidRPr="00FC0786" w:rsidRDefault="00232DAC" w:rsidP="00665E23">
      <w:pPr>
        <w:pStyle w:val="4Body"/>
        <w:rPr>
          <w:b/>
        </w:rPr>
      </w:pPr>
      <w:r w:rsidRPr="00FC0786">
        <w:rPr>
          <w:b/>
        </w:rPr>
        <w:t>II. Reasons for change</w:t>
      </w:r>
    </w:p>
    <w:p w14:paraId="45B5709F" w14:textId="07CD964D" w:rsidR="00A25542" w:rsidRPr="00A25542" w:rsidRDefault="67FA0380" w:rsidP="4DA829A6">
      <w:pPr>
        <w:spacing w:after="5" w:line="249" w:lineRule="auto"/>
        <w:rPr>
          <w:rFonts w:eastAsia="Arial" w:cs="Arial"/>
          <w:color w:val="000000"/>
          <w:lang w:eastAsia="en-ZA"/>
        </w:rPr>
      </w:pPr>
      <w:bookmarkStart w:id="270" w:name="_Hlk117590760"/>
      <w:r w:rsidRPr="5FEEF3AA">
        <w:rPr>
          <w:rFonts w:eastAsia="Arial" w:cs="Arial"/>
          <w:color w:val="000000" w:themeColor="text1"/>
          <w:lang w:eastAsia="en-ZA"/>
        </w:rPr>
        <w:t>It has come to Government’s attention that the 2023 amendment is not clear in certain instances such as where multiple group companies held the shares in the foreign company during an 18</w:t>
      </w:r>
      <w:r w:rsidRPr="5FEEF3AA">
        <w:rPr>
          <w:rFonts w:ascii="Cambria Math" w:eastAsia="Arial" w:hAnsi="Cambria Math" w:cs="Cambria Math"/>
          <w:color w:val="000000" w:themeColor="text1"/>
          <w:lang w:eastAsia="en-ZA"/>
        </w:rPr>
        <w:t>‐</w:t>
      </w:r>
      <w:r w:rsidRPr="5FEEF3AA">
        <w:rPr>
          <w:rFonts w:eastAsia="Arial" w:cs="Arial"/>
          <w:color w:val="000000" w:themeColor="text1"/>
          <w:lang w:eastAsia="en-ZA"/>
        </w:rPr>
        <w:t>months period</w:t>
      </w:r>
      <w:r w:rsidR="2AE7B9F9" w:rsidRPr="5FEEF3AA">
        <w:rPr>
          <w:rFonts w:eastAsia="Arial" w:cs="Arial"/>
          <w:color w:val="000000" w:themeColor="text1"/>
          <w:lang w:eastAsia="en-ZA"/>
        </w:rPr>
        <w:t>. A</w:t>
      </w:r>
      <w:r w:rsidRPr="5FEEF3AA">
        <w:rPr>
          <w:rFonts w:eastAsia="Arial" w:cs="Arial"/>
          <w:color w:val="000000" w:themeColor="text1"/>
          <w:lang w:eastAsia="en-ZA"/>
        </w:rPr>
        <w:t xml:space="preserve"> clarification is required in this regard. </w:t>
      </w:r>
    </w:p>
    <w:p w14:paraId="046E64F1" w14:textId="77777777" w:rsidR="00E83637" w:rsidRPr="00E83637" w:rsidRDefault="00E83637" w:rsidP="00E83637">
      <w:pPr>
        <w:spacing w:after="5" w:line="249" w:lineRule="auto"/>
        <w:rPr>
          <w:rFonts w:eastAsia="Arial" w:cs="Arial"/>
          <w:color w:val="000000"/>
          <w:szCs w:val="22"/>
          <w:lang w:eastAsia="en-ZA"/>
        </w:rPr>
      </w:pPr>
    </w:p>
    <w:bookmarkEnd w:id="270"/>
    <w:p w14:paraId="0C964B47" w14:textId="77777777" w:rsidR="00665E23" w:rsidRDefault="00232DAC" w:rsidP="00665E23">
      <w:pPr>
        <w:rPr>
          <w:b/>
        </w:rPr>
      </w:pPr>
      <w:r w:rsidRPr="00FC0786">
        <w:rPr>
          <w:b/>
        </w:rPr>
        <w:t>III. Proposal</w:t>
      </w:r>
    </w:p>
    <w:p w14:paraId="2037789B" w14:textId="72001EE3" w:rsidR="00724DE9" w:rsidRPr="00A25542" w:rsidRDefault="67FA0380" w:rsidP="5FEEF3AA">
      <w:pPr>
        <w:rPr>
          <w:rFonts w:eastAsia="Arial" w:cs="Arial"/>
          <w:color w:val="000000"/>
          <w:lang w:val="en-US" w:eastAsia="en-ZA"/>
        </w:rPr>
      </w:pPr>
      <w:r w:rsidRPr="5FEEF3AA">
        <w:rPr>
          <w:rFonts w:eastAsia="Arial" w:cs="Arial"/>
          <w:color w:val="000000" w:themeColor="text1"/>
          <w:lang w:val="en-US" w:eastAsia="en-ZA"/>
        </w:rPr>
        <w:t xml:space="preserve">It is proposed that the legislation be made clear that when it comes to </w:t>
      </w:r>
      <w:r w:rsidR="5392763C" w:rsidRPr="5FEEF3AA">
        <w:rPr>
          <w:rFonts w:eastAsia="Arial" w:cs="Arial"/>
          <w:color w:val="000000" w:themeColor="text1"/>
          <w:lang w:val="en-US" w:eastAsia="en-ZA"/>
        </w:rPr>
        <w:t xml:space="preserve">a foreign return of capital to a company </w:t>
      </w:r>
      <w:r w:rsidRPr="5FEEF3AA">
        <w:rPr>
          <w:rFonts w:eastAsia="Arial" w:cs="Arial"/>
          <w:color w:val="000000" w:themeColor="text1"/>
          <w:lang w:val="en-US" w:eastAsia="en-ZA"/>
        </w:rPr>
        <w:t xml:space="preserve">the 18-months requirement will apply in aggregate to </w:t>
      </w:r>
      <w:r w:rsidR="3221E0BF" w:rsidRPr="5FEEF3AA">
        <w:rPr>
          <w:rFonts w:eastAsia="Arial" w:cs="Arial"/>
          <w:color w:val="000000" w:themeColor="text1"/>
          <w:lang w:val="en-US" w:eastAsia="en-ZA"/>
        </w:rPr>
        <w:t xml:space="preserve">the company and another company in the group of companies from which </w:t>
      </w:r>
      <w:r w:rsidR="2378BD15" w:rsidRPr="5FEEF3AA">
        <w:rPr>
          <w:rFonts w:eastAsia="Arial" w:cs="Arial"/>
          <w:color w:val="000000" w:themeColor="text1"/>
          <w:lang w:val="en-US" w:eastAsia="en-ZA"/>
        </w:rPr>
        <w:t>the shares were acquired during the 18month period.</w:t>
      </w:r>
    </w:p>
    <w:p w14:paraId="29591CAA" w14:textId="77DA2524" w:rsidR="001A7BD5" w:rsidRPr="00FC0786" w:rsidRDefault="001A7BD5" w:rsidP="00FC0786">
      <w:pPr>
        <w:rPr>
          <w:b/>
        </w:rPr>
      </w:pPr>
      <w:r w:rsidRPr="00FC0786">
        <w:rPr>
          <w:b/>
        </w:rPr>
        <w:t>IV. Effective date</w:t>
      </w:r>
    </w:p>
    <w:p w14:paraId="3A949C9E" w14:textId="70B72C5D" w:rsidR="00A25542" w:rsidRPr="00A25542" w:rsidRDefault="67FA0380" w:rsidP="00A25542">
      <w:pPr>
        <w:pStyle w:val="4Body"/>
        <w:rPr>
          <w:color w:val="000000"/>
          <w:lang w:eastAsia="en-ZA"/>
        </w:rPr>
      </w:pPr>
      <w:r w:rsidRPr="5FEEF3AA">
        <w:rPr>
          <w:color w:val="000000" w:themeColor="text1"/>
          <w:lang w:eastAsia="en-ZA"/>
        </w:rPr>
        <w:t xml:space="preserve">The proposed amendment </w:t>
      </w:r>
      <w:r w:rsidR="3F2F0404" w:rsidRPr="5FEEF3AA">
        <w:rPr>
          <w:color w:val="000000" w:themeColor="text1"/>
          <w:lang w:eastAsia="en-ZA"/>
        </w:rPr>
        <w:t>is</w:t>
      </w:r>
      <w:r w:rsidR="5C9231C9" w:rsidRPr="5FEEF3AA">
        <w:rPr>
          <w:color w:val="000000" w:themeColor="text1"/>
          <w:lang w:eastAsia="en-ZA"/>
        </w:rPr>
        <w:t xml:space="preserve"> deemed to </w:t>
      </w:r>
      <w:r w:rsidR="1AC30945" w:rsidRPr="5FEEF3AA">
        <w:rPr>
          <w:color w:val="000000" w:themeColor="text1"/>
          <w:lang w:eastAsia="en-ZA"/>
        </w:rPr>
        <w:t xml:space="preserve">have </w:t>
      </w:r>
      <w:r w:rsidRPr="5FEEF3AA">
        <w:rPr>
          <w:color w:val="000000" w:themeColor="text1"/>
          <w:lang w:eastAsia="en-ZA"/>
        </w:rPr>
        <w:t>come into operation on 1 January 202</w:t>
      </w:r>
      <w:r w:rsidR="2FE9B235" w:rsidRPr="5FEEF3AA">
        <w:rPr>
          <w:color w:val="000000" w:themeColor="text1"/>
          <w:lang w:eastAsia="en-ZA"/>
        </w:rPr>
        <w:t>4</w:t>
      </w:r>
      <w:r w:rsidRPr="5FEEF3AA">
        <w:rPr>
          <w:color w:val="000000" w:themeColor="text1"/>
          <w:lang w:eastAsia="en-ZA"/>
        </w:rPr>
        <w:t xml:space="preserve"> and appl</w:t>
      </w:r>
      <w:r w:rsidR="2FE9B235" w:rsidRPr="5FEEF3AA">
        <w:rPr>
          <w:color w:val="000000" w:themeColor="text1"/>
          <w:lang w:eastAsia="en-ZA"/>
        </w:rPr>
        <w:t>ies</w:t>
      </w:r>
      <w:r w:rsidRPr="5FEEF3AA">
        <w:rPr>
          <w:color w:val="000000" w:themeColor="text1"/>
          <w:lang w:eastAsia="en-ZA"/>
        </w:rPr>
        <w:t xml:space="preserve"> in respect of any foreign return of capital received or accrued on or after that date.</w:t>
      </w:r>
    </w:p>
    <w:p w14:paraId="28E9588D" w14:textId="77777777" w:rsidR="00665E23" w:rsidRPr="00FC0786" w:rsidRDefault="00665E23" w:rsidP="00677478">
      <w:pPr>
        <w:pStyle w:val="4Body"/>
        <w:rPr>
          <w:lang w:val="en-ZA"/>
        </w:rPr>
      </w:pPr>
    </w:p>
    <w:p w14:paraId="22B14AAE" w14:textId="65FB2592" w:rsidR="006370B7" w:rsidRPr="005E29F8" w:rsidRDefault="00545E51" w:rsidP="009709FD">
      <w:pPr>
        <w:pStyle w:val="Heading3"/>
      </w:pPr>
      <w:bookmarkStart w:id="271" w:name="_Toc198158759"/>
      <w:r w:rsidRPr="005E29F8">
        <w:t>CLARIFYING THE REBATE FOR FOREIGN TAXES ON INCOME IN RESPECT OF CAPITAL GAINS</w:t>
      </w:r>
      <w:bookmarkEnd w:id="271"/>
    </w:p>
    <w:p w14:paraId="068AC324" w14:textId="7E867EEB" w:rsidR="006370B7" w:rsidRDefault="006370B7" w:rsidP="4DA829A6">
      <w:r w:rsidRPr="4DA829A6">
        <w:t>[</w:t>
      </w:r>
      <w:r w:rsidR="00665E23" w:rsidRPr="4DA829A6">
        <w:rPr>
          <w:rFonts w:eastAsia="Arial" w:cs="Arial"/>
          <w:color w:val="000000" w:themeColor="text1"/>
          <w:lang w:eastAsia="en-ZA"/>
        </w:rPr>
        <w:t xml:space="preserve">Applicable provision: </w:t>
      </w:r>
      <w:r w:rsidR="00E10A81" w:rsidRPr="4DA829A6">
        <w:rPr>
          <w:rFonts w:cs="Arial"/>
        </w:rPr>
        <w:t>S</w:t>
      </w:r>
      <w:r w:rsidR="00417BAC" w:rsidRPr="4DA829A6">
        <w:rPr>
          <w:rFonts w:cs="Arial"/>
        </w:rPr>
        <w:t>ection 6</w:t>
      </w:r>
      <w:r w:rsidR="00417BAC" w:rsidRPr="4DA829A6">
        <w:rPr>
          <w:rFonts w:cs="Arial"/>
          <w:i/>
          <w:iCs/>
        </w:rPr>
        <w:t>quat</w:t>
      </w:r>
      <w:r w:rsidR="00417BAC" w:rsidRPr="4DA829A6">
        <w:rPr>
          <w:rFonts w:cs="Arial"/>
        </w:rPr>
        <w:t>(1A)(</w:t>
      </w:r>
      <w:r w:rsidR="00417BAC" w:rsidRPr="4DA829A6">
        <w:rPr>
          <w:rFonts w:cs="Arial"/>
          <w:i/>
          <w:iCs/>
        </w:rPr>
        <w:t>a</w:t>
      </w:r>
      <w:r w:rsidR="00417BAC" w:rsidRPr="4DA829A6">
        <w:rPr>
          <w:rFonts w:cs="Arial"/>
        </w:rPr>
        <w:t>)(iii) in the Act</w:t>
      </w:r>
      <w:r w:rsidRPr="4DA829A6">
        <w:t>]</w:t>
      </w:r>
    </w:p>
    <w:p w14:paraId="146CEBF6" w14:textId="77777777" w:rsidR="006370B7" w:rsidRPr="00FC0786" w:rsidRDefault="006370B7" w:rsidP="00FC0786">
      <w:pPr>
        <w:rPr>
          <w:b/>
        </w:rPr>
      </w:pPr>
      <w:r w:rsidRPr="00FC0786">
        <w:rPr>
          <w:b/>
        </w:rPr>
        <w:t>I. Background</w:t>
      </w:r>
    </w:p>
    <w:p w14:paraId="74216015" w14:textId="64B9C942" w:rsidR="00824441" w:rsidRPr="00106654" w:rsidRDefault="0137DE27" w:rsidP="00106654">
      <w:pPr>
        <w:pStyle w:val="4Body"/>
        <w:rPr>
          <w:rFonts w:eastAsia="Arial"/>
          <w:color w:val="000000"/>
          <w:lang w:val="en-ZA" w:eastAsia="en-ZA"/>
        </w:rPr>
      </w:pPr>
      <w:r w:rsidRPr="5FEEF3AA">
        <w:rPr>
          <w:rFonts w:eastAsia="Arial"/>
          <w:color w:val="000000" w:themeColor="text1"/>
          <w:lang w:val="en-ZA" w:eastAsia="en-ZA"/>
        </w:rPr>
        <w:t>In order to prevent double taxation on capital gains of residents attributable to the disposal of assets situated outside the Republic, section 6</w:t>
      </w:r>
      <w:r w:rsidRPr="5FEEF3AA">
        <w:rPr>
          <w:rFonts w:eastAsia="Arial"/>
          <w:i/>
          <w:iCs/>
          <w:color w:val="000000" w:themeColor="text1"/>
          <w:lang w:val="en-ZA" w:eastAsia="en-ZA"/>
        </w:rPr>
        <w:t>qua</w:t>
      </w:r>
      <w:r w:rsidRPr="5FEEF3AA">
        <w:rPr>
          <w:rFonts w:eastAsia="Arial"/>
          <w:color w:val="000000" w:themeColor="text1"/>
          <w:lang w:val="en-ZA" w:eastAsia="en-ZA"/>
        </w:rPr>
        <w:t>t(1A)(</w:t>
      </w:r>
      <w:r w:rsidRPr="5FEEF3AA">
        <w:rPr>
          <w:rFonts w:eastAsia="Arial"/>
          <w:i/>
          <w:iCs/>
          <w:color w:val="000000" w:themeColor="text1"/>
          <w:lang w:val="en-ZA" w:eastAsia="en-ZA"/>
        </w:rPr>
        <w:t>a</w:t>
      </w:r>
      <w:r w:rsidRPr="5FEEF3AA">
        <w:rPr>
          <w:rFonts w:eastAsia="Arial"/>
          <w:color w:val="000000" w:themeColor="text1"/>
          <w:lang w:val="en-ZA" w:eastAsia="en-ZA"/>
        </w:rPr>
        <w:t>)(iii)</w:t>
      </w:r>
      <w:r w:rsidR="58FA42AE" w:rsidRPr="5FEEF3AA">
        <w:rPr>
          <w:rFonts w:eastAsia="Arial"/>
          <w:color w:val="000000" w:themeColor="text1"/>
          <w:lang w:val="en-ZA" w:eastAsia="en-ZA"/>
        </w:rPr>
        <w:t xml:space="preserve"> </w:t>
      </w:r>
      <w:r w:rsidR="5554EFB1" w:rsidRPr="5FEEF3AA">
        <w:rPr>
          <w:rFonts w:eastAsia="Arial"/>
          <w:color w:val="000000" w:themeColor="text1"/>
          <w:lang w:val="en-ZA" w:eastAsia="en-ZA"/>
        </w:rPr>
        <w:t>o</w:t>
      </w:r>
      <w:r w:rsidR="58FA42AE" w:rsidRPr="5FEEF3AA">
        <w:rPr>
          <w:rFonts w:eastAsia="Arial"/>
          <w:color w:val="000000" w:themeColor="text1"/>
          <w:lang w:val="en-ZA" w:eastAsia="en-ZA"/>
        </w:rPr>
        <w:t>f the Act</w:t>
      </w:r>
      <w:r w:rsidRPr="5FEEF3AA">
        <w:rPr>
          <w:rFonts w:eastAsia="Arial"/>
          <w:color w:val="000000" w:themeColor="text1"/>
          <w:lang w:val="en-ZA" w:eastAsia="en-ZA"/>
        </w:rPr>
        <w:t xml:space="preserve"> provides for residents to </w:t>
      </w:r>
      <w:proofErr w:type="spellStart"/>
      <w:r w:rsidR="28420D81" w:rsidRPr="5FEEF3AA">
        <w:rPr>
          <w:rFonts w:eastAsia="Arial"/>
          <w:color w:val="000000" w:themeColor="text1"/>
          <w:lang w:val="en-ZA" w:eastAsia="en-ZA"/>
        </w:rPr>
        <w:t>to</w:t>
      </w:r>
      <w:proofErr w:type="spellEnd"/>
      <w:r w:rsidR="28420D81" w:rsidRPr="5FEEF3AA">
        <w:rPr>
          <w:rFonts w:eastAsia="Arial"/>
          <w:color w:val="000000" w:themeColor="text1"/>
          <w:lang w:val="en-ZA" w:eastAsia="en-ZA"/>
        </w:rPr>
        <w:t xml:space="preserve"> be allowed</w:t>
      </w:r>
      <w:r w:rsidRPr="5FEEF3AA">
        <w:rPr>
          <w:rFonts w:eastAsia="Arial"/>
          <w:color w:val="000000" w:themeColor="text1"/>
          <w:lang w:val="en-ZA" w:eastAsia="en-ZA"/>
        </w:rPr>
        <w:t xml:space="preserve"> a credit against South African tax for</w:t>
      </w:r>
      <w:r w:rsidR="5554EFB1" w:rsidRPr="5FEEF3AA">
        <w:rPr>
          <w:rFonts w:eastAsia="Arial"/>
          <w:color w:val="000000" w:themeColor="text1"/>
          <w:lang w:val="en-ZA" w:eastAsia="en-ZA"/>
        </w:rPr>
        <w:t xml:space="preserve"> </w:t>
      </w:r>
      <w:r w:rsidRPr="5FEEF3AA">
        <w:rPr>
          <w:rFonts w:eastAsia="Arial"/>
          <w:color w:val="000000" w:themeColor="text1"/>
          <w:lang w:val="en-ZA" w:eastAsia="en-ZA"/>
        </w:rPr>
        <w:t>irrecoverable foreign taxes paid on these foreign sourced capital gains.</w:t>
      </w:r>
      <w:r w:rsidR="5554EFB1" w:rsidRPr="5FEEF3AA">
        <w:rPr>
          <w:rFonts w:eastAsia="Arial"/>
          <w:color w:val="000000" w:themeColor="text1"/>
          <w:lang w:val="en-ZA" w:eastAsia="en-ZA"/>
        </w:rPr>
        <w:t xml:space="preserve"> </w:t>
      </w:r>
      <w:r w:rsidRPr="5FEEF3AA">
        <w:rPr>
          <w:rFonts w:eastAsia="Arial"/>
          <w:color w:val="000000" w:themeColor="text1"/>
          <w:lang w:val="en-ZA" w:eastAsia="en-ZA"/>
        </w:rPr>
        <w:t>The rebate is an amount equal to the sum of the irrecoverable foreign taxes payable in respect of the taxable capital gain (which is a percentage of the net capital gain</w:t>
      </w:r>
      <w:r w:rsidR="720BF270" w:rsidRPr="5FEEF3AA">
        <w:rPr>
          <w:rFonts w:eastAsia="Arial"/>
          <w:color w:val="000000" w:themeColor="text1"/>
          <w:lang w:val="en-ZA" w:eastAsia="en-ZA"/>
        </w:rPr>
        <w:t xml:space="preserve"> due to the application of an inclusion rate</w:t>
      </w:r>
      <w:r w:rsidRPr="5FEEF3AA">
        <w:rPr>
          <w:rFonts w:eastAsia="Arial"/>
          <w:color w:val="000000" w:themeColor="text1"/>
          <w:lang w:val="en-ZA" w:eastAsia="en-ZA"/>
        </w:rPr>
        <w:t xml:space="preserve">) included in the resident’s taxable income in respect of the foreign sourced gains. Where the resident’s taxable capital gain and tax payable as determined in the foreign jurisdiction in terms of such jurisdiction’s tax rules is higher than that determined in the Republic in terms </w:t>
      </w:r>
      <w:r w:rsidR="23D5BEE1" w:rsidRPr="5FEEF3AA">
        <w:rPr>
          <w:rFonts w:eastAsia="Arial"/>
          <w:color w:val="000000" w:themeColor="text1"/>
          <w:lang w:val="en-ZA" w:eastAsia="en-ZA"/>
        </w:rPr>
        <w:t xml:space="preserve">of </w:t>
      </w:r>
      <w:r w:rsidRPr="5FEEF3AA">
        <w:rPr>
          <w:rFonts w:eastAsia="Arial"/>
          <w:color w:val="000000" w:themeColor="text1"/>
          <w:lang w:val="en-ZA" w:eastAsia="en-ZA"/>
        </w:rPr>
        <w:t>the Act, the resident will not be able to fully reduce the South African capital gains tax payable by the foreign tax payable on the same gain</w:t>
      </w:r>
      <w:r w:rsidR="0250E33F" w:rsidRPr="5FEEF3AA">
        <w:rPr>
          <w:rFonts w:eastAsia="Arial"/>
          <w:color w:val="000000" w:themeColor="text1"/>
          <w:lang w:val="en-ZA" w:eastAsia="en-ZA"/>
        </w:rPr>
        <w:t>,</w:t>
      </w:r>
      <w:r w:rsidRPr="5FEEF3AA">
        <w:rPr>
          <w:rFonts w:eastAsia="Arial"/>
          <w:color w:val="000000" w:themeColor="text1"/>
          <w:lang w:val="en-ZA" w:eastAsia="en-ZA"/>
        </w:rPr>
        <w:t xml:space="preserve"> resulting in double taxation. </w:t>
      </w:r>
    </w:p>
    <w:p w14:paraId="1536EA1F" w14:textId="77777777" w:rsidR="00E83637" w:rsidRDefault="00232DAC" w:rsidP="00232DAC">
      <w:pPr>
        <w:pStyle w:val="4Body"/>
        <w:rPr>
          <w:b/>
        </w:rPr>
      </w:pPr>
      <w:r w:rsidRPr="00FC0786">
        <w:rPr>
          <w:b/>
        </w:rPr>
        <w:t>II. Reasons for change</w:t>
      </w:r>
    </w:p>
    <w:p w14:paraId="3E0981B9" w14:textId="466AC5D0" w:rsidR="00106654" w:rsidRPr="00106654" w:rsidRDefault="0137DE27" w:rsidP="00106654">
      <w:pPr>
        <w:pStyle w:val="4Body"/>
        <w:rPr>
          <w:lang w:val="en-ZA"/>
        </w:rPr>
      </w:pPr>
      <w:r w:rsidRPr="5FEEF3AA">
        <w:rPr>
          <w:lang w:val="en-ZA"/>
        </w:rPr>
        <w:t xml:space="preserve">It has come to </w:t>
      </w:r>
      <w:r w:rsidR="55A937DD" w:rsidRPr="5FEEF3AA">
        <w:rPr>
          <w:lang w:val="en-ZA"/>
        </w:rPr>
        <w:t xml:space="preserve">the </w:t>
      </w:r>
      <w:r w:rsidRPr="5FEEF3AA">
        <w:rPr>
          <w:lang w:val="en-ZA"/>
        </w:rPr>
        <w:t>Government’s attention that section 6</w:t>
      </w:r>
      <w:r w:rsidRPr="5FEEF3AA">
        <w:rPr>
          <w:i/>
          <w:iCs/>
          <w:lang w:val="en-ZA"/>
        </w:rPr>
        <w:t>quat</w:t>
      </w:r>
      <w:r w:rsidRPr="5FEEF3AA">
        <w:rPr>
          <w:lang w:val="en-ZA"/>
        </w:rPr>
        <w:t>(1A)(</w:t>
      </w:r>
      <w:r w:rsidRPr="5FEEF3AA">
        <w:rPr>
          <w:i/>
          <w:iCs/>
          <w:lang w:val="en-ZA"/>
        </w:rPr>
        <w:t>a</w:t>
      </w:r>
      <w:r w:rsidRPr="5FEEF3AA">
        <w:rPr>
          <w:lang w:val="en-ZA"/>
        </w:rPr>
        <w:t xml:space="preserve">)(iii) is </w:t>
      </w:r>
      <w:r w:rsidR="5F9F9506" w:rsidRPr="5FEEF3AA">
        <w:rPr>
          <w:lang w:val="en-ZA"/>
        </w:rPr>
        <w:t>not aligned with the policy</w:t>
      </w:r>
      <w:r w:rsidRPr="5FEEF3AA">
        <w:rPr>
          <w:lang w:val="en-ZA"/>
        </w:rPr>
        <w:t xml:space="preserve"> intention. A resident taxpayer that disposes of a capital asset in a foreign jurisdiction resulting in a capital gain that is subject to tax in that jurisdiction cannot utilise the full tax paid in that jurisdiction against the capital gains tax payable in South Africa on the same capital gain, resulting in double taxation. </w:t>
      </w:r>
    </w:p>
    <w:p w14:paraId="35FBC5D9" w14:textId="77777777" w:rsidR="00232DAC" w:rsidRPr="00FC0786" w:rsidRDefault="00232DAC" w:rsidP="00232DAC">
      <w:pPr>
        <w:pStyle w:val="4Body"/>
        <w:rPr>
          <w:b/>
        </w:rPr>
      </w:pPr>
      <w:r w:rsidRPr="00FC0786">
        <w:rPr>
          <w:b/>
        </w:rPr>
        <w:t>III. Proposal</w:t>
      </w:r>
    </w:p>
    <w:p w14:paraId="4672F91D" w14:textId="00A5D9CC" w:rsidR="00E10A81" w:rsidRPr="00106654" w:rsidRDefault="0137DE27" w:rsidP="4DA829A6">
      <w:pPr>
        <w:rPr>
          <w:rFonts w:eastAsia="Calibri" w:cs="Arial"/>
        </w:rPr>
      </w:pPr>
      <w:r w:rsidRPr="5FEEF3AA">
        <w:rPr>
          <w:rFonts w:eastAsia="Calibri" w:cs="Arial"/>
        </w:rPr>
        <w:t>It is proposed that section 6</w:t>
      </w:r>
      <w:r w:rsidRPr="5FEEF3AA">
        <w:rPr>
          <w:rFonts w:eastAsia="Calibri" w:cs="Arial"/>
          <w:i/>
          <w:iCs/>
        </w:rPr>
        <w:t>quat</w:t>
      </w:r>
      <w:r w:rsidRPr="5FEEF3AA">
        <w:rPr>
          <w:rFonts w:eastAsia="Calibri" w:cs="Arial"/>
        </w:rPr>
        <w:t xml:space="preserve"> </w:t>
      </w:r>
      <w:r w:rsidR="00EEAD01" w:rsidRPr="5FEEF3AA">
        <w:rPr>
          <w:rFonts w:eastAsia="Calibri" w:cs="Arial"/>
        </w:rPr>
        <w:t xml:space="preserve">of the Act </w:t>
      </w:r>
      <w:r w:rsidRPr="5FEEF3AA">
        <w:rPr>
          <w:rFonts w:eastAsia="Calibri" w:cs="Arial"/>
        </w:rPr>
        <w:t xml:space="preserve">should be </w:t>
      </w:r>
      <w:r w:rsidR="378C2D20" w:rsidRPr="5FEEF3AA">
        <w:rPr>
          <w:rFonts w:eastAsia="Calibri" w:cs="Arial"/>
        </w:rPr>
        <w:t>amended</w:t>
      </w:r>
      <w:r w:rsidRPr="5FEEF3AA">
        <w:rPr>
          <w:rFonts w:eastAsia="Calibri" w:cs="Arial"/>
        </w:rPr>
        <w:t xml:space="preserve"> to explicitly allow the taxpayer to utilise the full foreign tax credit for the taxes paid in the foreign jurisdiction to the extent of the taxes paid in South Africa </w:t>
      </w:r>
      <w:r w:rsidR="00249711" w:rsidRPr="5FEEF3AA">
        <w:rPr>
          <w:rFonts w:eastAsia="Calibri" w:cs="Arial"/>
        </w:rPr>
        <w:t>in respect of the taxable capital gain</w:t>
      </w:r>
      <w:r w:rsidRPr="5FEEF3AA">
        <w:rPr>
          <w:rFonts w:eastAsia="Calibri" w:cs="Arial"/>
        </w:rPr>
        <w:t>.</w:t>
      </w:r>
    </w:p>
    <w:p w14:paraId="762CFA36" w14:textId="77777777" w:rsidR="008A0413" w:rsidRPr="00FC0786" w:rsidRDefault="006370B7" w:rsidP="00FC0786">
      <w:pPr>
        <w:rPr>
          <w:b/>
        </w:rPr>
      </w:pPr>
      <w:r w:rsidRPr="00FC0786">
        <w:rPr>
          <w:b/>
        </w:rPr>
        <w:t>IV. Effective date</w:t>
      </w:r>
    </w:p>
    <w:p w14:paraId="16A65486" w14:textId="404C40C1" w:rsidR="00C61011" w:rsidRDefault="07CDAA13" w:rsidP="00677478">
      <w:pPr>
        <w:pStyle w:val="4Body"/>
        <w:rPr>
          <w:lang w:val="en-ZA"/>
        </w:rPr>
      </w:pPr>
      <w:r w:rsidRPr="5FEEF3AA">
        <w:rPr>
          <w:lang w:val="en-ZA"/>
        </w:rPr>
        <w:t>The proposed amendment come</w:t>
      </w:r>
      <w:r w:rsidR="2B7F40B6" w:rsidRPr="5FEEF3AA">
        <w:rPr>
          <w:lang w:val="en-ZA"/>
        </w:rPr>
        <w:t>s</w:t>
      </w:r>
      <w:r w:rsidRPr="5FEEF3AA">
        <w:rPr>
          <w:lang w:val="en-ZA"/>
        </w:rPr>
        <w:t xml:space="preserve"> into operation on 1 </w:t>
      </w:r>
      <w:r w:rsidR="6E1C87D2" w:rsidRPr="5FEEF3AA">
        <w:rPr>
          <w:lang w:val="en-ZA"/>
        </w:rPr>
        <w:t xml:space="preserve">January </w:t>
      </w:r>
      <w:r w:rsidRPr="5FEEF3AA">
        <w:rPr>
          <w:lang w:val="en-ZA"/>
        </w:rPr>
        <w:t>2025</w:t>
      </w:r>
      <w:r w:rsidR="6FB9BC61" w:rsidRPr="5FEEF3AA">
        <w:rPr>
          <w:lang w:val="en-ZA"/>
        </w:rPr>
        <w:t xml:space="preserve"> and appl</w:t>
      </w:r>
      <w:r w:rsidR="222E49F2" w:rsidRPr="5FEEF3AA">
        <w:rPr>
          <w:lang w:val="en-ZA"/>
        </w:rPr>
        <w:t>ies</w:t>
      </w:r>
      <w:r w:rsidR="6FB9BC61" w:rsidRPr="5FEEF3AA">
        <w:rPr>
          <w:lang w:val="en-ZA"/>
        </w:rPr>
        <w:t xml:space="preserve"> in respect of years of assessment commencing on or after that date</w:t>
      </w:r>
      <w:r w:rsidRPr="5FEEF3AA">
        <w:rPr>
          <w:lang w:val="en-ZA"/>
        </w:rPr>
        <w:t>.</w:t>
      </w:r>
    </w:p>
    <w:p w14:paraId="297947B1" w14:textId="77777777" w:rsidR="00D90A2B" w:rsidRPr="00417BAC" w:rsidRDefault="00D90A2B" w:rsidP="00677478">
      <w:pPr>
        <w:pStyle w:val="4Body"/>
        <w:rPr>
          <w:lang w:val="en-ZA"/>
        </w:rPr>
      </w:pPr>
    </w:p>
    <w:p w14:paraId="06056376" w14:textId="7AC265B9" w:rsidR="006370B7" w:rsidRPr="005E29F8" w:rsidRDefault="51316107" w:rsidP="009709FD">
      <w:pPr>
        <w:pStyle w:val="Heading3"/>
      </w:pPr>
      <w:bookmarkStart w:id="272" w:name="_Toc198158760"/>
      <w:r>
        <w:t xml:space="preserve">ALIGNING </w:t>
      </w:r>
      <w:r w:rsidR="50808256">
        <w:t xml:space="preserve">TIMING OF </w:t>
      </w:r>
      <w:r>
        <w:t>THE SECTION 6QUAT REBATE AND TRANSLATION OF NET INCOME RULE FOR CFC</w:t>
      </w:r>
      <w:r w:rsidR="58F5792E">
        <w:t>s</w:t>
      </w:r>
      <w:bookmarkEnd w:id="272"/>
    </w:p>
    <w:p w14:paraId="17C563FC" w14:textId="081199DB" w:rsidR="006D329A" w:rsidRDefault="72E8B950" w:rsidP="00FC0786">
      <w:r>
        <w:t>[</w:t>
      </w:r>
      <w:r w:rsidR="13B41F51">
        <w:t>Applicable provision:</w:t>
      </w:r>
      <w:r w:rsidR="712B89A7" w:rsidRPr="5FEEF3AA">
        <w:rPr>
          <w:rFonts w:eastAsia="Calibri" w:cs="Arial"/>
          <w:sz w:val="24"/>
        </w:rPr>
        <w:t xml:space="preserve"> </w:t>
      </w:r>
      <w:r w:rsidR="712B89A7">
        <w:t xml:space="preserve">Sections </w:t>
      </w:r>
      <w:r w:rsidR="4BCBF3D6" w:rsidRPr="5FEEF3AA">
        <w:t>6</w:t>
      </w:r>
      <w:r w:rsidR="4BCBF3D6" w:rsidRPr="00D259EF">
        <w:rPr>
          <w:i/>
          <w:iCs/>
        </w:rPr>
        <w:t>quat</w:t>
      </w:r>
      <w:r w:rsidR="4BCBF3D6" w:rsidRPr="5FEEF3AA">
        <w:t xml:space="preserve"> and </w:t>
      </w:r>
      <w:r w:rsidR="712B89A7" w:rsidRPr="5FEEF3AA">
        <w:t>9D</w:t>
      </w:r>
      <w:r w:rsidR="3B3C9615">
        <w:t xml:space="preserve"> </w:t>
      </w:r>
      <w:r w:rsidR="712B89A7">
        <w:t>of the Act</w:t>
      </w:r>
      <w:r>
        <w:t>]</w:t>
      </w:r>
    </w:p>
    <w:p w14:paraId="0A998448" w14:textId="77777777" w:rsidR="006370B7" w:rsidRPr="00FC0786" w:rsidRDefault="006370B7" w:rsidP="00FC0786">
      <w:pPr>
        <w:rPr>
          <w:b/>
        </w:rPr>
      </w:pPr>
      <w:r w:rsidRPr="00FC0786">
        <w:rPr>
          <w:b/>
        </w:rPr>
        <w:t>I. Background</w:t>
      </w:r>
    </w:p>
    <w:p w14:paraId="26719E25" w14:textId="7904322D" w:rsidR="00C7385D" w:rsidRPr="00C7385D" w:rsidRDefault="00C7385D" w:rsidP="4DA829A6">
      <w:pPr>
        <w:rPr>
          <w:rFonts w:eastAsia="Calibri" w:cs="Arial"/>
        </w:rPr>
      </w:pPr>
      <w:r w:rsidRPr="4DA829A6">
        <w:rPr>
          <w:rFonts w:eastAsia="Calibri" w:cs="Arial"/>
        </w:rPr>
        <w:t>Section 9D(6) of the Act stipulates the approach that should be followed in translating the amount of net income of a CFC, from the foreign currency used by the CFC for financial reporting purposes to the South African Rand. It requires the net income of a CFC to be determined in</w:t>
      </w:r>
      <w:r w:rsidR="00E77ED7" w:rsidRPr="4DA829A6">
        <w:rPr>
          <w:rFonts w:eastAsia="Calibri" w:cs="Arial"/>
        </w:rPr>
        <w:t xml:space="preserve"> the</w:t>
      </w:r>
      <w:r w:rsidRPr="4DA829A6">
        <w:rPr>
          <w:rFonts w:eastAsia="Calibri" w:cs="Arial"/>
        </w:rPr>
        <w:t xml:space="preserve"> functional currency of that CFC and to be translated into the currency of the Republic at the average exchange rate for the financial year of the CFC. </w:t>
      </w:r>
    </w:p>
    <w:p w14:paraId="6FCCC535" w14:textId="77777777" w:rsidR="00C7385D" w:rsidRPr="00C7385D" w:rsidRDefault="00C7385D" w:rsidP="4DA829A6">
      <w:pPr>
        <w:rPr>
          <w:rFonts w:eastAsia="Calibri" w:cs="Arial"/>
        </w:rPr>
      </w:pPr>
      <w:r w:rsidRPr="4DA829A6">
        <w:rPr>
          <w:rFonts w:eastAsia="Calibri" w:cs="Arial"/>
        </w:rPr>
        <w:t>However, qualifying foreign taxes proved to be payable by a CFC are required to be translated to Rand at the average exchange rate for the year of assessment of the resident in which an amount of net income is included in taxable income.</w:t>
      </w:r>
    </w:p>
    <w:p w14:paraId="5F1E6838" w14:textId="77777777" w:rsidR="006370B7" w:rsidRPr="00FC0786" w:rsidRDefault="006370B7" w:rsidP="00FC0786">
      <w:pPr>
        <w:rPr>
          <w:b/>
        </w:rPr>
      </w:pPr>
      <w:r w:rsidRPr="00FC0786">
        <w:rPr>
          <w:b/>
        </w:rPr>
        <w:t>II. Reasons for change</w:t>
      </w:r>
    </w:p>
    <w:p w14:paraId="0CCDF82C" w14:textId="45390CA1" w:rsidR="00C7385D" w:rsidRPr="00C7385D" w:rsidRDefault="02827B0D" w:rsidP="4DA829A6">
      <w:pPr>
        <w:rPr>
          <w:rFonts w:eastAsia="Calibri" w:cs="Arial"/>
        </w:rPr>
      </w:pPr>
      <w:r w:rsidRPr="5FEEF3AA">
        <w:rPr>
          <w:rFonts w:eastAsia="Calibri" w:cs="Arial"/>
        </w:rPr>
        <w:t xml:space="preserve">As stated above, foreign taxes are required to be translated to Rand at the average exchange rate for the year of assessment of a resident in which an amount of net income is included in taxable income. However, the Act requires the amount of net income of the CFC to be translated by applying the average exchange rate for the foreign tax year of the CFC. Therefore, a mismatch arises in the event </w:t>
      </w:r>
      <w:r w:rsidR="5F799E24" w:rsidRPr="5FEEF3AA">
        <w:rPr>
          <w:rFonts w:eastAsia="Calibri" w:cs="Arial"/>
        </w:rPr>
        <w:t>that</w:t>
      </w:r>
      <w:r w:rsidRPr="5FEEF3AA">
        <w:rPr>
          <w:rFonts w:eastAsia="Calibri" w:cs="Arial"/>
        </w:rPr>
        <w:t xml:space="preserve"> the year of assessment of the resident and the foreign tax year of the CFC are different periods.  </w:t>
      </w:r>
    </w:p>
    <w:p w14:paraId="37CA0121" w14:textId="77777777" w:rsidR="006370B7" w:rsidRPr="00FC0786" w:rsidRDefault="006370B7" w:rsidP="00FC0786">
      <w:pPr>
        <w:rPr>
          <w:b/>
        </w:rPr>
      </w:pPr>
      <w:r w:rsidRPr="00FC0786">
        <w:rPr>
          <w:b/>
        </w:rPr>
        <w:t>III. Proposal</w:t>
      </w:r>
    </w:p>
    <w:p w14:paraId="0BA57CB0" w14:textId="622AB097" w:rsidR="00824441" w:rsidRPr="00C7385D" w:rsidRDefault="02827B0D" w:rsidP="00C7385D">
      <w:pPr>
        <w:pStyle w:val="4Body"/>
        <w:rPr>
          <w:color w:val="000000"/>
        </w:rPr>
      </w:pPr>
      <w:r w:rsidRPr="5FEEF3AA">
        <w:rPr>
          <w:color w:val="000000" w:themeColor="text1"/>
        </w:rPr>
        <w:t xml:space="preserve">In order to address this anomaly, it is proposed that the Act </w:t>
      </w:r>
      <w:bookmarkStart w:id="273" w:name="_Hlk167483856"/>
      <w:r w:rsidRPr="5FEEF3AA">
        <w:rPr>
          <w:color w:val="000000" w:themeColor="text1"/>
        </w:rPr>
        <w:t xml:space="preserve">be amended to align the translation </w:t>
      </w:r>
      <w:r w:rsidR="688F27D6" w:rsidRPr="5FEEF3AA">
        <w:rPr>
          <w:color w:val="000000" w:themeColor="text1"/>
        </w:rPr>
        <w:t xml:space="preserve">rules for foreign taxes proved to be payable </w:t>
      </w:r>
      <w:r w:rsidRPr="5FEEF3AA">
        <w:rPr>
          <w:color w:val="000000" w:themeColor="text1"/>
        </w:rPr>
        <w:t>and the inclusion of CFC net income.</w:t>
      </w:r>
    </w:p>
    <w:bookmarkEnd w:id="273"/>
    <w:p w14:paraId="077C0812" w14:textId="39ED2B5D" w:rsidR="008A559B" w:rsidRPr="008A559B" w:rsidRDefault="00CC3A7D" w:rsidP="00677478">
      <w:pPr>
        <w:pStyle w:val="4Body"/>
        <w:rPr>
          <w:b/>
          <w:color w:val="000000"/>
        </w:rPr>
      </w:pPr>
      <w:r w:rsidRPr="00FC0786">
        <w:rPr>
          <w:b/>
          <w:color w:val="000000"/>
        </w:rPr>
        <w:t>IV. Effective date</w:t>
      </w:r>
    </w:p>
    <w:p w14:paraId="2E5B1569" w14:textId="69924161" w:rsidR="00C7385D" w:rsidRDefault="02827B0D" w:rsidP="00C7385D">
      <w:pPr>
        <w:pStyle w:val="4Body"/>
        <w:rPr>
          <w:color w:val="000000"/>
        </w:rPr>
      </w:pPr>
      <w:bookmarkStart w:id="274" w:name="_Hlk141195559"/>
      <w:r w:rsidRPr="5FEEF3AA">
        <w:rPr>
          <w:color w:val="000000" w:themeColor="text1"/>
        </w:rPr>
        <w:t>The proposed amendment come</w:t>
      </w:r>
      <w:r w:rsidR="2D626B92" w:rsidRPr="5FEEF3AA">
        <w:rPr>
          <w:color w:val="000000" w:themeColor="text1"/>
        </w:rPr>
        <w:t>s</w:t>
      </w:r>
      <w:r w:rsidRPr="5FEEF3AA">
        <w:rPr>
          <w:color w:val="000000" w:themeColor="text1"/>
        </w:rPr>
        <w:t xml:space="preserve"> into operation on </w:t>
      </w:r>
      <w:r w:rsidR="6EBE5D6E" w:rsidRPr="5FEEF3AA">
        <w:rPr>
          <w:color w:val="000000" w:themeColor="text1"/>
        </w:rPr>
        <w:t>3</w:t>
      </w:r>
      <w:r w:rsidRPr="5FEEF3AA">
        <w:rPr>
          <w:color w:val="000000" w:themeColor="text1"/>
        </w:rPr>
        <w:t xml:space="preserve">1 </w:t>
      </w:r>
      <w:r w:rsidR="0CC65EFA" w:rsidRPr="5FEEF3AA">
        <w:rPr>
          <w:color w:val="000000" w:themeColor="text1"/>
        </w:rPr>
        <w:t>December 2024</w:t>
      </w:r>
      <w:r w:rsidRPr="5FEEF3AA">
        <w:rPr>
          <w:color w:val="000000" w:themeColor="text1"/>
        </w:rPr>
        <w:t xml:space="preserve"> and appl</w:t>
      </w:r>
      <w:r w:rsidR="171266D5" w:rsidRPr="5FEEF3AA">
        <w:rPr>
          <w:color w:val="000000" w:themeColor="text1"/>
        </w:rPr>
        <w:t>ies</w:t>
      </w:r>
      <w:r w:rsidRPr="5FEEF3AA">
        <w:rPr>
          <w:color w:val="000000" w:themeColor="text1"/>
        </w:rPr>
        <w:t xml:space="preserve"> in respect of foreign tax years of CFCs ending on or after that date.</w:t>
      </w:r>
    </w:p>
    <w:p w14:paraId="3EC1EB2F" w14:textId="77777777" w:rsidR="005641A9" w:rsidRDefault="005641A9" w:rsidP="00C7385D">
      <w:pPr>
        <w:pStyle w:val="4Body"/>
        <w:rPr>
          <w:color w:val="000000"/>
        </w:rPr>
      </w:pPr>
    </w:p>
    <w:p w14:paraId="7A9CF0D3" w14:textId="77777777" w:rsidR="00B42771" w:rsidRDefault="00B42771" w:rsidP="00C7385D">
      <w:pPr>
        <w:pStyle w:val="4Body"/>
        <w:rPr>
          <w:color w:val="000000"/>
        </w:rPr>
      </w:pPr>
    </w:p>
    <w:p w14:paraId="4DE3266C" w14:textId="77777777" w:rsidR="00B42771" w:rsidRDefault="00B42771" w:rsidP="00C7385D">
      <w:pPr>
        <w:pStyle w:val="4Body"/>
        <w:rPr>
          <w:color w:val="000000"/>
        </w:rPr>
      </w:pPr>
    </w:p>
    <w:p w14:paraId="5203C618" w14:textId="77777777" w:rsidR="00B42771" w:rsidRPr="00C7385D" w:rsidRDefault="00B42771" w:rsidP="00C7385D">
      <w:pPr>
        <w:pStyle w:val="4Body"/>
        <w:rPr>
          <w:color w:val="000000"/>
        </w:rPr>
      </w:pPr>
    </w:p>
    <w:p w14:paraId="2C2850D8" w14:textId="4825C98A" w:rsidR="0071790C" w:rsidRPr="005E29F8" w:rsidRDefault="007F69C7" w:rsidP="009709FD">
      <w:pPr>
        <w:pStyle w:val="Heading3"/>
      </w:pPr>
      <w:bookmarkStart w:id="275" w:name="_Toc198158761"/>
      <w:r w:rsidRPr="005E29F8">
        <w:t>REFINING THE DEFINITION OF “EXCHANGE ITEM” FOR DETERMINING EXCHANGE DIFFERENCES</w:t>
      </w:r>
      <w:bookmarkEnd w:id="275"/>
    </w:p>
    <w:p w14:paraId="318773FF" w14:textId="43B5B637" w:rsidR="003347C9" w:rsidRDefault="003347C9" w:rsidP="003347C9">
      <w:r w:rsidRPr="00CC5D2D">
        <w:t>[</w:t>
      </w:r>
      <w:r w:rsidRPr="008A559B">
        <w:t>Applicable provision:</w:t>
      </w:r>
      <w:r w:rsidR="0041092E" w:rsidRPr="0041092E">
        <w:rPr>
          <w:rFonts w:eastAsia="Calibri" w:cs="Arial"/>
          <w:sz w:val="24"/>
          <w:lang w:val="en-US"/>
        </w:rPr>
        <w:t xml:space="preserve"> </w:t>
      </w:r>
      <w:r w:rsidR="00071B02">
        <w:rPr>
          <w:lang w:val="en-US"/>
        </w:rPr>
        <w:t>S</w:t>
      </w:r>
      <w:r w:rsidR="003A124B" w:rsidRPr="003A124B">
        <w:rPr>
          <w:lang w:val="en-US"/>
        </w:rPr>
        <w:t>ection 24I of the Act</w:t>
      </w:r>
      <w:r w:rsidR="007C54FF" w:rsidRPr="008A559B">
        <w:t>]</w:t>
      </w:r>
    </w:p>
    <w:p w14:paraId="3479CFFC" w14:textId="77777777" w:rsidR="003347C9" w:rsidRPr="00FC0786" w:rsidRDefault="003347C9" w:rsidP="003347C9">
      <w:pPr>
        <w:rPr>
          <w:b/>
        </w:rPr>
      </w:pPr>
      <w:r w:rsidRPr="00FC0786">
        <w:rPr>
          <w:b/>
        </w:rPr>
        <w:t>I. Background</w:t>
      </w:r>
    </w:p>
    <w:p w14:paraId="165C6B04" w14:textId="349D1CA8" w:rsidR="00301A7F" w:rsidRPr="00301A7F" w:rsidRDefault="121584E1" w:rsidP="00D259EF">
      <w:pPr>
        <w:spacing w:line="259" w:lineRule="auto"/>
        <w:rPr>
          <w:rFonts w:eastAsia="Calibri" w:cs="Arial"/>
          <w:lang w:val="en-GB"/>
        </w:rPr>
      </w:pPr>
      <w:r w:rsidRPr="5FEEF3AA">
        <w:rPr>
          <w:rFonts w:eastAsia="Calibri" w:cs="Arial"/>
        </w:rPr>
        <w:t>A resident c</w:t>
      </w:r>
      <w:r w:rsidR="27B881AE" w:rsidRPr="5FEEF3AA">
        <w:rPr>
          <w:rFonts w:eastAsia="Calibri" w:cs="Arial"/>
        </w:rPr>
        <w:t>ompan</w:t>
      </w:r>
      <w:r w:rsidR="57ABAC44" w:rsidRPr="5FEEF3AA">
        <w:rPr>
          <w:rFonts w:eastAsia="Calibri" w:cs="Arial"/>
        </w:rPr>
        <w:t xml:space="preserve">y may </w:t>
      </w:r>
      <w:r w:rsidR="27B881AE" w:rsidRPr="5FEEF3AA">
        <w:rPr>
          <w:rFonts w:eastAsia="Calibri" w:cs="Arial"/>
        </w:rPr>
        <w:t xml:space="preserve">enter into financial arrangements </w:t>
      </w:r>
      <w:r w:rsidR="2642C21B" w:rsidRPr="5FEEF3AA">
        <w:rPr>
          <w:rFonts w:eastAsia="Calibri" w:cs="Arial"/>
        </w:rPr>
        <w:t xml:space="preserve">by acquiring preference shares in </w:t>
      </w:r>
      <w:r w:rsidR="249359FA" w:rsidRPr="5FEEF3AA">
        <w:rPr>
          <w:rFonts w:eastAsia="Calibri" w:cs="Arial"/>
        </w:rPr>
        <w:t xml:space="preserve">a non-resident company </w:t>
      </w:r>
      <w:r w:rsidR="0C1CB354" w:rsidRPr="5FEEF3AA">
        <w:rPr>
          <w:rFonts w:eastAsia="Calibri" w:cs="Arial"/>
        </w:rPr>
        <w:t xml:space="preserve">as well </w:t>
      </w:r>
      <w:r w:rsidR="27B881AE" w:rsidRPr="5FEEF3AA">
        <w:rPr>
          <w:rFonts w:eastAsia="Calibri" w:cs="Arial"/>
        </w:rPr>
        <w:t>cross-currency swap</w:t>
      </w:r>
      <w:r w:rsidR="030BA1F5" w:rsidRPr="5FEEF3AA">
        <w:rPr>
          <w:rFonts w:eastAsia="Calibri" w:cs="Arial"/>
        </w:rPr>
        <w:t xml:space="preserve"> agreement</w:t>
      </w:r>
      <w:r w:rsidR="27B881AE" w:rsidRPr="5FEEF3AA">
        <w:rPr>
          <w:rFonts w:eastAsia="Calibri" w:cs="Arial"/>
        </w:rPr>
        <w:t xml:space="preserve">s where interest payments and a principal amount in one currency are exchanged for </w:t>
      </w:r>
      <w:r w:rsidR="374CD873" w:rsidRPr="5FEEF3AA">
        <w:rPr>
          <w:rFonts w:eastAsia="Calibri" w:cs="Arial"/>
        </w:rPr>
        <w:t xml:space="preserve">a </w:t>
      </w:r>
      <w:r w:rsidR="27B881AE" w:rsidRPr="5FEEF3AA">
        <w:rPr>
          <w:rFonts w:eastAsia="Calibri" w:cs="Arial"/>
        </w:rPr>
        <w:t xml:space="preserve">principal amount and interest payments in a different currency. </w:t>
      </w:r>
      <w:r w:rsidR="565AE6FD" w:rsidRPr="5FEEF3AA">
        <w:rPr>
          <w:rFonts w:eastAsia="Calibri" w:cs="Arial"/>
          <w:lang w:val="en-GB"/>
        </w:rPr>
        <w:t>Although the</w:t>
      </w:r>
      <w:r w:rsidR="27B881AE" w:rsidRPr="5FEEF3AA">
        <w:rPr>
          <w:rFonts w:eastAsia="Calibri" w:cs="Arial"/>
          <w:lang w:val="en-GB"/>
        </w:rPr>
        <w:t xml:space="preserve"> preference shares are </w:t>
      </w:r>
      <w:r w:rsidR="16904CA3" w:rsidRPr="5FEEF3AA">
        <w:rPr>
          <w:rFonts w:eastAsia="Calibri" w:cs="Arial"/>
          <w:lang w:val="en-GB"/>
        </w:rPr>
        <w:t xml:space="preserve">in essence </w:t>
      </w:r>
      <w:r w:rsidR="6609DFA9" w:rsidRPr="5FEEF3AA">
        <w:rPr>
          <w:rFonts w:eastAsia="Calibri" w:cs="Arial"/>
          <w:lang w:val="en-GB"/>
        </w:rPr>
        <w:t>yielding an interest based return</w:t>
      </w:r>
      <w:r w:rsidR="7D32757F" w:rsidRPr="5FEEF3AA">
        <w:rPr>
          <w:rFonts w:eastAsia="Calibri" w:cs="Arial"/>
          <w:lang w:val="en-GB"/>
        </w:rPr>
        <w:t>,</w:t>
      </w:r>
      <w:r w:rsidR="6609DFA9" w:rsidRPr="5FEEF3AA">
        <w:rPr>
          <w:rFonts w:eastAsia="Calibri" w:cs="Arial"/>
          <w:lang w:val="en-GB"/>
        </w:rPr>
        <w:t xml:space="preserve"> they are </w:t>
      </w:r>
      <w:r w:rsidR="27B881AE" w:rsidRPr="5FEEF3AA">
        <w:rPr>
          <w:rFonts w:eastAsia="Calibri" w:cs="Arial"/>
          <w:lang w:val="en-GB"/>
        </w:rPr>
        <w:t>not hybrid equity instruments under section 8E of the Act. For financial reporting purposes by the resident company, the periodic payments in respect of the financial arrangement in relation to the foreign dividends received on the preference shares, interest paid on the cross-currency swap and interest received on the cross-currency swap are disclosed based on its economic substance as financial asset</w:t>
      </w:r>
      <w:r w:rsidR="6BB6A948" w:rsidRPr="5FEEF3AA">
        <w:rPr>
          <w:rFonts w:eastAsia="Calibri" w:cs="Arial"/>
          <w:lang w:val="en-GB"/>
        </w:rPr>
        <w:t>s</w:t>
      </w:r>
      <w:r w:rsidR="27B881AE" w:rsidRPr="5FEEF3AA">
        <w:rPr>
          <w:rFonts w:eastAsia="Calibri" w:cs="Arial"/>
          <w:lang w:val="en-GB"/>
        </w:rPr>
        <w:t>.</w:t>
      </w:r>
    </w:p>
    <w:p w14:paraId="135FE64F" w14:textId="77777777" w:rsidR="003347C9" w:rsidRPr="00FC0786" w:rsidRDefault="003347C9" w:rsidP="003347C9">
      <w:pPr>
        <w:rPr>
          <w:b/>
        </w:rPr>
      </w:pPr>
      <w:r w:rsidRPr="00FC0786">
        <w:rPr>
          <w:b/>
        </w:rPr>
        <w:t>II. Reasons for change</w:t>
      </w:r>
    </w:p>
    <w:p w14:paraId="6D4818DE" w14:textId="20755D3F" w:rsidR="00DC10DB" w:rsidRPr="003A124B" w:rsidRDefault="54A5433D" w:rsidP="5FEEF3AA">
      <w:pPr>
        <w:rPr>
          <w:rFonts w:eastAsia="Calibri" w:cs="Arial"/>
        </w:rPr>
      </w:pPr>
      <w:r w:rsidRPr="5FEEF3AA">
        <w:rPr>
          <w:rFonts w:eastAsia="Calibri" w:cs="Arial"/>
        </w:rPr>
        <w:t>A preference share that is paying a “dividend” that is in essence an interest yiel</w:t>
      </w:r>
      <w:r w:rsidR="64FB56EC" w:rsidRPr="5FEEF3AA">
        <w:rPr>
          <w:rFonts w:eastAsia="Calibri" w:cs="Arial"/>
        </w:rPr>
        <w:t>d is not currently treated as debt for purposes of section 24I. Furthermore, t</w:t>
      </w:r>
      <w:r w:rsidR="3DB3CFFA" w:rsidRPr="5FEEF3AA">
        <w:rPr>
          <w:rFonts w:eastAsia="Calibri" w:cs="Arial"/>
        </w:rPr>
        <w:t xml:space="preserve">he financial arrangement depicted above  creates </w:t>
      </w:r>
      <w:r w:rsidR="686D2EFF" w:rsidRPr="5FEEF3AA">
        <w:rPr>
          <w:rFonts w:eastAsia="Calibri" w:cs="Arial"/>
        </w:rPr>
        <w:t xml:space="preserve">a </w:t>
      </w:r>
      <w:r w:rsidR="3DB3CFFA" w:rsidRPr="5FEEF3AA">
        <w:rPr>
          <w:rFonts w:eastAsia="Calibri" w:cs="Arial"/>
        </w:rPr>
        <w:t xml:space="preserve">mismatch that results in a tax leakage as the exchange differences on the debt obligation are taxable under section 24I of the Act while the exchange differences in respect of the preference shares are not taxable under section 24I of the Act as there is no exchange item.  </w:t>
      </w:r>
    </w:p>
    <w:p w14:paraId="364E0B1B" w14:textId="77777777" w:rsidR="003347C9" w:rsidRPr="00FC0786" w:rsidRDefault="003347C9" w:rsidP="003347C9">
      <w:pPr>
        <w:rPr>
          <w:b/>
        </w:rPr>
      </w:pPr>
      <w:r w:rsidRPr="00FC0786">
        <w:rPr>
          <w:b/>
        </w:rPr>
        <w:t>III. Proposal</w:t>
      </w:r>
    </w:p>
    <w:p w14:paraId="35D1895F" w14:textId="66E7572B" w:rsidR="003A124B" w:rsidRPr="003A124B" w:rsidRDefault="3DB3CFFA" w:rsidP="003A124B">
      <w:pPr>
        <w:pStyle w:val="4Body"/>
        <w:rPr>
          <w:color w:val="000000"/>
        </w:rPr>
      </w:pPr>
      <w:r w:rsidRPr="5FEEF3AA">
        <w:rPr>
          <w:color w:val="000000" w:themeColor="text1"/>
        </w:rPr>
        <w:t xml:space="preserve">To address the tax leakage associated with </w:t>
      </w:r>
      <w:r w:rsidR="35B17A79" w:rsidRPr="5FEEF3AA">
        <w:rPr>
          <w:color w:val="000000" w:themeColor="text1"/>
        </w:rPr>
        <w:t xml:space="preserve">these preference shares and </w:t>
      </w:r>
      <w:r w:rsidRPr="5FEEF3AA">
        <w:rPr>
          <w:color w:val="000000" w:themeColor="text1"/>
        </w:rPr>
        <w:t xml:space="preserve">financial arrangements, it proposed that the definition of “exchange item” be extended to include </w:t>
      </w:r>
      <w:r w:rsidR="72E14470" w:rsidRPr="5FEEF3AA">
        <w:rPr>
          <w:color w:val="000000" w:themeColor="text1"/>
        </w:rPr>
        <w:t xml:space="preserve">preference </w:t>
      </w:r>
      <w:r w:rsidRPr="5FEEF3AA">
        <w:rPr>
          <w:color w:val="000000" w:themeColor="text1"/>
        </w:rPr>
        <w:t>shares</w:t>
      </w:r>
      <w:r w:rsidR="7FC5B7E1" w:rsidRPr="5FEEF3AA">
        <w:rPr>
          <w:color w:val="000000" w:themeColor="text1"/>
        </w:rPr>
        <w:t>, as defined in section 8EA(1)</w:t>
      </w:r>
      <w:r w:rsidRPr="5FEEF3AA">
        <w:rPr>
          <w:color w:val="000000" w:themeColor="text1"/>
        </w:rPr>
        <w:t xml:space="preserve">.  </w:t>
      </w:r>
    </w:p>
    <w:p w14:paraId="69E01823" w14:textId="77777777" w:rsidR="003347C9" w:rsidRPr="008A559B" w:rsidRDefault="003347C9" w:rsidP="003347C9">
      <w:pPr>
        <w:pStyle w:val="4Body"/>
        <w:rPr>
          <w:b/>
          <w:color w:val="000000"/>
        </w:rPr>
      </w:pPr>
      <w:r w:rsidRPr="00FC0786">
        <w:rPr>
          <w:b/>
          <w:color w:val="000000"/>
        </w:rPr>
        <w:t>IV. Effective date</w:t>
      </w:r>
    </w:p>
    <w:p w14:paraId="75CB92BF" w14:textId="5407F140" w:rsidR="003A124B" w:rsidRPr="003A124B" w:rsidRDefault="3DB3CFFA" w:rsidP="4DA829A6">
      <w:pPr>
        <w:rPr>
          <w:rFonts w:eastAsia="Arial"/>
        </w:rPr>
      </w:pPr>
      <w:bookmarkStart w:id="276" w:name="_Hlk172261750"/>
      <w:bookmarkEnd w:id="274"/>
      <w:r w:rsidRPr="5FEEF3AA">
        <w:rPr>
          <w:rFonts w:eastAsia="Arial"/>
        </w:rPr>
        <w:t>The proposed amendment come</w:t>
      </w:r>
      <w:r w:rsidR="25DC5340" w:rsidRPr="5FEEF3AA">
        <w:rPr>
          <w:rFonts w:eastAsia="Arial"/>
        </w:rPr>
        <w:t>s</w:t>
      </w:r>
      <w:r w:rsidRPr="5FEEF3AA">
        <w:rPr>
          <w:rFonts w:eastAsia="Arial"/>
        </w:rPr>
        <w:t xml:space="preserve"> into operation on 1 January 202</w:t>
      </w:r>
      <w:r w:rsidR="48E8EB25" w:rsidRPr="5FEEF3AA">
        <w:rPr>
          <w:rFonts w:eastAsia="Arial"/>
        </w:rPr>
        <w:t>5</w:t>
      </w:r>
      <w:r w:rsidRPr="5FEEF3AA">
        <w:rPr>
          <w:rFonts w:eastAsia="Arial"/>
        </w:rPr>
        <w:t xml:space="preserve"> and appl</w:t>
      </w:r>
      <w:r w:rsidR="48E8EB25" w:rsidRPr="5FEEF3AA">
        <w:rPr>
          <w:rFonts w:eastAsia="Arial"/>
        </w:rPr>
        <w:t>ies</w:t>
      </w:r>
      <w:r w:rsidRPr="5FEEF3AA">
        <w:rPr>
          <w:rFonts w:eastAsia="Arial"/>
        </w:rPr>
        <w:t xml:space="preserve"> in respect of years of assessment commencing on or after that date.</w:t>
      </w:r>
    </w:p>
    <w:bookmarkEnd w:id="276"/>
    <w:p w14:paraId="32633B8B" w14:textId="77777777" w:rsidR="0071790C" w:rsidRDefault="0071790C" w:rsidP="003347C9">
      <w:pPr>
        <w:rPr>
          <w:rFonts w:eastAsia="Arial"/>
          <w:lang w:val="en-US"/>
        </w:rPr>
      </w:pPr>
    </w:p>
    <w:p w14:paraId="22C24588" w14:textId="49A49AD9" w:rsidR="003347C9" w:rsidRPr="005E29F8" w:rsidRDefault="32E7B223" w:rsidP="009709FD">
      <w:pPr>
        <w:pStyle w:val="Heading3"/>
      </w:pPr>
      <w:bookmarkStart w:id="277" w:name="_Hlk171976679"/>
      <w:bookmarkStart w:id="278" w:name="_Toc198158762"/>
      <w:r>
        <w:t xml:space="preserve">REVIEWING THE </w:t>
      </w:r>
      <w:r w:rsidR="7F80544F">
        <w:t>TAX TREATMENT OF</w:t>
      </w:r>
      <w:r>
        <w:t xml:space="preserve"> EXCHANGE DIFFERENCES ON FOREIGN EXCHANGE TRANSACTIONS</w:t>
      </w:r>
      <w:r w:rsidR="3D80D358">
        <w:t xml:space="preserve"> WHERE TRADE IS NOT CARRIED ON</w:t>
      </w:r>
      <w:bookmarkEnd w:id="277"/>
      <w:bookmarkEnd w:id="278"/>
    </w:p>
    <w:p w14:paraId="11F249B3" w14:textId="75E624A8" w:rsidR="003347C9" w:rsidRPr="003347C9" w:rsidRDefault="003347C9" w:rsidP="003347C9">
      <w:pPr>
        <w:rPr>
          <w:rFonts w:eastAsia="Arial"/>
        </w:rPr>
      </w:pPr>
      <w:r w:rsidRPr="003347C9">
        <w:rPr>
          <w:rFonts w:eastAsia="Arial"/>
        </w:rPr>
        <w:t xml:space="preserve">[Applicable provision: </w:t>
      </w:r>
      <w:r w:rsidR="00AD0A44" w:rsidRPr="00AD0A44">
        <w:rPr>
          <w:rFonts w:eastAsia="Arial"/>
          <w:lang w:val="en-US"/>
        </w:rPr>
        <w:t>Section 24I of the Act</w:t>
      </w:r>
      <w:r w:rsidRPr="003347C9">
        <w:rPr>
          <w:rFonts w:eastAsia="Arial"/>
        </w:rPr>
        <w:t>]</w:t>
      </w:r>
    </w:p>
    <w:p w14:paraId="170222F5" w14:textId="77777777" w:rsidR="003347C9" w:rsidRPr="003347C9" w:rsidRDefault="003347C9" w:rsidP="003347C9">
      <w:pPr>
        <w:rPr>
          <w:rFonts w:eastAsia="Arial"/>
          <w:b/>
        </w:rPr>
      </w:pPr>
      <w:r w:rsidRPr="003347C9">
        <w:rPr>
          <w:rFonts w:eastAsia="Arial"/>
          <w:b/>
        </w:rPr>
        <w:t>I. Background</w:t>
      </w:r>
    </w:p>
    <w:p w14:paraId="50EAF6D7" w14:textId="38C2FEE8" w:rsidR="00106654" w:rsidRPr="00106654" w:rsidRDefault="3ACEDE75" w:rsidP="00106654">
      <w:pPr>
        <w:rPr>
          <w:rFonts w:eastAsia="Arial"/>
        </w:rPr>
      </w:pPr>
      <w:r w:rsidRPr="5FEEF3AA">
        <w:rPr>
          <w:rFonts w:eastAsia="Arial"/>
          <w:lang w:val="en-US"/>
        </w:rPr>
        <w:t>S</w:t>
      </w:r>
      <w:r w:rsidR="0137DE27" w:rsidRPr="5FEEF3AA">
        <w:rPr>
          <w:rFonts w:eastAsia="Arial"/>
          <w:lang w:val="en-US"/>
        </w:rPr>
        <w:t xml:space="preserve">ection 20 of the Act enables </w:t>
      </w:r>
      <w:r w:rsidR="7849C1B5" w:rsidRPr="5FEEF3AA">
        <w:rPr>
          <w:rFonts w:eastAsia="Arial"/>
          <w:lang w:val="en-US"/>
        </w:rPr>
        <w:t>companies</w:t>
      </w:r>
      <w:r w:rsidR="0137DE27" w:rsidRPr="5FEEF3AA">
        <w:rPr>
          <w:rFonts w:eastAsia="Arial"/>
          <w:lang w:val="en-US"/>
        </w:rPr>
        <w:t xml:space="preserve"> to set off their balance of assessed losses carried forward from the preceding tax year against their income if the trading requirement in section 20 of the Act </w:t>
      </w:r>
      <w:r w:rsidR="2DA3C2DD" w:rsidRPr="5FEEF3AA">
        <w:rPr>
          <w:rFonts w:eastAsia="Arial"/>
          <w:lang w:val="en-US"/>
        </w:rPr>
        <w:t>is</w:t>
      </w:r>
      <w:r w:rsidR="0137DE27" w:rsidRPr="5FEEF3AA">
        <w:rPr>
          <w:rFonts w:eastAsia="Arial"/>
          <w:lang w:val="en-US"/>
        </w:rPr>
        <w:t xml:space="preserve"> met. </w:t>
      </w:r>
      <w:r w:rsidR="47BBB764" w:rsidRPr="5FEEF3AA">
        <w:rPr>
          <w:rFonts w:eastAsia="Arial"/>
          <w:lang w:val="en-US"/>
        </w:rPr>
        <w:t>If that is the case, a</w:t>
      </w:r>
      <w:r w:rsidR="0137DE27" w:rsidRPr="5FEEF3AA">
        <w:rPr>
          <w:rFonts w:eastAsia="Arial"/>
          <w:lang w:val="en-US"/>
        </w:rPr>
        <w:t xml:space="preserve">ny </w:t>
      </w:r>
      <w:proofErr w:type="spellStart"/>
      <w:r w:rsidR="0137DE27" w:rsidRPr="5FEEF3AA">
        <w:rPr>
          <w:rFonts w:eastAsia="Arial"/>
          <w:lang w:val="en-US"/>
        </w:rPr>
        <w:t>unutilised</w:t>
      </w:r>
      <w:proofErr w:type="spellEnd"/>
      <w:r w:rsidR="0137DE27" w:rsidRPr="5FEEF3AA">
        <w:rPr>
          <w:rFonts w:eastAsia="Arial"/>
          <w:lang w:val="en-US"/>
        </w:rPr>
        <w:t xml:space="preserve"> assessed loss balance may be carried forward to future years of assessment to be set off against future income. </w:t>
      </w:r>
    </w:p>
    <w:p w14:paraId="610C6AA0" w14:textId="13DBFD2C" w:rsidR="00106654" w:rsidRPr="00106654" w:rsidRDefault="00106654" w:rsidP="00106654">
      <w:pPr>
        <w:rPr>
          <w:rFonts w:eastAsia="Arial"/>
          <w:lang w:val="en-US"/>
        </w:rPr>
      </w:pPr>
      <w:r w:rsidRPr="00106654">
        <w:rPr>
          <w:rFonts w:eastAsia="Arial"/>
          <w:lang w:val="en-US"/>
        </w:rPr>
        <w:t xml:space="preserve">However, a company that does not carry on trade during a year of assessment forfeits the right to carry forward </w:t>
      </w:r>
      <w:r w:rsidR="00556951" w:rsidRPr="00556951">
        <w:rPr>
          <w:rFonts w:eastAsia="Arial"/>
          <w:lang w:val="en-US"/>
        </w:rPr>
        <w:t xml:space="preserve">and </w:t>
      </w:r>
      <w:proofErr w:type="spellStart"/>
      <w:r w:rsidR="00556951" w:rsidRPr="00556951">
        <w:rPr>
          <w:rFonts w:eastAsia="Arial"/>
          <w:lang w:val="en-US"/>
        </w:rPr>
        <w:t>utilise</w:t>
      </w:r>
      <w:proofErr w:type="spellEnd"/>
      <w:r w:rsidR="00556951" w:rsidRPr="00556951">
        <w:rPr>
          <w:rFonts w:eastAsia="Arial"/>
          <w:lang w:val="en-US"/>
        </w:rPr>
        <w:t xml:space="preserve"> </w:t>
      </w:r>
      <w:r w:rsidRPr="00106654">
        <w:rPr>
          <w:rFonts w:eastAsia="Arial"/>
          <w:lang w:val="en-US"/>
        </w:rPr>
        <w:t>its assessed loss from the immediate preceding year of assessment.</w:t>
      </w:r>
    </w:p>
    <w:p w14:paraId="0A65B25A" w14:textId="798C39A1" w:rsidR="00106654" w:rsidRPr="00106654" w:rsidRDefault="0137DE27" w:rsidP="4DA829A6">
      <w:pPr>
        <w:rPr>
          <w:rFonts w:eastAsia="Arial"/>
        </w:rPr>
      </w:pPr>
      <w:r w:rsidRPr="5FEEF3AA">
        <w:rPr>
          <w:rFonts w:eastAsia="Arial"/>
        </w:rPr>
        <w:t>In general, section 24I</w:t>
      </w:r>
      <w:r w:rsidR="48E8EB25" w:rsidRPr="5FEEF3AA">
        <w:rPr>
          <w:rFonts w:eastAsia="Arial"/>
        </w:rPr>
        <w:t xml:space="preserve"> of the Act</w:t>
      </w:r>
      <w:r w:rsidRPr="5FEEF3AA">
        <w:rPr>
          <w:rFonts w:eastAsia="Arial"/>
        </w:rPr>
        <w:t xml:space="preserve"> deals with the income tax treatment of foreign exchange gains and losses on ‘exchange items’ as well as the premiums or like consideration received or paid in respect of foreign currency option contracts and any consideration paid </w:t>
      </w:r>
      <w:r w:rsidR="3433EA7F" w:rsidRPr="5FEEF3AA">
        <w:rPr>
          <w:rFonts w:eastAsia="Arial"/>
        </w:rPr>
        <w:t>to acquire</w:t>
      </w:r>
      <w:r w:rsidRPr="5FEEF3AA">
        <w:rPr>
          <w:rFonts w:eastAsia="Arial"/>
        </w:rPr>
        <w:t xml:space="preserve"> foreign currency option contracts</w:t>
      </w:r>
      <w:r w:rsidR="16BCA1B8" w:rsidRPr="5FEEF3AA">
        <w:rPr>
          <w:rFonts w:eastAsia="Arial"/>
        </w:rPr>
        <w:t>.</w:t>
      </w:r>
      <w:r w:rsidRPr="5FEEF3AA">
        <w:rPr>
          <w:rFonts w:eastAsia="Arial"/>
        </w:rPr>
        <w:t xml:space="preserve">  </w:t>
      </w:r>
    </w:p>
    <w:p w14:paraId="574449EF" w14:textId="77777777" w:rsidR="003347C9" w:rsidRPr="003347C9" w:rsidRDefault="003347C9" w:rsidP="003347C9">
      <w:pPr>
        <w:rPr>
          <w:rFonts w:eastAsia="Arial"/>
          <w:b/>
        </w:rPr>
      </w:pPr>
      <w:r w:rsidRPr="003347C9">
        <w:rPr>
          <w:rFonts w:eastAsia="Arial"/>
          <w:b/>
        </w:rPr>
        <w:t>II. Reasons for change</w:t>
      </w:r>
    </w:p>
    <w:p w14:paraId="201BD996" w14:textId="75BF32C5" w:rsidR="00B02D51" w:rsidRPr="00B02D51" w:rsidRDefault="643C7720" w:rsidP="00B02D51">
      <w:pPr>
        <w:rPr>
          <w:rFonts w:eastAsia="Arial"/>
          <w:lang w:val="en-US"/>
        </w:rPr>
      </w:pPr>
      <w:r w:rsidRPr="5FEEF3AA">
        <w:rPr>
          <w:rFonts w:eastAsia="Arial"/>
          <w:lang w:val="en-US"/>
        </w:rPr>
        <w:t xml:space="preserve">Currently, the legislation requires that exchange differences </w:t>
      </w:r>
      <w:r w:rsidR="4343C940" w:rsidRPr="5FEEF3AA">
        <w:rPr>
          <w:rFonts w:eastAsia="Arial"/>
          <w:lang w:val="en-US"/>
        </w:rPr>
        <w:t xml:space="preserve">and the other specified amounts </w:t>
      </w:r>
      <w:r w:rsidRPr="5FEEF3AA">
        <w:rPr>
          <w:rFonts w:eastAsia="Arial"/>
          <w:lang w:val="en-US"/>
        </w:rPr>
        <w:t xml:space="preserve">be included or deducted from income and companies are afforded this treatment irrespective of whether they are trading or not. However, where a </w:t>
      </w:r>
      <w:bookmarkStart w:id="279" w:name="_Hlk164854217"/>
      <w:r w:rsidRPr="5FEEF3AA">
        <w:rPr>
          <w:rFonts w:eastAsia="Arial"/>
          <w:lang w:val="en-US"/>
        </w:rPr>
        <w:t>company</w:t>
      </w:r>
      <w:r w:rsidR="3F99D19F" w:rsidRPr="5FEEF3AA">
        <w:rPr>
          <w:rFonts w:eastAsia="Arial"/>
          <w:lang w:val="en-US"/>
        </w:rPr>
        <w:t xml:space="preserve"> is not trading</w:t>
      </w:r>
      <w:bookmarkEnd w:id="279"/>
      <w:r w:rsidRPr="5FEEF3AA">
        <w:rPr>
          <w:rFonts w:eastAsia="Arial"/>
          <w:lang w:val="en-US"/>
        </w:rPr>
        <w:t xml:space="preserve">, it </w:t>
      </w:r>
      <w:r w:rsidR="653DD4B7" w:rsidRPr="5FEEF3AA">
        <w:rPr>
          <w:rFonts w:eastAsia="Arial"/>
          <w:lang w:val="en-US"/>
        </w:rPr>
        <w:t xml:space="preserve">is not allowed </w:t>
      </w:r>
      <w:r w:rsidRPr="5FEEF3AA">
        <w:rPr>
          <w:rFonts w:eastAsia="Arial"/>
          <w:lang w:val="en-US"/>
        </w:rPr>
        <w:t>to set off its balance of assessed loss brought forward from the previous year of assessment. Therefore</w:t>
      </w:r>
      <w:r w:rsidR="37D33CE0" w:rsidRPr="5FEEF3AA">
        <w:rPr>
          <w:rFonts w:eastAsia="Arial"/>
          <w:lang w:val="en-US"/>
        </w:rPr>
        <w:t>,</w:t>
      </w:r>
      <w:r w:rsidRPr="5FEEF3AA">
        <w:rPr>
          <w:rFonts w:eastAsia="Arial"/>
          <w:lang w:val="en-US"/>
        </w:rPr>
        <w:t xml:space="preserve"> exchange losses </w:t>
      </w:r>
      <w:r w:rsidR="493A0C7F" w:rsidRPr="5FEEF3AA">
        <w:rPr>
          <w:rFonts w:eastAsia="Arial"/>
          <w:lang w:val="en-US"/>
        </w:rPr>
        <w:t xml:space="preserve">and premiums and consideration paid for foreign currency option contracts in </w:t>
      </w:r>
      <w:r w:rsidRPr="5FEEF3AA">
        <w:rPr>
          <w:rFonts w:eastAsia="Arial"/>
          <w:lang w:val="en-US"/>
        </w:rPr>
        <w:t xml:space="preserve">previous years </w:t>
      </w:r>
      <w:r w:rsidR="62A8ECEF" w:rsidRPr="5FEEF3AA">
        <w:rPr>
          <w:rFonts w:eastAsia="Arial"/>
          <w:lang w:val="en-US"/>
        </w:rPr>
        <w:t xml:space="preserve">of </w:t>
      </w:r>
      <w:r w:rsidRPr="5FEEF3AA">
        <w:rPr>
          <w:rFonts w:eastAsia="Arial"/>
          <w:lang w:val="en-US"/>
        </w:rPr>
        <w:t xml:space="preserve">assessment that form part of the assessed loss are forfeited.  As a result, the company </w:t>
      </w:r>
      <w:r w:rsidR="5DAB40DB" w:rsidRPr="5FEEF3AA">
        <w:rPr>
          <w:rFonts w:eastAsia="Arial"/>
          <w:lang w:val="en-US"/>
        </w:rPr>
        <w:t xml:space="preserve">may </w:t>
      </w:r>
      <w:r w:rsidRPr="5FEEF3AA">
        <w:rPr>
          <w:rFonts w:eastAsia="Arial"/>
          <w:lang w:val="en-US"/>
        </w:rPr>
        <w:t xml:space="preserve">be taxed on its foreign exchange gains without taking into account exchange losses </w:t>
      </w:r>
      <w:r w:rsidR="5F81CA85" w:rsidRPr="5FEEF3AA">
        <w:rPr>
          <w:rFonts w:eastAsia="Arial"/>
          <w:lang w:val="en-US"/>
        </w:rPr>
        <w:t xml:space="preserve">and the other specified expenses </w:t>
      </w:r>
      <w:r w:rsidRPr="5FEEF3AA">
        <w:rPr>
          <w:rFonts w:eastAsia="Arial"/>
          <w:lang w:val="en-US"/>
        </w:rPr>
        <w:t xml:space="preserve">forfeited in previous years of assessment </w:t>
      </w:r>
      <w:r w:rsidR="6F2C97C9" w:rsidRPr="5FEEF3AA">
        <w:rPr>
          <w:rFonts w:eastAsia="Arial"/>
          <w:lang w:val="en-US"/>
        </w:rPr>
        <w:t>due to</w:t>
      </w:r>
      <w:r w:rsidRPr="5FEEF3AA">
        <w:rPr>
          <w:rFonts w:eastAsia="Arial"/>
          <w:lang w:val="en-US"/>
        </w:rPr>
        <w:t xml:space="preserve"> not trading. </w:t>
      </w:r>
    </w:p>
    <w:p w14:paraId="1EE7EC83" w14:textId="77777777" w:rsidR="003347C9" w:rsidRPr="003347C9" w:rsidRDefault="003347C9" w:rsidP="003347C9">
      <w:pPr>
        <w:rPr>
          <w:rFonts w:eastAsia="Arial"/>
          <w:b/>
        </w:rPr>
      </w:pPr>
      <w:r w:rsidRPr="003347C9">
        <w:rPr>
          <w:rFonts w:eastAsia="Arial"/>
          <w:b/>
        </w:rPr>
        <w:t>III. Proposal</w:t>
      </w:r>
    </w:p>
    <w:p w14:paraId="5F72F24F" w14:textId="14C3DE27" w:rsidR="00577E34" w:rsidRPr="00B02D51" w:rsidRDefault="643C7720" w:rsidP="00B02D51">
      <w:pPr>
        <w:rPr>
          <w:rFonts w:eastAsia="Arial"/>
          <w:lang w:val="en-US"/>
        </w:rPr>
      </w:pPr>
      <w:r w:rsidRPr="5FEEF3AA">
        <w:rPr>
          <w:rFonts w:eastAsia="Arial"/>
          <w:lang w:val="en-US"/>
        </w:rPr>
        <w:t xml:space="preserve">It is proposed that foreign exchange </w:t>
      </w:r>
      <w:r w:rsidR="0B33AFAF" w:rsidRPr="5FEEF3AA">
        <w:rPr>
          <w:rFonts w:eastAsia="Arial"/>
          <w:lang w:val="en-US"/>
        </w:rPr>
        <w:t xml:space="preserve">transaction </w:t>
      </w:r>
      <w:r w:rsidRPr="5FEEF3AA">
        <w:rPr>
          <w:rFonts w:eastAsia="Arial"/>
          <w:lang w:val="en-US"/>
        </w:rPr>
        <w:t xml:space="preserve">rules be amended </w:t>
      </w:r>
      <w:r w:rsidR="0BF4AEC1" w:rsidRPr="5FEEF3AA">
        <w:rPr>
          <w:rFonts w:eastAsia="Arial"/>
          <w:lang w:val="en-US"/>
        </w:rPr>
        <w:t xml:space="preserve">to </w:t>
      </w:r>
      <w:r w:rsidRPr="5FEEF3AA">
        <w:rPr>
          <w:rFonts w:eastAsia="Arial"/>
          <w:lang w:val="en-US"/>
        </w:rPr>
        <w:t>ring-</w:t>
      </w:r>
      <w:proofErr w:type="spellStart"/>
      <w:r w:rsidRPr="5FEEF3AA">
        <w:rPr>
          <w:rFonts w:eastAsia="Arial"/>
          <w:lang w:val="en-US"/>
        </w:rPr>
        <w:t>fenc</w:t>
      </w:r>
      <w:r w:rsidR="6EBAD13C" w:rsidRPr="5FEEF3AA">
        <w:rPr>
          <w:rFonts w:eastAsia="Arial"/>
          <w:lang w:val="en-US"/>
        </w:rPr>
        <w:t>e</w:t>
      </w:r>
      <w:r w:rsidR="72B5E481" w:rsidRPr="5FEEF3AA">
        <w:rPr>
          <w:rFonts w:eastAsia="Arial"/>
          <w:lang w:val="en-US"/>
        </w:rPr>
        <w:t>net</w:t>
      </w:r>
      <w:proofErr w:type="spellEnd"/>
      <w:r w:rsidR="72B5E481" w:rsidRPr="5FEEF3AA">
        <w:rPr>
          <w:rFonts w:eastAsia="Arial"/>
          <w:lang w:val="en-US"/>
        </w:rPr>
        <w:t xml:space="preserve"> expen</w:t>
      </w:r>
      <w:r w:rsidR="23934129" w:rsidRPr="5FEEF3AA">
        <w:rPr>
          <w:rFonts w:eastAsia="Arial"/>
          <w:lang w:val="en-US"/>
        </w:rPr>
        <w:t>diture</w:t>
      </w:r>
      <w:r w:rsidR="72B5E481" w:rsidRPr="5FEEF3AA">
        <w:rPr>
          <w:rFonts w:eastAsia="Arial"/>
          <w:lang w:val="en-US"/>
        </w:rPr>
        <w:t xml:space="preserve"> in respect of exchange items for companies tha</w:t>
      </w:r>
      <w:r w:rsidR="1CBADA13" w:rsidRPr="5FEEF3AA">
        <w:rPr>
          <w:rFonts w:eastAsia="Arial"/>
          <w:lang w:val="en-US"/>
        </w:rPr>
        <w:t>t</w:t>
      </w:r>
      <w:r w:rsidR="72B5E481" w:rsidRPr="5FEEF3AA">
        <w:rPr>
          <w:rFonts w:eastAsia="Arial"/>
          <w:lang w:val="en-US"/>
        </w:rPr>
        <w:t xml:space="preserve"> are not trading. </w:t>
      </w:r>
      <w:r w:rsidR="4978304B" w:rsidRPr="5FEEF3AA">
        <w:rPr>
          <w:rFonts w:eastAsia="Arial"/>
          <w:lang w:val="en-US"/>
        </w:rPr>
        <w:t xml:space="preserve">The net </w:t>
      </w:r>
      <w:r w:rsidR="20856035" w:rsidRPr="5FEEF3AA">
        <w:rPr>
          <w:rFonts w:eastAsia="Arial"/>
          <w:lang w:val="en-US"/>
        </w:rPr>
        <w:t>expenditure is deemed to be an exchange loss in the immediate</w:t>
      </w:r>
      <w:r w:rsidR="097CADE7" w:rsidRPr="5FEEF3AA">
        <w:rPr>
          <w:rFonts w:eastAsia="Arial"/>
          <w:lang w:val="en-US"/>
        </w:rPr>
        <w:t>l</w:t>
      </w:r>
      <w:r w:rsidR="20856035" w:rsidRPr="5FEEF3AA">
        <w:rPr>
          <w:rFonts w:eastAsia="Arial"/>
          <w:lang w:val="en-US"/>
        </w:rPr>
        <w:t>y succeeding year of asses</w:t>
      </w:r>
      <w:r w:rsidR="3FA319C2" w:rsidRPr="5FEEF3AA">
        <w:rPr>
          <w:rFonts w:eastAsia="Arial"/>
          <w:lang w:val="en-US"/>
        </w:rPr>
        <w:t>s</w:t>
      </w:r>
      <w:r w:rsidR="20856035" w:rsidRPr="5FEEF3AA">
        <w:rPr>
          <w:rFonts w:eastAsia="Arial"/>
          <w:lang w:val="en-US"/>
        </w:rPr>
        <w:t>ment</w:t>
      </w:r>
      <w:r w:rsidR="173E3C4D" w:rsidRPr="5FEEF3AA">
        <w:rPr>
          <w:rFonts w:eastAsia="Arial"/>
          <w:lang w:val="en-US"/>
        </w:rPr>
        <w:t xml:space="preserve">, which is available to </w:t>
      </w:r>
      <w:proofErr w:type="spellStart"/>
      <w:r w:rsidR="173E3C4D" w:rsidRPr="5FEEF3AA">
        <w:rPr>
          <w:rFonts w:eastAsia="Arial"/>
          <w:lang w:val="en-US"/>
        </w:rPr>
        <w:t>neutralise</w:t>
      </w:r>
      <w:proofErr w:type="spellEnd"/>
      <w:r w:rsidR="173E3C4D" w:rsidRPr="5FEEF3AA">
        <w:rPr>
          <w:rFonts w:eastAsia="Arial"/>
          <w:lang w:val="en-US"/>
        </w:rPr>
        <w:t xml:space="preserve"> exchange gains </w:t>
      </w:r>
      <w:r w:rsidR="6C3F2442" w:rsidRPr="5FEEF3AA">
        <w:rPr>
          <w:rFonts w:eastAsia="Arial"/>
          <w:lang w:val="en-US"/>
        </w:rPr>
        <w:t xml:space="preserve">as well as </w:t>
      </w:r>
      <w:r w:rsidR="78B4985C" w:rsidRPr="5FEEF3AA">
        <w:rPr>
          <w:rFonts w:eastAsia="Arial"/>
          <w:lang w:val="en-US"/>
        </w:rPr>
        <w:t xml:space="preserve">premiums or like consideration received in terms of foreign currency option </w:t>
      </w:r>
      <w:r w:rsidR="718606E9" w:rsidRPr="5FEEF3AA">
        <w:rPr>
          <w:rFonts w:eastAsia="Arial"/>
          <w:lang w:val="en-US"/>
        </w:rPr>
        <w:t>contracts.</w:t>
      </w:r>
      <w:r w:rsidRPr="5FEEF3AA">
        <w:rPr>
          <w:rFonts w:eastAsia="Arial"/>
          <w:lang w:val="en-US"/>
        </w:rPr>
        <w:t xml:space="preserve"> </w:t>
      </w:r>
    </w:p>
    <w:p w14:paraId="0876CF47" w14:textId="77777777" w:rsidR="003347C9" w:rsidRPr="003347C9" w:rsidRDefault="003347C9" w:rsidP="003347C9">
      <w:pPr>
        <w:rPr>
          <w:rFonts w:eastAsia="Arial"/>
          <w:b/>
          <w:lang w:val="en-US"/>
        </w:rPr>
      </w:pPr>
      <w:r w:rsidRPr="003347C9">
        <w:rPr>
          <w:rFonts w:eastAsia="Arial"/>
          <w:b/>
          <w:lang w:val="en-US"/>
        </w:rPr>
        <w:t>IV. Effective date</w:t>
      </w:r>
    </w:p>
    <w:p w14:paraId="5B53A5EE" w14:textId="5C2494AB" w:rsidR="00724DE9" w:rsidRPr="00106654" w:rsidRDefault="0137DE27" w:rsidP="00106654">
      <w:pPr>
        <w:rPr>
          <w:rFonts w:eastAsia="Arial"/>
          <w:lang w:val="en-US"/>
        </w:rPr>
      </w:pPr>
      <w:r w:rsidRPr="5FEEF3AA">
        <w:rPr>
          <w:rFonts w:eastAsia="Arial"/>
          <w:lang w:val="en-US"/>
        </w:rPr>
        <w:t>The amendment come</w:t>
      </w:r>
      <w:r w:rsidR="7A4E2AAA" w:rsidRPr="5FEEF3AA">
        <w:rPr>
          <w:rFonts w:eastAsia="Arial"/>
          <w:lang w:val="en-US"/>
        </w:rPr>
        <w:t>s</w:t>
      </w:r>
      <w:r w:rsidRPr="5FEEF3AA">
        <w:rPr>
          <w:rFonts w:eastAsia="Arial"/>
          <w:lang w:val="en-US"/>
        </w:rPr>
        <w:t xml:space="preserve"> into operation on 1 January 2025 and applies in respect of years of assessment commencing on or after that date.</w:t>
      </w:r>
    </w:p>
    <w:p w14:paraId="7263823B" w14:textId="77777777" w:rsidR="003347C9" w:rsidRPr="00295420" w:rsidRDefault="003347C9" w:rsidP="003347C9">
      <w:pPr>
        <w:rPr>
          <w:rFonts w:eastAsia="Arial"/>
          <w:lang w:val="en-US"/>
        </w:rPr>
      </w:pPr>
    </w:p>
    <w:p w14:paraId="2875B88F" w14:textId="3496A033" w:rsidR="00824441" w:rsidRDefault="000B3880" w:rsidP="00724DE9">
      <w:pPr>
        <w:jc w:val="center"/>
        <w:rPr>
          <w:rFonts w:eastAsia="Calibri"/>
          <w:lang w:val="en-US"/>
        </w:rPr>
      </w:pPr>
      <w:bookmarkStart w:id="280" w:name="_Hlk173409676"/>
      <w:r w:rsidRPr="000B3880">
        <w:rPr>
          <w:rFonts w:eastAsia="Calibri"/>
          <w:lang w:val="en-US"/>
        </w:rPr>
        <w:t>_</w:t>
      </w:r>
      <w:r w:rsidR="007E7447">
        <w:rPr>
          <w:rFonts w:eastAsia="Calibri"/>
          <w:lang w:val="en-US"/>
        </w:rPr>
        <w:t>___________________________</w:t>
      </w:r>
    </w:p>
    <w:bookmarkEnd w:id="280"/>
    <w:p w14:paraId="4EDDE12C" w14:textId="77777777" w:rsidR="00824441" w:rsidRPr="007E7447" w:rsidRDefault="00824441" w:rsidP="00FC0786">
      <w:pPr>
        <w:rPr>
          <w:rFonts w:eastAsia="Calibri"/>
          <w:lang w:val="en-US"/>
        </w:rPr>
      </w:pPr>
    </w:p>
    <w:p w14:paraId="1E60C32F" w14:textId="74B6CB28" w:rsidR="007504E4" w:rsidRPr="003177DB" w:rsidRDefault="007504E4" w:rsidP="002D5681">
      <w:pPr>
        <w:pStyle w:val="Heading2"/>
      </w:pPr>
      <w:bookmarkStart w:id="281" w:name="_Toc46433549"/>
      <w:bookmarkStart w:id="282" w:name="_Toc198158763"/>
      <w:r>
        <w:t>VALUE ADDED TAX</w:t>
      </w:r>
      <w:bookmarkEnd w:id="281"/>
      <w:bookmarkEnd w:id="282"/>
    </w:p>
    <w:p w14:paraId="012CA9A3" w14:textId="77777777" w:rsidR="0020322C" w:rsidRPr="00FC0786" w:rsidRDefault="0020322C" w:rsidP="00FC0786">
      <w:pPr>
        <w:pStyle w:val="ListParagraph"/>
        <w:numPr>
          <w:ilvl w:val="0"/>
          <w:numId w:val="17"/>
        </w:numPr>
        <w:rPr>
          <w:b/>
          <w:vanish/>
          <w:lang w:val="en-US"/>
        </w:rPr>
      </w:pPr>
      <w:bookmarkStart w:id="283" w:name="_Toc14437901"/>
      <w:bookmarkStart w:id="284" w:name="_Toc14440238"/>
      <w:bookmarkStart w:id="285" w:name="_Toc14440295"/>
      <w:bookmarkStart w:id="286" w:name="_Toc14441830"/>
      <w:bookmarkStart w:id="287" w:name="_Toc24123798"/>
      <w:bookmarkStart w:id="288" w:name="_Toc29908451"/>
      <w:bookmarkStart w:id="289" w:name="_Toc29908500"/>
      <w:bookmarkStart w:id="290" w:name="_Toc29909397"/>
      <w:bookmarkStart w:id="291" w:name="_Toc29911443"/>
      <w:bookmarkStart w:id="292" w:name="_Toc30067446"/>
      <w:bookmarkStart w:id="293" w:name="_Toc30067520"/>
      <w:bookmarkStart w:id="294" w:name="_Toc30067659"/>
      <w:bookmarkStart w:id="295" w:name="_Toc30069413"/>
      <w:bookmarkStart w:id="296" w:name="_Toc30169264"/>
      <w:bookmarkStart w:id="297" w:name="_Toc44513725"/>
      <w:bookmarkStart w:id="298" w:name="_Toc44513775"/>
      <w:bookmarkStart w:id="299" w:name="_Toc44664652"/>
      <w:bookmarkStart w:id="300" w:name="_Toc44664694"/>
      <w:bookmarkStart w:id="301" w:name="_Toc44690654"/>
      <w:bookmarkStart w:id="302" w:name="_Toc44690700"/>
      <w:bookmarkStart w:id="303" w:name="_Toc44690855"/>
      <w:bookmarkStart w:id="304" w:name="_Toc45045443"/>
      <w:bookmarkStart w:id="305" w:name="_Toc45051041"/>
      <w:bookmarkStart w:id="306" w:name="_Toc45051086"/>
      <w:bookmarkStart w:id="307" w:name="_Toc45051839"/>
      <w:bookmarkStart w:id="308" w:name="_Toc45051884"/>
      <w:bookmarkStart w:id="309" w:name="_Toc45492843"/>
      <w:bookmarkStart w:id="310" w:name="_Toc45492889"/>
      <w:bookmarkStart w:id="311" w:name="_Toc45526741"/>
      <w:bookmarkStart w:id="312" w:name="_Toc45540344"/>
      <w:bookmarkStart w:id="313" w:name="_Toc45540396"/>
      <w:bookmarkStart w:id="314" w:name="_Toc45541221"/>
      <w:bookmarkStart w:id="315" w:name="_Toc45545744"/>
      <w:bookmarkStart w:id="316" w:name="_Toc45545796"/>
      <w:bookmarkStart w:id="317" w:name="_Toc45621795"/>
      <w:bookmarkStart w:id="318" w:name="_Toc45636864"/>
      <w:bookmarkStart w:id="319" w:name="_Toc45795513"/>
      <w:bookmarkStart w:id="320" w:name="_Toc45795695"/>
      <w:bookmarkStart w:id="321" w:name="_Toc46158345"/>
      <w:bookmarkStart w:id="322" w:name="_Toc46158452"/>
      <w:bookmarkStart w:id="323" w:name="_Toc46158601"/>
      <w:bookmarkStart w:id="324" w:name="_Toc46159131"/>
      <w:bookmarkStart w:id="325" w:name="_Toc46159186"/>
      <w:bookmarkStart w:id="326" w:name="_Toc46416089"/>
      <w:bookmarkStart w:id="327" w:name="_Toc46419936"/>
      <w:bookmarkStart w:id="328" w:name="_Toc46419989"/>
      <w:bookmarkStart w:id="329" w:name="_Toc46433307"/>
      <w:bookmarkStart w:id="330" w:name="_Toc46433360"/>
      <w:bookmarkStart w:id="331" w:name="_Toc46433550"/>
      <w:bookmarkStart w:id="332" w:name="_Toc4650403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2AA999A" w14:textId="08EC2D3A" w:rsidR="002E4850" w:rsidRPr="005E29F8" w:rsidRDefault="00E3068B" w:rsidP="009709FD">
      <w:pPr>
        <w:pStyle w:val="Heading3"/>
      </w:pPr>
      <w:bookmarkStart w:id="333" w:name="_Toc198158764"/>
      <w:r w:rsidRPr="005E29F8">
        <w:t>PROVIDING VAT RELIEF FOR NON-RESIDENT LESSORS OF PARTS OF SHIPS, AIRCRAFT OR ROLLING STOCK REQUIRED TO DEREGISTER AS A RESULT OF RECENT AMENDMENTS TO THE VAT ACT</w:t>
      </w:r>
      <w:bookmarkEnd w:id="333"/>
    </w:p>
    <w:p w14:paraId="15D38EB3" w14:textId="0244D2B1" w:rsidR="002E4850" w:rsidRPr="002E4850" w:rsidRDefault="00D961B5" w:rsidP="00FC0786">
      <w:pPr>
        <w:rPr>
          <w:lang w:val="en-US"/>
        </w:rPr>
      </w:pPr>
      <w:r w:rsidRPr="00CF613E">
        <w:t>[</w:t>
      </w:r>
      <w:r w:rsidR="007F78DE" w:rsidRPr="007F78DE">
        <w:t xml:space="preserve">Applicable provisions: </w:t>
      </w:r>
      <w:r w:rsidR="00606B5E" w:rsidRPr="00606B5E">
        <w:rPr>
          <w:lang w:val="en-US"/>
        </w:rPr>
        <w:t>New proviso to section 8(2</w:t>
      </w:r>
      <w:r w:rsidR="00606B5E">
        <w:rPr>
          <w:lang w:val="en-US"/>
        </w:rPr>
        <w:t xml:space="preserve">) </w:t>
      </w:r>
      <w:r w:rsidR="007F78DE" w:rsidRPr="007F78DE">
        <w:rPr>
          <w:lang w:val="en-US"/>
        </w:rPr>
        <w:t xml:space="preserve">of </w:t>
      </w:r>
      <w:r w:rsidR="00C80A27" w:rsidRPr="00C80A27">
        <w:t>the Value-Added Tax Act No. 89 of 1991 (“the VAT Act”</w:t>
      </w:r>
      <w:r w:rsidR="00B02D51">
        <w:t>)</w:t>
      </w:r>
      <w:r w:rsidRPr="00CF613E">
        <w:rPr>
          <w:lang w:val="en-US"/>
        </w:rPr>
        <w:t>]</w:t>
      </w:r>
    </w:p>
    <w:p w14:paraId="31FAA5FB" w14:textId="77777777" w:rsidR="003B243A" w:rsidRPr="00FC0786" w:rsidRDefault="003B243A" w:rsidP="003B243A">
      <w:pPr>
        <w:rPr>
          <w:b/>
        </w:rPr>
      </w:pPr>
      <w:r w:rsidRPr="00FC0786">
        <w:rPr>
          <w:b/>
        </w:rPr>
        <w:t>I. Background</w:t>
      </w:r>
    </w:p>
    <w:p w14:paraId="77BE6E77" w14:textId="6B8932B0" w:rsidR="003B243A" w:rsidRPr="00606B5E" w:rsidRDefault="003B243A" w:rsidP="003B243A">
      <w:pPr>
        <w:rPr>
          <w:rFonts w:eastAsia="Calibri" w:cs="Arial"/>
          <w:szCs w:val="22"/>
          <w:lang w:val="en-US"/>
        </w:rPr>
      </w:pPr>
      <w:r w:rsidRPr="00606B5E">
        <w:rPr>
          <w:rFonts w:eastAsia="Calibri" w:cs="Arial"/>
          <w:szCs w:val="22"/>
          <w:lang w:val="en-US"/>
        </w:rPr>
        <w:t xml:space="preserve">The definition of </w:t>
      </w:r>
      <w:r>
        <w:rPr>
          <w:rFonts w:eastAsia="Calibri" w:cs="Arial"/>
          <w:szCs w:val="22"/>
          <w:lang w:val="en-US"/>
        </w:rPr>
        <w:t>“</w:t>
      </w:r>
      <w:r w:rsidRPr="00606B5E">
        <w:rPr>
          <w:rFonts w:eastAsia="Calibri" w:cs="Arial"/>
          <w:szCs w:val="22"/>
          <w:lang w:val="en-US"/>
        </w:rPr>
        <w:t>enterprise</w:t>
      </w:r>
      <w:r>
        <w:rPr>
          <w:rFonts w:eastAsia="Calibri" w:cs="Arial"/>
          <w:szCs w:val="22"/>
          <w:lang w:val="en-US"/>
        </w:rPr>
        <w:t>”</w:t>
      </w:r>
      <w:r w:rsidRPr="00606B5E">
        <w:rPr>
          <w:rFonts w:eastAsia="Calibri" w:cs="Arial"/>
          <w:szCs w:val="22"/>
          <w:lang w:val="en-US"/>
        </w:rPr>
        <w:t xml:space="preserve"> in paragraph (</w:t>
      </w:r>
      <w:r w:rsidRPr="00606B5E">
        <w:rPr>
          <w:rFonts w:eastAsia="Calibri" w:cs="Arial"/>
          <w:i/>
          <w:iCs/>
          <w:szCs w:val="22"/>
          <w:lang w:val="en-US"/>
        </w:rPr>
        <w:t>a</w:t>
      </w:r>
      <w:r w:rsidRPr="00606B5E">
        <w:rPr>
          <w:rFonts w:eastAsia="Calibri" w:cs="Arial"/>
          <w:szCs w:val="22"/>
          <w:lang w:val="en-US"/>
        </w:rPr>
        <w:t>) of section 1(1) of the VAT Act means, in the case of a vendor, any enterprise or activity</w:t>
      </w:r>
      <w:r w:rsidR="00564611">
        <w:rPr>
          <w:rFonts w:eastAsia="Calibri" w:cs="Arial"/>
          <w:szCs w:val="22"/>
          <w:lang w:val="en-US"/>
        </w:rPr>
        <w:t xml:space="preserve"> which is</w:t>
      </w:r>
      <w:r w:rsidRPr="00606B5E">
        <w:rPr>
          <w:rFonts w:eastAsia="Calibri" w:cs="Arial"/>
          <w:szCs w:val="22"/>
          <w:lang w:val="en-US"/>
        </w:rPr>
        <w:t xml:space="preserve"> carried on continuously or regularly by any person in the Republic of South Africa (the Republic) or partly in the Republic and in the course or furtherance of which goods or services are supplied to any other person for a consideration, whether for a profit or not. </w:t>
      </w:r>
    </w:p>
    <w:p w14:paraId="5FA0B4BA" w14:textId="77B88E86" w:rsidR="003B243A" w:rsidRPr="00606B5E" w:rsidRDefault="003B243A" w:rsidP="003B243A">
      <w:pPr>
        <w:rPr>
          <w:rFonts w:eastAsia="Calibri" w:cs="Arial"/>
          <w:szCs w:val="22"/>
          <w:lang w:val="en-US"/>
        </w:rPr>
      </w:pPr>
      <w:r w:rsidRPr="00606B5E">
        <w:rPr>
          <w:rFonts w:eastAsia="Calibri" w:cs="Arial"/>
          <w:szCs w:val="22"/>
          <w:lang w:val="en-US"/>
        </w:rPr>
        <w:t xml:space="preserve">Notwithstanding the above, effective from 1 January 2023, where any person is neither a resident of the Republic, nor a registered vendor and </w:t>
      </w:r>
      <w:r w:rsidR="00564611">
        <w:rPr>
          <w:rFonts w:eastAsia="Calibri" w:cs="Arial"/>
          <w:szCs w:val="22"/>
          <w:lang w:val="en-US"/>
        </w:rPr>
        <w:t>that</w:t>
      </w:r>
      <w:r w:rsidRPr="00606B5E">
        <w:rPr>
          <w:rFonts w:eastAsia="Calibri" w:cs="Arial"/>
          <w:szCs w:val="22"/>
          <w:lang w:val="en-US"/>
        </w:rPr>
        <w:t xml:space="preserve"> person solely supplies or intends to supply to </w:t>
      </w:r>
      <w:r w:rsidR="00564611">
        <w:rPr>
          <w:rFonts w:eastAsia="Calibri" w:cs="Arial"/>
          <w:szCs w:val="22"/>
          <w:lang w:val="en-US"/>
        </w:rPr>
        <w:t>a</w:t>
      </w:r>
      <w:r w:rsidRPr="00606B5E">
        <w:rPr>
          <w:rFonts w:eastAsia="Calibri" w:cs="Arial"/>
          <w:szCs w:val="22"/>
          <w:lang w:val="en-US"/>
        </w:rPr>
        <w:t xml:space="preserve"> resident recipient the use or the right of use of ships, aircraft, rolling stock or parts directly in connection thereto under a rental agreement, that activity shall (subject to certain conditions), as per proviso (xiii) </w:t>
      </w:r>
      <w:r w:rsidR="0058714E">
        <w:rPr>
          <w:rFonts w:eastAsia="Calibri" w:cs="Arial"/>
          <w:szCs w:val="22"/>
          <w:lang w:val="en-US"/>
        </w:rPr>
        <w:t>of the</w:t>
      </w:r>
      <w:r w:rsidRPr="00606B5E">
        <w:rPr>
          <w:rFonts w:eastAsia="Calibri" w:cs="Arial"/>
          <w:szCs w:val="22"/>
          <w:lang w:val="en-US"/>
        </w:rPr>
        <w:t xml:space="preserve"> definition of </w:t>
      </w:r>
      <w:r>
        <w:rPr>
          <w:rFonts w:eastAsia="Calibri" w:cs="Arial"/>
          <w:szCs w:val="22"/>
          <w:lang w:val="en-US"/>
        </w:rPr>
        <w:t>”</w:t>
      </w:r>
      <w:r w:rsidRPr="00606B5E">
        <w:rPr>
          <w:rFonts w:eastAsia="Calibri" w:cs="Arial"/>
          <w:szCs w:val="22"/>
          <w:lang w:val="en-US"/>
        </w:rPr>
        <w:t>enterprise</w:t>
      </w:r>
      <w:r>
        <w:rPr>
          <w:rFonts w:eastAsia="Calibri" w:cs="Arial"/>
          <w:szCs w:val="22"/>
          <w:lang w:val="en-US"/>
        </w:rPr>
        <w:t>”</w:t>
      </w:r>
      <w:r w:rsidRPr="00606B5E">
        <w:rPr>
          <w:rFonts w:eastAsia="Calibri" w:cs="Arial"/>
          <w:szCs w:val="22"/>
          <w:lang w:val="en-US"/>
        </w:rPr>
        <w:t xml:space="preserve"> in section 1(1) in the VAT Act, be deemed not to be the carrying of an enterprise, irrespective of whether those goods are supplied for use in the Republic. </w:t>
      </w:r>
    </w:p>
    <w:p w14:paraId="33423A2F" w14:textId="77777777" w:rsidR="003B243A" w:rsidRDefault="003B243A" w:rsidP="003B243A">
      <w:pPr>
        <w:rPr>
          <w:b/>
        </w:rPr>
      </w:pPr>
      <w:r w:rsidRPr="00FC0786">
        <w:rPr>
          <w:b/>
        </w:rPr>
        <w:t>II. Reasons for change</w:t>
      </w:r>
    </w:p>
    <w:p w14:paraId="0EBEE529" w14:textId="77777777" w:rsidR="003B243A" w:rsidRPr="00606B5E" w:rsidRDefault="003B243A" w:rsidP="003B243A">
      <w:pPr>
        <w:rPr>
          <w:rFonts w:eastAsia="Calibri" w:cs="Arial"/>
          <w:szCs w:val="22"/>
        </w:rPr>
      </w:pPr>
      <w:r w:rsidRPr="00606B5E">
        <w:rPr>
          <w:rFonts w:eastAsia="Calibri" w:cs="Arial"/>
          <w:szCs w:val="22"/>
        </w:rPr>
        <w:t xml:space="preserve">Before the definition of ”enterprise” was amended on 1 April 2021, with the aim of effectively excluding foreign lessors of </w:t>
      </w:r>
      <w:r>
        <w:rPr>
          <w:rFonts w:eastAsia="Calibri" w:cs="Arial"/>
          <w:szCs w:val="22"/>
        </w:rPr>
        <w:t xml:space="preserve">ships, </w:t>
      </w:r>
      <w:r w:rsidRPr="00606B5E">
        <w:rPr>
          <w:rFonts w:eastAsia="Calibri" w:cs="Arial"/>
          <w:szCs w:val="22"/>
        </w:rPr>
        <w:t xml:space="preserve">aircraft and rolling stock from registering as VAT vendors in the Republic, if certain requirements were met, the Commissioner for </w:t>
      </w:r>
      <w:r>
        <w:rPr>
          <w:rFonts w:eastAsia="Calibri" w:cs="Arial"/>
          <w:szCs w:val="22"/>
        </w:rPr>
        <w:t xml:space="preserve">the </w:t>
      </w:r>
      <w:r w:rsidRPr="00606B5E">
        <w:rPr>
          <w:rFonts w:eastAsia="Calibri" w:cs="Arial"/>
          <w:szCs w:val="22"/>
        </w:rPr>
        <w:t>South African Revenue Service (SARS)</w:t>
      </w:r>
      <w:r>
        <w:rPr>
          <w:rFonts w:eastAsia="Calibri" w:cs="Arial"/>
          <w:szCs w:val="22"/>
        </w:rPr>
        <w:t xml:space="preserve"> </w:t>
      </w:r>
      <w:r w:rsidRPr="00606B5E">
        <w:rPr>
          <w:rFonts w:eastAsia="Calibri" w:cs="Arial"/>
          <w:szCs w:val="22"/>
        </w:rPr>
        <w:t xml:space="preserve">(the Commissioner) would issue VAT rulings, under section 72 of the VAT Act, to foreign lessors of </w:t>
      </w:r>
      <w:r>
        <w:rPr>
          <w:rFonts w:eastAsia="Calibri" w:cs="Arial"/>
          <w:szCs w:val="22"/>
        </w:rPr>
        <w:t xml:space="preserve">ships, </w:t>
      </w:r>
      <w:r w:rsidRPr="00606B5E">
        <w:rPr>
          <w:rFonts w:eastAsia="Calibri" w:cs="Arial"/>
          <w:szCs w:val="22"/>
        </w:rPr>
        <w:t xml:space="preserve">aircraft and rolling stock, allowing those lessors not to register for VAT purposes in the Republic. </w:t>
      </w:r>
    </w:p>
    <w:p w14:paraId="4C69FF54" w14:textId="77777777" w:rsidR="003B243A" w:rsidRPr="00606B5E" w:rsidRDefault="003B243A" w:rsidP="4DA829A6">
      <w:pPr>
        <w:rPr>
          <w:rFonts w:eastAsia="Calibri" w:cs="Arial"/>
        </w:rPr>
      </w:pPr>
      <w:r w:rsidRPr="4DA829A6">
        <w:rPr>
          <w:rFonts w:eastAsia="Calibri" w:cs="Arial"/>
        </w:rPr>
        <w:t xml:space="preserve">With the amendments to section 72 of the VAT Act effective 1 January 2022, the Commissioner was no longer able to issue the aforementioned rulings to foreign lessors of ships, aircraft and aircraft engines. This resulted in the foreign lessors of any items not specifically listed in proviso (xiii) to the definition of “enterprise” in section 1(1) of the VAT Act being required to register for VAT purposes. </w:t>
      </w:r>
    </w:p>
    <w:p w14:paraId="19752484" w14:textId="77777777" w:rsidR="003B243A" w:rsidRDefault="003B243A" w:rsidP="4DA829A6">
      <w:pPr>
        <w:rPr>
          <w:rFonts w:eastAsia="Calibri" w:cs="Arial"/>
        </w:rPr>
      </w:pPr>
      <w:r w:rsidRPr="4DA829A6">
        <w:rPr>
          <w:rFonts w:eastAsia="Calibri" w:cs="Arial"/>
        </w:rPr>
        <w:t xml:space="preserve">With effect from 1 January 2023, the definition of “enterprise” in section 1(1) of the VAT Act has been amended to further exclude foreign lessors of parts to ships, aircraft and rolling stock (such as aircraft engines), subject to certain requirements. The consequence of this amendment is therefore that foreign lessors of aircraft engines who are registered were now required to de-register for VAT. </w:t>
      </w:r>
    </w:p>
    <w:p w14:paraId="3E069E1E" w14:textId="2C7A214D" w:rsidR="003B243A" w:rsidRPr="00606B5E" w:rsidRDefault="003B243A" w:rsidP="4DA829A6">
      <w:pPr>
        <w:rPr>
          <w:rFonts w:eastAsia="Calibri" w:cs="Arial"/>
        </w:rPr>
      </w:pPr>
      <w:r w:rsidRPr="4DA829A6">
        <w:rPr>
          <w:rFonts w:eastAsia="Calibri" w:cs="Arial"/>
        </w:rPr>
        <w:t xml:space="preserve">Where the foreign lessor was required to de-register due to the introduction or any subsequent amendment to proviso (xiii) to the definition of “enterprise”, section 8(2) </w:t>
      </w:r>
      <w:r w:rsidR="00B02D51" w:rsidRPr="4DA829A6">
        <w:rPr>
          <w:rFonts w:eastAsia="Calibri" w:cs="Arial"/>
        </w:rPr>
        <w:t xml:space="preserve">of the VAT Act </w:t>
      </w:r>
      <w:r w:rsidRPr="4DA829A6">
        <w:rPr>
          <w:rFonts w:eastAsia="Calibri" w:cs="Arial"/>
        </w:rPr>
        <w:t xml:space="preserve">would be triggered. Having regard to the fact that the foreign lessor would not have been entitled to deduct input tax on the importation of the engine into the Republic (see paragraph (cc) of proviso (xiii) to the definition of “enterprise” in section 1(1) of the VAT Act), it would be incorrect to require the payment of output tax on the ceasing of an enterprise solely as a result of the change in legislation. </w:t>
      </w:r>
    </w:p>
    <w:p w14:paraId="1EECA74A" w14:textId="77777777" w:rsidR="003B243A" w:rsidRPr="00FC0786" w:rsidRDefault="003B243A" w:rsidP="003B243A">
      <w:pPr>
        <w:rPr>
          <w:b/>
        </w:rPr>
      </w:pPr>
      <w:r w:rsidRPr="00FC0786">
        <w:rPr>
          <w:b/>
        </w:rPr>
        <w:t>III. Proposal</w:t>
      </w:r>
    </w:p>
    <w:p w14:paraId="2ED2A840" w14:textId="23430ABD" w:rsidR="00A72F5D" w:rsidRPr="00500545" w:rsidRDefault="00A72F5D" w:rsidP="00A72F5D">
      <w:pPr>
        <w:rPr>
          <w:rFonts w:eastAsia="Arial"/>
          <w:lang w:val="en-US"/>
        </w:rPr>
      </w:pPr>
      <w:r w:rsidRPr="00500545">
        <w:rPr>
          <w:rFonts w:eastAsia="Arial"/>
          <w:lang w:val="en-US"/>
        </w:rPr>
        <w:t>Previously, foreign lessors of parts of ships, aircraft or rolling stock</w:t>
      </w:r>
      <w:r w:rsidRPr="5662236D">
        <w:rPr>
          <w:rFonts w:eastAsia="Arial"/>
          <w:lang w:val="en-US"/>
        </w:rPr>
        <w:t xml:space="preserve"> </w:t>
      </w:r>
      <w:r w:rsidRPr="00500545">
        <w:rPr>
          <w:rFonts w:eastAsia="Arial"/>
          <w:lang w:val="en-US"/>
        </w:rPr>
        <w:t>were required to register for VAT since they were not covered under the proviso (xiii) exclusion in the definition of “enterprise”. However, the</w:t>
      </w:r>
      <w:r w:rsidRPr="5662236D">
        <w:rPr>
          <w:rFonts w:eastAsia="Arial"/>
          <w:lang w:val="en-US"/>
        </w:rPr>
        <w:t xml:space="preserve"> amendment</w:t>
      </w:r>
      <w:r w:rsidRPr="00500545">
        <w:rPr>
          <w:rFonts w:eastAsia="Arial"/>
          <w:lang w:val="en-US"/>
        </w:rPr>
        <w:t xml:space="preserve"> to the VAT Act that was effective from 1 January 2023 implied that such foreign lessors were now required to deregister due to </w:t>
      </w:r>
      <w:r w:rsidRPr="5662236D">
        <w:rPr>
          <w:rFonts w:eastAsia="Arial"/>
          <w:lang w:val="en-US"/>
        </w:rPr>
        <w:t xml:space="preserve">the </w:t>
      </w:r>
      <w:r w:rsidRPr="00500545">
        <w:rPr>
          <w:rFonts w:eastAsia="Arial"/>
          <w:lang w:val="en-US"/>
        </w:rPr>
        <w:t>addition of the words “or parts directly in connection thereto” to the proviso (xiii) to the definition of “enterprise” in section 1(1) of the VAT Act. This resulted in an unintended consequence of such vendors now facing an output tax liability under section 8(2)</w:t>
      </w:r>
      <w:r>
        <w:rPr>
          <w:rFonts w:eastAsia="Arial"/>
          <w:lang w:val="en-US"/>
        </w:rPr>
        <w:t xml:space="preserve"> of the VAT Act</w:t>
      </w:r>
      <w:r w:rsidRPr="00500545">
        <w:rPr>
          <w:rFonts w:eastAsia="Arial"/>
          <w:lang w:val="en-US"/>
        </w:rPr>
        <w:t>, which was purely as a result of the legislation being amended. It is proposed that the VAT Act be amended to provide relief from this unintended consequence.</w:t>
      </w:r>
    </w:p>
    <w:p w14:paraId="1273607E" w14:textId="77777777" w:rsidR="003B243A" w:rsidRPr="00FC0786" w:rsidRDefault="003B243A" w:rsidP="003B243A">
      <w:pPr>
        <w:rPr>
          <w:b/>
        </w:rPr>
      </w:pPr>
      <w:r w:rsidRPr="00FC0786">
        <w:rPr>
          <w:b/>
        </w:rPr>
        <w:t>IV. Effective date</w:t>
      </w:r>
    </w:p>
    <w:p w14:paraId="6F498DD3" w14:textId="7E4097ED" w:rsidR="003B243A" w:rsidRPr="00606B5E" w:rsidRDefault="003B243A" w:rsidP="4DA829A6">
      <w:pPr>
        <w:rPr>
          <w:rFonts w:eastAsia="Arial"/>
        </w:rPr>
      </w:pPr>
      <w:r w:rsidRPr="4DA829A6">
        <w:rPr>
          <w:rFonts w:eastAsia="Arial"/>
        </w:rPr>
        <w:t xml:space="preserve">The proposed amendment </w:t>
      </w:r>
      <w:r w:rsidR="003D573B" w:rsidRPr="4DA829A6">
        <w:rPr>
          <w:rFonts w:eastAsia="Arial"/>
        </w:rPr>
        <w:t>is deemed to have</w:t>
      </w:r>
      <w:r w:rsidR="000F7A2A" w:rsidRPr="4DA829A6">
        <w:rPr>
          <w:rFonts w:eastAsia="Arial"/>
        </w:rPr>
        <w:t xml:space="preserve"> </w:t>
      </w:r>
      <w:r w:rsidRPr="4DA829A6">
        <w:rPr>
          <w:rFonts w:eastAsia="Arial"/>
        </w:rPr>
        <w:t>come into operation on 1 January 202</w:t>
      </w:r>
      <w:r w:rsidR="00A72F5D" w:rsidRPr="4DA829A6">
        <w:rPr>
          <w:rFonts w:eastAsia="Arial"/>
        </w:rPr>
        <w:t>3</w:t>
      </w:r>
      <w:r w:rsidRPr="4DA829A6">
        <w:rPr>
          <w:rFonts w:eastAsia="Arial"/>
        </w:rPr>
        <w:t>.</w:t>
      </w:r>
    </w:p>
    <w:p w14:paraId="6B0CB440" w14:textId="77777777" w:rsidR="00824441" w:rsidRDefault="00824441" w:rsidP="00135857">
      <w:pPr>
        <w:rPr>
          <w:rFonts w:eastAsia="Arial"/>
          <w:lang w:val="en-US"/>
        </w:rPr>
      </w:pPr>
    </w:p>
    <w:p w14:paraId="580A8F1B" w14:textId="35ECC11C" w:rsidR="00E3068B" w:rsidRPr="005E29F8" w:rsidRDefault="00E3068B" w:rsidP="009709FD">
      <w:pPr>
        <w:pStyle w:val="Heading3"/>
      </w:pPr>
      <w:bookmarkStart w:id="334" w:name="_Toc198158765"/>
      <w:r w:rsidRPr="005E29F8">
        <w:t>CLARIFYING THE VAT TREATMENT OF THE MUDARABA ISLAMIC FINANCING ARRANGEMENT</w:t>
      </w:r>
      <w:bookmarkEnd w:id="334"/>
    </w:p>
    <w:p w14:paraId="562235D2" w14:textId="2553892C" w:rsidR="00606B5E" w:rsidRPr="002E4850" w:rsidRDefault="00606B5E" w:rsidP="00606B5E">
      <w:pPr>
        <w:rPr>
          <w:lang w:val="en-US"/>
        </w:rPr>
      </w:pPr>
      <w:r w:rsidRPr="00A20794">
        <w:t>[</w:t>
      </w:r>
      <w:r w:rsidRPr="006835B2">
        <w:rPr>
          <w:rFonts w:eastAsia="Arial" w:cs="Arial"/>
          <w:color w:val="000000"/>
          <w:szCs w:val="22"/>
          <w:lang w:eastAsia="en-ZA"/>
        </w:rPr>
        <w:t xml:space="preserve">Applicable provision: </w:t>
      </w:r>
      <w:r w:rsidRPr="00606B5E">
        <w:rPr>
          <w:rFonts w:eastAsia="Arial" w:cs="Arial"/>
          <w:color w:val="000000"/>
          <w:szCs w:val="22"/>
          <w:lang w:eastAsia="en-ZA"/>
        </w:rPr>
        <w:t xml:space="preserve">Section 8A </w:t>
      </w:r>
      <w:r w:rsidRPr="007F78DE">
        <w:rPr>
          <w:rFonts w:eastAsia="Arial" w:cs="Arial"/>
          <w:color w:val="000000"/>
          <w:szCs w:val="22"/>
          <w:lang w:eastAsia="en-ZA"/>
        </w:rPr>
        <w:t>of the VAT Act</w:t>
      </w:r>
      <w:r w:rsidRPr="00A20794">
        <w:rPr>
          <w:lang w:val="en-US"/>
        </w:rPr>
        <w:t>]</w:t>
      </w:r>
    </w:p>
    <w:p w14:paraId="3A69DD7F" w14:textId="77777777" w:rsidR="003B243A" w:rsidRPr="00FC0786" w:rsidRDefault="003B243A" w:rsidP="003B243A">
      <w:pPr>
        <w:rPr>
          <w:b/>
        </w:rPr>
      </w:pPr>
      <w:r w:rsidRPr="00FC0786">
        <w:rPr>
          <w:b/>
        </w:rPr>
        <w:t>I. Background</w:t>
      </w:r>
    </w:p>
    <w:p w14:paraId="19B98764" w14:textId="29EB0189" w:rsidR="003B243A" w:rsidRDefault="003B243A" w:rsidP="00685A37">
      <w:pPr>
        <w:spacing w:after="5" w:line="249" w:lineRule="auto"/>
        <w:ind w:left="53" w:hanging="10"/>
        <w:rPr>
          <w:rFonts w:eastAsia="Arial" w:cs="Arial"/>
          <w:color w:val="000000"/>
          <w:szCs w:val="22"/>
          <w:lang w:val="en-US" w:eastAsia="en-ZA"/>
        </w:rPr>
      </w:pPr>
      <w:r w:rsidRPr="00606B5E">
        <w:rPr>
          <w:rFonts w:eastAsia="Arial" w:cs="Arial"/>
          <w:color w:val="000000"/>
          <w:szCs w:val="22"/>
          <w:lang w:val="en-US" w:eastAsia="en-ZA"/>
        </w:rPr>
        <w:t>Mudaraba contemplates a scenario where funds are deposited with the bank by a client. The bank in turn invests the funds deposited by the client in other Sharia arrangements. The client bears the risk of loss in respect of the funds and any return is divided between the client and the bank as agreed upon at the time of the inception of the contract between the parties. Income received by or accrued to a client in terms of a Mudaraba, as defined in s</w:t>
      </w:r>
      <w:r>
        <w:rPr>
          <w:rFonts w:eastAsia="Arial" w:cs="Arial"/>
          <w:color w:val="000000"/>
          <w:szCs w:val="22"/>
          <w:lang w:val="en-US" w:eastAsia="en-ZA"/>
        </w:rPr>
        <w:t xml:space="preserve">ection </w:t>
      </w:r>
      <w:r w:rsidRPr="00606B5E">
        <w:rPr>
          <w:rFonts w:eastAsia="Arial" w:cs="Arial"/>
          <w:color w:val="000000"/>
          <w:szCs w:val="22"/>
          <w:lang w:val="en-US" w:eastAsia="en-ZA"/>
        </w:rPr>
        <w:t>24JA</w:t>
      </w:r>
      <w:r w:rsidR="00A72F5D">
        <w:rPr>
          <w:rFonts w:eastAsia="Arial" w:cs="Arial"/>
          <w:color w:val="000000"/>
          <w:szCs w:val="22"/>
          <w:lang w:val="en-US" w:eastAsia="en-ZA"/>
        </w:rPr>
        <w:t xml:space="preserve"> of the Act</w:t>
      </w:r>
      <w:r w:rsidRPr="00606B5E">
        <w:rPr>
          <w:rFonts w:eastAsia="Arial" w:cs="Arial"/>
          <w:color w:val="000000"/>
          <w:szCs w:val="22"/>
          <w:lang w:val="en-US" w:eastAsia="en-ZA"/>
        </w:rPr>
        <w:t>, with very specific qualification criteria, is deemed to be interest for income tax purposes. The Mudaraba product is akin to a conventional transaction account or investment product (e.g. a fixed deposit).</w:t>
      </w:r>
    </w:p>
    <w:p w14:paraId="3EB73BA5" w14:textId="77777777" w:rsidR="00B42771" w:rsidRPr="00685A37" w:rsidRDefault="00B42771" w:rsidP="00685A37">
      <w:pPr>
        <w:spacing w:after="5" w:line="249" w:lineRule="auto"/>
        <w:ind w:left="53" w:hanging="10"/>
        <w:rPr>
          <w:rFonts w:eastAsia="Arial" w:cs="Arial"/>
          <w:color w:val="000000"/>
          <w:szCs w:val="22"/>
          <w:lang w:val="en-US" w:eastAsia="en-ZA"/>
        </w:rPr>
      </w:pPr>
    </w:p>
    <w:p w14:paraId="7D8BCA89" w14:textId="77777777" w:rsidR="003B243A" w:rsidRDefault="003B243A" w:rsidP="003B243A">
      <w:pPr>
        <w:spacing w:after="286"/>
        <w:ind w:left="53"/>
        <w:rPr>
          <w:rFonts w:eastAsia="Arial" w:cs="Arial"/>
          <w:color w:val="000000"/>
          <w:szCs w:val="22"/>
          <w:lang w:eastAsia="en-ZA"/>
        </w:rPr>
      </w:pPr>
      <w:r w:rsidRPr="00FC0786">
        <w:rPr>
          <w:b/>
        </w:rPr>
        <w:t>II. Reasons for change</w:t>
      </w:r>
      <w:r w:rsidRPr="00B96444">
        <w:rPr>
          <w:rFonts w:eastAsia="Arial" w:cs="Arial"/>
          <w:color w:val="000000"/>
          <w:szCs w:val="22"/>
          <w:lang w:eastAsia="en-ZA"/>
        </w:rPr>
        <w:t xml:space="preserve"> </w:t>
      </w:r>
    </w:p>
    <w:p w14:paraId="76E5E759" w14:textId="0F114993" w:rsidR="003B243A" w:rsidRDefault="003B243A" w:rsidP="003B243A">
      <w:pPr>
        <w:spacing w:after="5" w:line="249" w:lineRule="auto"/>
        <w:rPr>
          <w:rFonts w:eastAsia="Arial" w:cs="Arial"/>
          <w:color w:val="000000"/>
          <w:szCs w:val="22"/>
          <w:lang w:val="en-US" w:eastAsia="en-ZA"/>
        </w:rPr>
      </w:pPr>
      <w:r w:rsidRPr="00606B5E">
        <w:rPr>
          <w:rFonts w:eastAsia="Arial" w:cs="Arial"/>
          <w:color w:val="000000"/>
          <w:szCs w:val="22"/>
          <w:lang w:val="en-US" w:eastAsia="en-ZA"/>
        </w:rPr>
        <w:t xml:space="preserve">Section 8A of the VAT Act, which addresses Sharia-compliant financing arrangements deals with Murabaha and diminishing </w:t>
      </w:r>
      <w:proofErr w:type="spellStart"/>
      <w:r w:rsidRPr="00606B5E">
        <w:rPr>
          <w:rFonts w:eastAsia="Arial" w:cs="Arial"/>
          <w:color w:val="000000"/>
          <w:szCs w:val="22"/>
          <w:lang w:val="en-US" w:eastAsia="en-ZA"/>
        </w:rPr>
        <w:t>Musharaka</w:t>
      </w:r>
      <w:proofErr w:type="spellEnd"/>
      <w:r w:rsidRPr="00606B5E">
        <w:rPr>
          <w:rFonts w:eastAsia="Arial" w:cs="Arial"/>
          <w:color w:val="000000"/>
          <w:szCs w:val="22"/>
          <w:lang w:val="en-US" w:eastAsia="en-ZA"/>
        </w:rPr>
        <w:t xml:space="preserve"> products but not Mudaraba arrangements. This creates uncertainty as to whether Mudaraba profit share payments amount to consideration for taxable, exempt, or non-supplies for VAT purposes and potential misalignment with section 24JA of the IT Act (as amended) which determines that such amounts are deemed to be interest for income tax purposes.</w:t>
      </w:r>
    </w:p>
    <w:p w14:paraId="6CE92BA7" w14:textId="77777777" w:rsidR="003B243A" w:rsidRDefault="003B243A" w:rsidP="003B243A">
      <w:pPr>
        <w:spacing w:after="5" w:line="249" w:lineRule="auto"/>
        <w:rPr>
          <w:rFonts w:eastAsia="Arial" w:cs="Arial"/>
          <w:color w:val="000000"/>
          <w:szCs w:val="22"/>
          <w:lang w:val="en-US" w:eastAsia="en-ZA"/>
        </w:rPr>
      </w:pPr>
    </w:p>
    <w:p w14:paraId="483C9C47" w14:textId="1A526F54" w:rsidR="003B243A" w:rsidRPr="00606B5E" w:rsidRDefault="003B243A" w:rsidP="003B243A">
      <w:pPr>
        <w:spacing w:after="5" w:line="249" w:lineRule="auto"/>
        <w:rPr>
          <w:rFonts w:eastAsia="Arial" w:cs="Arial"/>
          <w:color w:val="000000"/>
          <w:szCs w:val="22"/>
          <w:lang w:eastAsia="en-ZA"/>
        </w:rPr>
      </w:pPr>
      <w:r>
        <w:rPr>
          <w:rFonts w:eastAsia="Arial" w:cs="Arial"/>
          <w:color w:val="000000"/>
          <w:szCs w:val="22"/>
          <w:lang w:val="en-US" w:eastAsia="en-ZA"/>
        </w:rPr>
        <w:t>In the case of a conventional finance structure, the supply of credit would be exempt under section 2(1)(</w:t>
      </w:r>
      <w:r w:rsidRPr="00783D6F">
        <w:rPr>
          <w:rFonts w:eastAsia="Arial" w:cs="Arial"/>
          <w:i/>
          <w:iCs/>
          <w:color w:val="000000"/>
          <w:szCs w:val="22"/>
          <w:lang w:val="en-US" w:eastAsia="en-ZA"/>
        </w:rPr>
        <w:t>f</w:t>
      </w:r>
      <w:r>
        <w:rPr>
          <w:rFonts w:eastAsia="Arial" w:cs="Arial"/>
          <w:color w:val="000000"/>
          <w:szCs w:val="22"/>
          <w:lang w:val="en-US" w:eastAsia="en-ZA"/>
        </w:rPr>
        <w:t>) of the VAT Act. In this regard, interest charged on the said supply of credit would not be subject to VAT whereas any “fee” would be subject to VAT under section 7</w:t>
      </w:r>
      <w:r w:rsidR="00B02D51">
        <w:rPr>
          <w:rFonts w:eastAsia="Arial" w:cs="Arial"/>
          <w:color w:val="000000"/>
          <w:szCs w:val="22"/>
          <w:lang w:val="en-US" w:eastAsia="en-ZA"/>
        </w:rPr>
        <w:t xml:space="preserve"> of the VAT Act,</w:t>
      </w:r>
      <w:r>
        <w:rPr>
          <w:rFonts w:eastAsia="Arial" w:cs="Arial"/>
          <w:color w:val="000000"/>
          <w:szCs w:val="22"/>
          <w:lang w:val="en-US" w:eastAsia="en-ZA"/>
        </w:rPr>
        <w:t xml:space="preserve"> as the proviso to section 2(1) </w:t>
      </w:r>
      <w:r w:rsidR="00B02D51">
        <w:rPr>
          <w:rFonts w:eastAsia="Arial" w:cs="Arial"/>
          <w:color w:val="000000"/>
          <w:szCs w:val="22"/>
          <w:lang w:val="en-US" w:eastAsia="en-ZA"/>
        </w:rPr>
        <w:t xml:space="preserve">of the VAT Act </w:t>
      </w:r>
      <w:r>
        <w:rPr>
          <w:rFonts w:eastAsia="Arial" w:cs="Arial"/>
          <w:color w:val="000000"/>
          <w:szCs w:val="22"/>
          <w:lang w:val="en-US" w:eastAsia="en-ZA"/>
        </w:rPr>
        <w:t xml:space="preserve">takes any fee as consideration out of the exemption.  </w:t>
      </w:r>
    </w:p>
    <w:p w14:paraId="58443E50" w14:textId="77777777" w:rsidR="003B243A" w:rsidRDefault="003B243A" w:rsidP="003B243A">
      <w:pPr>
        <w:spacing w:after="5" w:line="249" w:lineRule="auto"/>
        <w:rPr>
          <w:rFonts w:eastAsia="Arial" w:cs="Arial"/>
          <w:color w:val="000000"/>
          <w:szCs w:val="22"/>
          <w:lang w:eastAsia="en-ZA"/>
        </w:rPr>
      </w:pPr>
    </w:p>
    <w:p w14:paraId="4D1759D4" w14:textId="77777777" w:rsidR="003B243A" w:rsidRDefault="003B243A" w:rsidP="003B243A">
      <w:pPr>
        <w:rPr>
          <w:b/>
        </w:rPr>
      </w:pPr>
      <w:r w:rsidRPr="00FC0786">
        <w:rPr>
          <w:b/>
        </w:rPr>
        <w:t>III. Proposal</w:t>
      </w:r>
    </w:p>
    <w:p w14:paraId="13DE00E5" w14:textId="77777777" w:rsidR="003B243A" w:rsidRPr="004D5721" w:rsidRDefault="003B243A" w:rsidP="4DA829A6">
      <w:pPr>
        <w:rPr>
          <w:rFonts w:eastAsia="Arial" w:cs="Arial"/>
          <w:color w:val="000000"/>
          <w:lang w:eastAsia="en-ZA"/>
        </w:rPr>
      </w:pPr>
      <w:r w:rsidRPr="4DA829A6">
        <w:rPr>
          <w:rFonts w:eastAsia="Arial" w:cs="Arial"/>
          <w:color w:val="000000" w:themeColor="text1"/>
          <w:lang w:eastAsia="en-ZA"/>
        </w:rPr>
        <w:t xml:space="preserve">To ensure that there is parity between Sharia-compliant financing arrangements and no unanticipated VAT charge in any Mudaraba product, it is proposed that the return of the profit from this product be exempt from VAT.  </w:t>
      </w:r>
    </w:p>
    <w:p w14:paraId="46D513BA" w14:textId="77777777" w:rsidR="003B243A" w:rsidRDefault="003B243A" w:rsidP="003B243A">
      <w:pPr>
        <w:rPr>
          <w:b/>
        </w:rPr>
      </w:pPr>
      <w:r w:rsidRPr="00FC0786">
        <w:rPr>
          <w:b/>
        </w:rPr>
        <w:t>IV. Effective date</w:t>
      </w:r>
    </w:p>
    <w:p w14:paraId="7762ABCC" w14:textId="2540443A" w:rsidR="003B243A" w:rsidRPr="004D5721" w:rsidRDefault="6B1BED57" w:rsidP="003B243A">
      <w:r>
        <w:t>The proposed amendment come</w:t>
      </w:r>
      <w:r w:rsidR="786E332D">
        <w:t>s</w:t>
      </w:r>
      <w:r>
        <w:t xml:space="preserve"> into operation on 1 April 2025.</w:t>
      </w:r>
    </w:p>
    <w:p w14:paraId="4DF14F10" w14:textId="77777777" w:rsidR="00824441" w:rsidRPr="00E81AFE" w:rsidRDefault="00824441" w:rsidP="00E81AFE"/>
    <w:p w14:paraId="1578EB85" w14:textId="14477B97" w:rsidR="00E3068B" w:rsidRPr="005E29F8" w:rsidRDefault="00E3068B" w:rsidP="009709FD">
      <w:pPr>
        <w:pStyle w:val="Heading3"/>
      </w:pPr>
      <w:bookmarkStart w:id="335" w:name="_Toc198158766"/>
      <w:r w:rsidRPr="005E29F8">
        <w:t>CLARIFYING THE VAT TREATMENT OF SUPPLY OF SERVICES TO NON-RESIDENT SUBSIDIARIES OF COMPANIES BASED IN THE REPUBLIC</w:t>
      </w:r>
      <w:bookmarkEnd w:id="335"/>
    </w:p>
    <w:p w14:paraId="34208252" w14:textId="60D0714A" w:rsidR="004D5721" w:rsidRPr="003B243A" w:rsidRDefault="004D5721" w:rsidP="004D5721">
      <w:pPr>
        <w:rPr>
          <w:rFonts w:eastAsia="Arial" w:cs="Arial"/>
          <w:color w:val="000000"/>
          <w:szCs w:val="22"/>
          <w:lang w:val="en-US" w:eastAsia="en-ZA"/>
        </w:rPr>
      </w:pPr>
      <w:r w:rsidRPr="00A20794">
        <w:t>[</w:t>
      </w:r>
      <w:r w:rsidRPr="006835B2">
        <w:rPr>
          <w:rFonts w:eastAsia="Arial" w:cs="Arial"/>
          <w:color w:val="000000"/>
          <w:szCs w:val="22"/>
          <w:lang w:eastAsia="en-ZA"/>
        </w:rPr>
        <w:t xml:space="preserve">Applicable provision: </w:t>
      </w:r>
      <w:r w:rsidR="00724DE9">
        <w:rPr>
          <w:rFonts w:eastAsia="Arial" w:cs="Arial"/>
          <w:color w:val="000000"/>
          <w:szCs w:val="22"/>
          <w:lang w:val="en-US" w:eastAsia="en-ZA"/>
        </w:rPr>
        <w:t>S</w:t>
      </w:r>
      <w:r w:rsidR="003B243A" w:rsidRPr="003B243A">
        <w:rPr>
          <w:rFonts w:eastAsia="Arial" w:cs="Arial"/>
          <w:color w:val="000000"/>
          <w:szCs w:val="22"/>
          <w:lang w:val="en-US" w:eastAsia="en-ZA"/>
        </w:rPr>
        <w:t xml:space="preserve">ection 1 of the VAT Act: definition of “resident of the </w:t>
      </w:r>
      <w:r w:rsidR="00564611" w:rsidRPr="003B243A">
        <w:rPr>
          <w:rFonts w:eastAsia="Arial" w:cs="Arial"/>
          <w:color w:val="000000"/>
          <w:szCs w:val="22"/>
          <w:lang w:val="en-US" w:eastAsia="en-ZA"/>
        </w:rPr>
        <w:t>Republic</w:t>
      </w:r>
      <w:r w:rsidR="003B243A" w:rsidRPr="003B243A">
        <w:rPr>
          <w:rFonts w:eastAsia="Arial" w:cs="Arial"/>
          <w:color w:val="000000"/>
          <w:szCs w:val="22"/>
          <w:lang w:val="en-US" w:eastAsia="en-ZA"/>
        </w:rPr>
        <w:t>”]</w:t>
      </w:r>
    </w:p>
    <w:p w14:paraId="4B7BA9CF" w14:textId="77777777" w:rsidR="003B243A" w:rsidRPr="00FC0786" w:rsidRDefault="003B243A" w:rsidP="003B243A">
      <w:pPr>
        <w:rPr>
          <w:b/>
        </w:rPr>
      </w:pPr>
      <w:r w:rsidRPr="00FC0786">
        <w:rPr>
          <w:b/>
        </w:rPr>
        <w:t>I. Background</w:t>
      </w:r>
    </w:p>
    <w:p w14:paraId="362886FF" w14:textId="77777777" w:rsidR="003B243A" w:rsidRDefault="003B243A" w:rsidP="003B243A">
      <w:pPr>
        <w:spacing w:after="5" w:line="249" w:lineRule="auto"/>
        <w:ind w:left="53" w:hanging="10"/>
        <w:rPr>
          <w:rFonts w:eastAsia="Arial" w:cs="Arial"/>
          <w:color w:val="000000"/>
          <w:szCs w:val="22"/>
          <w:lang w:val="en-US" w:eastAsia="en-ZA"/>
        </w:rPr>
      </w:pPr>
      <w:r w:rsidRPr="004D5721">
        <w:rPr>
          <w:rFonts w:eastAsia="Arial" w:cs="Arial"/>
          <w:color w:val="000000"/>
          <w:szCs w:val="22"/>
          <w:lang w:val="en-US" w:eastAsia="en-ZA"/>
        </w:rPr>
        <w:t xml:space="preserve">The VAT system in the Republic of South Africa (the Republic/South Africa) is destination based. Goods or services consumed in the Republic are subject to VAT at the standard rate. Exports to other countries from the Republic are generally zero-rated and the importation of goods or services into the Republic are generally subject to VAT at the standard rate (all subject to certain exclusions or exceptions). </w:t>
      </w:r>
    </w:p>
    <w:p w14:paraId="4BCFBF99" w14:textId="77777777" w:rsidR="003B243A" w:rsidRPr="004D5721" w:rsidRDefault="003B243A" w:rsidP="003B243A">
      <w:pPr>
        <w:spacing w:after="5" w:line="249" w:lineRule="auto"/>
        <w:ind w:left="53" w:hanging="10"/>
        <w:rPr>
          <w:rFonts w:eastAsia="Arial" w:cs="Arial"/>
          <w:color w:val="000000"/>
          <w:szCs w:val="22"/>
          <w:lang w:val="en-US" w:eastAsia="en-ZA"/>
        </w:rPr>
      </w:pPr>
    </w:p>
    <w:p w14:paraId="7BF63E0D" w14:textId="77777777" w:rsidR="003B243A" w:rsidRPr="004D5721" w:rsidRDefault="003B243A" w:rsidP="003B243A">
      <w:pPr>
        <w:spacing w:after="5" w:line="249" w:lineRule="auto"/>
        <w:ind w:left="53" w:hanging="10"/>
        <w:rPr>
          <w:rFonts w:eastAsia="Arial" w:cs="Arial"/>
          <w:color w:val="000000"/>
          <w:szCs w:val="22"/>
          <w:lang w:val="en-US" w:eastAsia="en-ZA"/>
        </w:rPr>
      </w:pPr>
      <w:r w:rsidRPr="004D5721">
        <w:rPr>
          <w:rFonts w:eastAsia="Arial" w:cs="Arial"/>
          <w:color w:val="000000"/>
          <w:szCs w:val="22"/>
          <w:lang w:val="en-US" w:eastAsia="en-ZA"/>
        </w:rPr>
        <w:t>In terms of section 11(2)(</w:t>
      </w:r>
      <w:r w:rsidRPr="004D5721">
        <w:rPr>
          <w:rFonts w:eastAsia="Arial" w:cs="Arial"/>
          <w:i/>
          <w:iCs/>
          <w:color w:val="000000"/>
          <w:szCs w:val="22"/>
          <w:lang w:val="en-US" w:eastAsia="en-ZA"/>
        </w:rPr>
        <w:t>ℓ</w:t>
      </w:r>
      <w:r w:rsidRPr="004D5721">
        <w:rPr>
          <w:rFonts w:eastAsia="Arial" w:cs="Arial"/>
          <w:color w:val="000000"/>
          <w:szCs w:val="22"/>
          <w:lang w:val="en-US" w:eastAsia="en-ZA"/>
        </w:rPr>
        <w:t xml:space="preserve">) of the VAT Act, where services are supplied to non-residents of the Republic, such services are presumed to be consumed outside the Republic and attract VAT at the zero rate, unless the services are supplied directly in connection with fixed or movable property in the Republic at the time the services are rendered, or if the non-resident or any other person to whom the services are supplied is present in the Republic at the time the services are rendered, subject to certain exceptions. </w:t>
      </w:r>
    </w:p>
    <w:p w14:paraId="2602A8D9" w14:textId="77777777" w:rsidR="00724DE9" w:rsidRDefault="00724DE9" w:rsidP="00500545">
      <w:pPr>
        <w:spacing w:after="5" w:line="249" w:lineRule="auto"/>
        <w:rPr>
          <w:rFonts w:eastAsia="Arial" w:cs="Arial"/>
          <w:color w:val="000000"/>
          <w:szCs w:val="22"/>
          <w:lang w:eastAsia="en-ZA"/>
        </w:rPr>
      </w:pPr>
    </w:p>
    <w:p w14:paraId="0611F707" w14:textId="77777777" w:rsidR="003B243A" w:rsidRDefault="003B243A" w:rsidP="003B243A">
      <w:pPr>
        <w:spacing w:after="286"/>
        <w:ind w:left="53"/>
        <w:rPr>
          <w:rFonts w:eastAsia="Arial" w:cs="Arial"/>
          <w:color w:val="000000"/>
          <w:szCs w:val="22"/>
          <w:lang w:eastAsia="en-ZA"/>
        </w:rPr>
      </w:pPr>
      <w:r w:rsidRPr="00FC0786">
        <w:rPr>
          <w:b/>
        </w:rPr>
        <w:t>II. Reasons for change</w:t>
      </w:r>
      <w:r w:rsidRPr="00B96444">
        <w:rPr>
          <w:rFonts w:eastAsia="Arial" w:cs="Arial"/>
          <w:color w:val="000000"/>
          <w:szCs w:val="22"/>
          <w:lang w:eastAsia="en-ZA"/>
        </w:rPr>
        <w:t xml:space="preserve"> </w:t>
      </w:r>
    </w:p>
    <w:p w14:paraId="7A3E84D5" w14:textId="2D679A9C" w:rsidR="003B243A"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It is evident that section 11(2)(</w:t>
      </w:r>
      <w:r w:rsidRPr="004D5721">
        <w:rPr>
          <w:rFonts w:eastAsia="Arial" w:cs="Arial"/>
          <w:i/>
          <w:iCs/>
          <w:color w:val="000000"/>
          <w:szCs w:val="22"/>
          <w:lang w:val="en-US" w:eastAsia="en-ZA"/>
        </w:rPr>
        <w:t>ℓ</w:t>
      </w:r>
      <w:r w:rsidRPr="004D5721">
        <w:rPr>
          <w:rFonts w:eastAsia="Arial" w:cs="Arial"/>
          <w:color w:val="000000"/>
          <w:szCs w:val="22"/>
          <w:lang w:val="en-US" w:eastAsia="en-ZA"/>
        </w:rPr>
        <w:t>) of the VAT Act finds application only to services supplied to persons who are non-residents of the Republic. However, situations arise in the case of</w:t>
      </w:r>
      <w:r w:rsidR="00A72F5D">
        <w:rPr>
          <w:rFonts w:eastAsia="Arial" w:cs="Arial"/>
          <w:color w:val="000000"/>
          <w:szCs w:val="22"/>
          <w:lang w:val="en-US" w:eastAsia="en-ZA"/>
        </w:rPr>
        <w:t>, for example,</w:t>
      </w:r>
      <w:r w:rsidRPr="004D5721">
        <w:rPr>
          <w:rFonts w:eastAsia="Arial" w:cs="Arial"/>
          <w:color w:val="000000"/>
          <w:szCs w:val="22"/>
          <w:lang w:val="en-US" w:eastAsia="en-ZA"/>
        </w:rPr>
        <w:t xml:space="preserve"> foreign subsidiaries of South African companies, where the subsidiary is incorporated in a foreign country and has a fixed and permanent place of business in the foreign country with no presence in the </w:t>
      </w:r>
      <w:r w:rsidR="00564611" w:rsidRPr="004D5721">
        <w:rPr>
          <w:rFonts w:eastAsia="Arial" w:cs="Arial"/>
          <w:color w:val="000000"/>
          <w:szCs w:val="22"/>
          <w:lang w:val="en-US" w:eastAsia="en-ZA"/>
        </w:rPr>
        <w:t>Republic but</w:t>
      </w:r>
      <w:r w:rsidRPr="004D5721">
        <w:rPr>
          <w:rFonts w:eastAsia="Arial" w:cs="Arial"/>
          <w:color w:val="000000"/>
          <w:szCs w:val="22"/>
          <w:lang w:val="en-US" w:eastAsia="en-ZA"/>
        </w:rPr>
        <w:t xml:space="preserve"> is nevertheless a “resident of the Republic” as defined in section 1(1) of the VAT Act. This is due to the fact that this definition makes reference to the definition of “resident” in section 1 of the </w:t>
      </w:r>
      <w:r w:rsidR="00C639E7">
        <w:rPr>
          <w:rFonts w:eastAsia="Arial" w:cs="Arial"/>
          <w:color w:val="000000"/>
          <w:szCs w:val="22"/>
          <w:lang w:val="en-US" w:eastAsia="en-ZA"/>
        </w:rPr>
        <w:t xml:space="preserve">Income Tax </w:t>
      </w:r>
      <w:r w:rsidRPr="004D5721">
        <w:rPr>
          <w:rFonts w:eastAsia="Arial" w:cs="Arial"/>
          <w:color w:val="000000"/>
          <w:szCs w:val="22"/>
          <w:lang w:val="en-US" w:eastAsia="en-ZA"/>
        </w:rPr>
        <w:t>Act. Paragraph (</w:t>
      </w:r>
      <w:r w:rsidRPr="004D5721">
        <w:rPr>
          <w:rFonts w:eastAsia="Arial" w:cs="Arial"/>
          <w:i/>
          <w:iCs/>
          <w:color w:val="000000"/>
          <w:szCs w:val="22"/>
          <w:lang w:val="en-US" w:eastAsia="en-ZA"/>
        </w:rPr>
        <w:t>b</w:t>
      </w:r>
      <w:r w:rsidRPr="004D5721">
        <w:rPr>
          <w:rFonts w:eastAsia="Arial" w:cs="Arial"/>
          <w:color w:val="000000"/>
          <w:szCs w:val="22"/>
          <w:lang w:val="en-US" w:eastAsia="en-ZA"/>
        </w:rPr>
        <w:t>) of the definition in the Act deems a person, other than a natural person, to be a resident of the Republic if it has its place of effective management in the Republic. As such, any service supplied to such foreign subsidiary by the South African company, being a vendor, does not qualify for the zero rate under section 11(2)(</w:t>
      </w:r>
      <w:r w:rsidRPr="004D5721">
        <w:rPr>
          <w:rFonts w:eastAsia="Arial" w:cs="Arial"/>
          <w:i/>
          <w:iCs/>
          <w:color w:val="000000"/>
          <w:szCs w:val="22"/>
          <w:lang w:val="en-US" w:eastAsia="en-ZA"/>
        </w:rPr>
        <w:t>ℓ</w:t>
      </w:r>
      <w:r w:rsidRPr="004D5721">
        <w:rPr>
          <w:rFonts w:eastAsia="Arial" w:cs="Arial"/>
          <w:color w:val="000000"/>
          <w:szCs w:val="22"/>
          <w:lang w:val="en-US" w:eastAsia="en-ZA"/>
        </w:rPr>
        <w:t>) of the VAT Act, despite the fact that the services may be consumed wholly outside the Republic. Furthermore, because these foreign subsidiaries have no activities in the Republic, they are not conducting an enterprise and cannot register as vendors in the Republic. The effect is that the VAT charged on these supplies becomes a cost to these businesses.</w:t>
      </w:r>
    </w:p>
    <w:p w14:paraId="4B7ACF8C" w14:textId="77777777" w:rsidR="003B243A" w:rsidRPr="004D5721" w:rsidRDefault="003B243A" w:rsidP="003B243A">
      <w:pPr>
        <w:spacing w:after="5" w:line="249" w:lineRule="auto"/>
        <w:rPr>
          <w:rFonts w:eastAsia="Arial" w:cs="Arial"/>
          <w:color w:val="000000"/>
          <w:szCs w:val="22"/>
          <w:lang w:val="en-US" w:eastAsia="en-ZA"/>
        </w:rPr>
      </w:pPr>
    </w:p>
    <w:p w14:paraId="4179048D" w14:textId="77777777" w:rsidR="003B243A" w:rsidRPr="004D5721"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The provisions of section 8(9) and 11(2)(</w:t>
      </w:r>
      <w:r w:rsidRPr="004D5721">
        <w:rPr>
          <w:rFonts w:eastAsia="Arial" w:cs="Arial"/>
          <w:i/>
          <w:iCs/>
          <w:color w:val="000000"/>
          <w:szCs w:val="22"/>
          <w:lang w:val="en-US" w:eastAsia="en-ZA"/>
        </w:rPr>
        <w:t>o</w:t>
      </w:r>
      <w:r w:rsidRPr="004D5721">
        <w:rPr>
          <w:rFonts w:eastAsia="Arial" w:cs="Arial"/>
          <w:color w:val="000000"/>
          <w:szCs w:val="22"/>
          <w:lang w:val="en-US" w:eastAsia="en-ZA"/>
        </w:rPr>
        <w:t xml:space="preserve">) of the VAT Act also do not apply because the foreign subsidiary is not a branch of a South African company as envisaged in paragraph (ii) of the proviso to the definition of “enterprise” in section 1(1) of the VAT Act, but a separate legal entity. This is contrary to the operation of the VAT system which seeks to tax only consumption in the Republic and results in unintended VAT costs in the hands of the foreign subsidiary. </w:t>
      </w:r>
    </w:p>
    <w:p w14:paraId="5AB07521" w14:textId="77777777" w:rsidR="003B243A" w:rsidRDefault="003B243A" w:rsidP="003B243A">
      <w:pPr>
        <w:spacing w:after="5" w:line="249" w:lineRule="auto"/>
        <w:rPr>
          <w:rFonts w:eastAsia="Arial" w:cs="Arial"/>
          <w:color w:val="000000"/>
          <w:szCs w:val="22"/>
          <w:lang w:eastAsia="en-ZA"/>
        </w:rPr>
      </w:pPr>
    </w:p>
    <w:p w14:paraId="3E8A6002" w14:textId="77777777" w:rsidR="003B243A" w:rsidRDefault="003B243A" w:rsidP="003B243A">
      <w:pPr>
        <w:rPr>
          <w:b/>
        </w:rPr>
      </w:pPr>
      <w:r w:rsidRPr="00FC0786">
        <w:rPr>
          <w:b/>
        </w:rPr>
        <w:t>III. Proposal</w:t>
      </w:r>
    </w:p>
    <w:p w14:paraId="47B94756" w14:textId="2D3BE012" w:rsidR="003B243A" w:rsidRPr="004D5721" w:rsidRDefault="003B243A" w:rsidP="4DA829A6">
      <w:pPr>
        <w:rPr>
          <w:rFonts w:eastAsia="Arial" w:cs="Arial"/>
          <w:color w:val="000000"/>
          <w:lang w:eastAsia="en-ZA"/>
        </w:rPr>
      </w:pPr>
      <w:r w:rsidRPr="4DA829A6">
        <w:rPr>
          <w:rFonts w:eastAsia="Arial" w:cs="Arial"/>
          <w:color w:val="000000" w:themeColor="text1"/>
          <w:lang w:eastAsia="en-ZA"/>
        </w:rPr>
        <w:t>In order to correct the unintended consequence explained above, it is proposed that the VAT Act be amended to exclude such foreign subsidiaries from the definition of “resident of the Republic” in section 1(1) of the VAT Act.</w:t>
      </w:r>
    </w:p>
    <w:p w14:paraId="29F28FA7" w14:textId="77777777" w:rsidR="003B243A" w:rsidRDefault="003B243A" w:rsidP="003B243A">
      <w:pPr>
        <w:rPr>
          <w:b/>
        </w:rPr>
      </w:pPr>
      <w:r w:rsidRPr="00FC0786">
        <w:rPr>
          <w:b/>
        </w:rPr>
        <w:t>IV. Effective date</w:t>
      </w:r>
    </w:p>
    <w:p w14:paraId="395C30CE" w14:textId="34136EC2" w:rsidR="00E10A81" w:rsidRDefault="6B1BED57" w:rsidP="004D5721">
      <w:bookmarkStart w:id="336" w:name="_Hlk168572224"/>
      <w:r>
        <w:t>The proposed amendment come</w:t>
      </w:r>
      <w:r w:rsidR="0CD56792">
        <w:t>s</w:t>
      </w:r>
      <w:r>
        <w:t xml:space="preserve"> into operation on 1</w:t>
      </w:r>
      <w:r w:rsidR="5D6C030B">
        <w:t xml:space="preserve"> January</w:t>
      </w:r>
      <w:r>
        <w:t xml:space="preserve"> 2025.</w:t>
      </w:r>
      <w:bookmarkEnd w:id="336"/>
    </w:p>
    <w:p w14:paraId="5D6CE613" w14:textId="77777777" w:rsidR="00E10A81" w:rsidRDefault="00E10A81" w:rsidP="004D5721"/>
    <w:p w14:paraId="14A2493F" w14:textId="77777777" w:rsidR="00B42771" w:rsidRDefault="00B42771" w:rsidP="004D5721"/>
    <w:p w14:paraId="3635A1CD" w14:textId="77777777" w:rsidR="00B42771" w:rsidRPr="004D5721" w:rsidRDefault="00B42771" w:rsidP="004D5721"/>
    <w:p w14:paraId="306BF67A" w14:textId="485E8D1D" w:rsidR="00E3068B" w:rsidRPr="000313DF" w:rsidRDefault="00E3068B" w:rsidP="009709FD">
      <w:pPr>
        <w:pStyle w:val="Heading3"/>
      </w:pPr>
      <w:bookmarkStart w:id="337" w:name="_Toc198158767"/>
      <w:r w:rsidRPr="000313DF">
        <w:t>REVIEWING THE FOREIGN DONOR FUNDED PROJECT REGIME</w:t>
      </w:r>
      <w:bookmarkEnd w:id="337"/>
    </w:p>
    <w:p w14:paraId="7C881BC5" w14:textId="4BB93193" w:rsidR="004D5721" w:rsidRPr="002E4850" w:rsidRDefault="004D5721" w:rsidP="004D5721">
      <w:pPr>
        <w:rPr>
          <w:lang w:val="en-US"/>
        </w:rPr>
      </w:pPr>
      <w:r w:rsidRPr="00A20794">
        <w:t>[</w:t>
      </w:r>
      <w:r w:rsidRPr="006835B2">
        <w:rPr>
          <w:rFonts w:eastAsia="Arial" w:cs="Arial"/>
          <w:color w:val="000000"/>
          <w:szCs w:val="22"/>
          <w:lang w:eastAsia="en-ZA"/>
        </w:rPr>
        <w:t xml:space="preserve">Applicable provision: </w:t>
      </w:r>
      <w:r w:rsidR="00724DE9">
        <w:rPr>
          <w:rFonts w:eastAsia="Arial" w:cs="Arial"/>
          <w:color w:val="000000"/>
          <w:szCs w:val="22"/>
          <w:lang w:val="en-US" w:eastAsia="en-ZA"/>
        </w:rPr>
        <w:t>S</w:t>
      </w:r>
      <w:r w:rsidR="005F1A93" w:rsidRPr="005F1A93">
        <w:rPr>
          <w:rFonts w:eastAsia="Arial" w:cs="Arial"/>
          <w:color w:val="000000"/>
          <w:szCs w:val="22"/>
          <w:lang w:val="en-US" w:eastAsia="en-ZA"/>
        </w:rPr>
        <w:t>ection 50</w:t>
      </w:r>
      <w:r>
        <w:rPr>
          <w:rFonts w:eastAsia="Arial" w:cs="Arial"/>
          <w:color w:val="000000"/>
          <w:szCs w:val="22"/>
          <w:lang w:val="en-US" w:eastAsia="en-ZA"/>
        </w:rPr>
        <w:t xml:space="preserve"> </w:t>
      </w:r>
      <w:r w:rsidRPr="007F78DE">
        <w:rPr>
          <w:rFonts w:eastAsia="Arial" w:cs="Arial"/>
          <w:color w:val="000000"/>
          <w:szCs w:val="22"/>
          <w:lang w:eastAsia="en-ZA"/>
        </w:rPr>
        <w:t>of the VAT Act</w:t>
      </w:r>
      <w:r w:rsidRPr="00A20794">
        <w:rPr>
          <w:lang w:val="en-US"/>
        </w:rPr>
        <w:t>]</w:t>
      </w:r>
    </w:p>
    <w:p w14:paraId="4BECC877" w14:textId="77777777" w:rsidR="003B243A" w:rsidRPr="00FC0786" w:rsidRDefault="003B243A" w:rsidP="003B243A">
      <w:pPr>
        <w:rPr>
          <w:b/>
        </w:rPr>
      </w:pPr>
      <w:r w:rsidRPr="00FC0786">
        <w:rPr>
          <w:b/>
        </w:rPr>
        <w:t>I. Background</w:t>
      </w:r>
    </w:p>
    <w:p w14:paraId="55D3568B" w14:textId="77777777" w:rsidR="003B243A" w:rsidRPr="004D5721" w:rsidRDefault="003B243A" w:rsidP="003B243A">
      <w:pPr>
        <w:spacing w:after="5" w:line="249" w:lineRule="auto"/>
        <w:ind w:left="53" w:hanging="10"/>
        <w:rPr>
          <w:rFonts w:eastAsia="Arial" w:cs="Arial"/>
          <w:color w:val="000000"/>
          <w:szCs w:val="22"/>
          <w:lang w:val="en-US" w:eastAsia="en-ZA"/>
        </w:rPr>
      </w:pPr>
      <w:r w:rsidRPr="004D5721">
        <w:rPr>
          <w:rFonts w:eastAsia="Arial" w:cs="Arial"/>
          <w:color w:val="000000"/>
          <w:szCs w:val="22"/>
          <w:lang w:val="en-US" w:eastAsia="en-ZA"/>
        </w:rPr>
        <w:t xml:space="preserve">In terms of section 1(1) of the VAT Act, a foreign donor funded project (“FDFP”) means a project established in terms of an official development assistance agreement to supply goods or services to beneficiaries, to which the government of the Republic of South Africa (the Republic) is a party.  </w:t>
      </w:r>
    </w:p>
    <w:p w14:paraId="27AC001E" w14:textId="77777777" w:rsidR="003B243A" w:rsidRPr="004D5721" w:rsidRDefault="003B243A" w:rsidP="003B243A">
      <w:pPr>
        <w:spacing w:after="5" w:line="249" w:lineRule="auto"/>
        <w:ind w:left="53" w:hanging="10"/>
        <w:rPr>
          <w:rFonts w:eastAsia="Arial" w:cs="Arial"/>
          <w:color w:val="000000"/>
          <w:szCs w:val="22"/>
          <w:lang w:val="en-US" w:eastAsia="en-ZA"/>
        </w:rPr>
      </w:pPr>
    </w:p>
    <w:p w14:paraId="0C8D4EC7" w14:textId="77777777" w:rsidR="003B243A" w:rsidRPr="004D5721" w:rsidRDefault="003B243A" w:rsidP="003B243A">
      <w:pPr>
        <w:spacing w:after="5" w:line="249" w:lineRule="auto"/>
        <w:ind w:left="53" w:hanging="10"/>
        <w:rPr>
          <w:rFonts w:eastAsia="Arial" w:cs="Arial"/>
          <w:color w:val="000000"/>
          <w:szCs w:val="22"/>
          <w:lang w:val="en-US" w:eastAsia="en-ZA"/>
        </w:rPr>
      </w:pPr>
      <w:r w:rsidRPr="004D5721">
        <w:rPr>
          <w:rFonts w:eastAsia="Arial" w:cs="Arial"/>
          <w:color w:val="000000"/>
          <w:szCs w:val="22"/>
          <w:lang w:val="en-US" w:eastAsia="en-ZA"/>
        </w:rPr>
        <w:t>An implementing agency, as per section 1(1) of the VAT Act, means:</w:t>
      </w:r>
    </w:p>
    <w:p w14:paraId="2413CD89" w14:textId="77777777" w:rsidR="003B243A" w:rsidRPr="004D5721" w:rsidRDefault="003B243A" w:rsidP="003B243A">
      <w:pPr>
        <w:spacing w:after="5" w:line="249" w:lineRule="auto"/>
        <w:ind w:left="53" w:hanging="10"/>
        <w:rPr>
          <w:rFonts w:eastAsia="Arial" w:cs="Arial"/>
          <w:color w:val="000000"/>
          <w:szCs w:val="22"/>
          <w:lang w:val="en-US" w:eastAsia="en-ZA"/>
        </w:rPr>
      </w:pPr>
    </w:p>
    <w:p w14:paraId="26C0BED0" w14:textId="77777777" w:rsidR="003B243A" w:rsidRPr="004D5721" w:rsidRDefault="003B243A" w:rsidP="003B243A">
      <w:pPr>
        <w:numPr>
          <w:ilvl w:val="0"/>
          <w:numId w:val="32"/>
        </w:numPr>
        <w:spacing w:after="5" w:line="249" w:lineRule="auto"/>
        <w:rPr>
          <w:rFonts w:eastAsia="Arial" w:cs="Arial"/>
          <w:color w:val="000000"/>
          <w:szCs w:val="22"/>
          <w:lang w:val="en-US" w:eastAsia="en-ZA"/>
        </w:rPr>
      </w:pPr>
      <w:r w:rsidRPr="004D5721">
        <w:rPr>
          <w:rFonts w:eastAsia="Arial" w:cs="Arial"/>
          <w:color w:val="000000"/>
          <w:szCs w:val="22"/>
          <w:lang w:val="en-US" w:eastAsia="en-ZA"/>
        </w:rPr>
        <w:t>the government of the Republic in the national, provincial or local sphere; or</w:t>
      </w:r>
    </w:p>
    <w:p w14:paraId="4B64F453" w14:textId="6785AD2C" w:rsidR="003B243A" w:rsidRPr="004D5721" w:rsidRDefault="003B243A" w:rsidP="003B243A">
      <w:pPr>
        <w:numPr>
          <w:ilvl w:val="0"/>
          <w:numId w:val="32"/>
        </w:numPr>
        <w:spacing w:after="5" w:line="249" w:lineRule="auto"/>
        <w:rPr>
          <w:rFonts w:eastAsia="Arial" w:cs="Arial"/>
          <w:color w:val="000000"/>
          <w:szCs w:val="22"/>
          <w:lang w:val="en-US" w:eastAsia="en-ZA"/>
        </w:rPr>
      </w:pPr>
      <w:r w:rsidRPr="004D5721">
        <w:rPr>
          <w:rFonts w:eastAsia="Arial" w:cs="Arial"/>
          <w:color w:val="000000"/>
          <w:szCs w:val="22"/>
          <w:lang w:val="en-US" w:eastAsia="en-ZA"/>
        </w:rPr>
        <w:t>any institution or body established and appointed by a foreign government, as contemplated in section 10(1)(</w:t>
      </w:r>
      <w:proofErr w:type="spellStart"/>
      <w:r w:rsidRPr="004D5721">
        <w:rPr>
          <w:rFonts w:eastAsia="Arial" w:cs="Arial"/>
          <w:i/>
          <w:iCs/>
          <w:color w:val="000000"/>
          <w:szCs w:val="22"/>
          <w:lang w:val="en-US" w:eastAsia="en-ZA"/>
        </w:rPr>
        <w:t>b</w:t>
      </w:r>
      <w:r w:rsidRPr="004D5721">
        <w:rPr>
          <w:rFonts w:eastAsia="Arial" w:cs="Arial"/>
          <w:color w:val="000000"/>
          <w:szCs w:val="22"/>
          <w:lang w:val="en-US" w:eastAsia="en-ZA"/>
        </w:rPr>
        <w:t>A</w:t>
      </w:r>
      <w:proofErr w:type="spellEnd"/>
      <w:r w:rsidRPr="004D5721">
        <w:rPr>
          <w:rFonts w:eastAsia="Arial" w:cs="Arial"/>
          <w:color w:val="000000"/>
          <w:szCs w:val="22"/>
          <w:lang w:val="en-US" w:eastAsia="en-ZA"/>
        </w:rPr>
        <w:t>)(ii) of the Income Tax Act; or</w:t>
      </w:r>
    </w:p>
    <w:p w14:paraId="7AFDE7EB" w14:textId="77777777" w:rsidR="003B243A" w:rsidRPr="004D5721" w:rsidRDefault="003B243A" w:rsidP="003B243A">
      <w:pPr>
        <w:numPr>
          <w:ilvl w:val="0"/>
          <w:numId w:val="32"/>
        </w:numPr>
        <w:spacing w:after="5" w:line="249" w:lineRule="auto"/>
        <w:rPr>
          <w:rFonts w:eastAsia="Arial" w:cs="Arial"/>
          <w:color w:val="000000"/>
          <w:szCs w:val="22"/>
          <w:lang w:val="en-US" w:eastAsia="en-ZA"/>
        </w:rPr>
      </w:pPr>
      <w:r w:rsidRPr="004D5721">
        <w:rPr>
          <w:rFonts w:eastAsia="Arial" w:cs="Arial"/>
          <w:color w:val="000000"/>
          <w:szCs w:val="22"/>
          <w:lang w:val="en-US" w:eastAsia="en-ZA"/>
        </w:rPr>
        <w:t xml:space="preserve">any person who has entered into a contract directly with a party contemplated in the above paragraphs to implement, operate, administer or manage an FDFP. </w:t>
      </w:r>
    </w:p>
    <w:p w14:paraId="79B7256B" w14:textId="77777777" w:rsidR="003B243A" w:rsidRPr="004D5721" w:rsidRDefault="003B243A" w:rsidP="003B243A">
      <w:pPr>
        <w:spacing w:after="5" w:line="249" w:lineRule="auto"/>
        <w:ind w:left="53" w:hanging="10"/>
        <w:rPr>
          <w:rFonts w:eastAsia="Arial" w:cs="Arial"/>
          <w:color w:val="000000"/>
          <w:szCs w:val="22"/>
          <w:lang w:val="en-US" w:eastAsia="en-ZA"/>
        </w:rPr>
      </w:pPr>
    </w:p>
    <w:p w14:paraId="02236E3D" w14:textId="10AA176D" w:rsidR="003B243A" w:rsidRPr="004D5721" w:rsidRDefault="003B243A" w:rsidP="003B243A">
      <w:pPr>
        <w:spacing w:after="5" w:line="249" w:lineRule="auto"/>
        <w:ind w:left="53" w:hanging="10"/>
        <w:rPr>
          <w:rFonts w:eastAsia="Arial" w:cs="Arial"/>
          <w:color w:val="000000"/>
          <w:szCs w:val="22"/>
          <w:lang w:val="en-US" w:eastAsia="en-ZA"/>
        </w:rPr>
      </w:pPr>
      <w:r w:rsidRPr="004D5721">
        <w:rPr>
          <w:rFonts w:eastAsia="Arial" w:cs="Arial"/>
          <w:color w:val="000000"/>
          <w:szCs w:val="22"/>
          <w:lang w:val="en-US" w:eastAsia="en-ZA"/>
        </w:rPr>
        <w:t>Effective from 1 April 2020, each FDFP is regarded as a separate enterprise and should be registered as a separate branch of the implementing agency’s own VAT registration in terms of section 50(2A)</w:t>
      </w:r>
      <w:r w:rsidR="00564611">
        <w:rPr>
          <w:rFonts w:eastAsia="Arial" w:cs="Arial"/>
          <w:color w:val="000000"/>
          <w:szCs w:val="22"/>
          <w:lang w:val="en-US" w:eastAsia="en-ZA"/>
        </w:rPr>
        <w:t xml:space="preserve"> of the VAT Act</w:t>
      </w:r>
      <w:r w:rsidRPr="004D5721">
        <w:rPr>
          <w:rFonts w:eastAsia="Arial" w:cs="Arial"/>
          <w:color w:val="000000"/>
          <w:szCs w:val="22"/>
          <w:lang w:val="en-US" w:eastAsia="en-ZA"/>
        </w:rPr>
        <w:t xml:space="preserve">. </w:t>
      </w:r>
    </w:p>
    <w:p w14:paraId="2448D116" w14:textId="77777777" w:rsidR="003B243A" w:rsidRDefault="003B243A" w:rsidP="003B243A">
      <w:pPr>
        <w:spacing w:after="5" w:line="249" w:lineRule="auto"/>
        <w:ind w:left="53" w:hanging="10"/>
        <w:rPr>
          <w:rFonts w:eastAsia="Arial" w:cs="Arial"/>
          <w:color w:val="000000"/>
          <w:szCs w:val="22"/>
          <w:lang w:eastAsia="en-ZA"/>
        </w:rPr>
      </w:pPr>
    </w:p>
    <w:p w14:paraId="1889F1F1" w14:textId="77777777" w:rsidR="003B243A" w:rsidRDefault="003B243A" w:rsidP="003B243A">
      <w:pPr>
        <w:spacing w:after="286"/>
        <w:ind w:left="53"/>
        <w:rPr>
          <w:rFonts w:eastAsia="Arial" w:cs="Arial"/>
          <w:color w:val="000000"/>
          <w:szCs w:val="22"/>
          <w:lang w:eastAsia="en-ZA"/>
        </w:rPr>
      </w:pPr>
      <w:r w:rsidRPr="00FC0786">
        <w:rPr>
          <w:b/>
        </w:rPr>
        <w:t>II. Reasons for change</w:t>
      </w:r>
      <w:r w:rsidRPr="00B96444">
        <w:rPr>
          <w:rFonts w:eastAsia="Arial" w:cs="Arial"/>
          <w:color w:val="000000"/>
          <w:szCs w:val="22"/>
          <w:lang w:eastAsia="en-ZA"/>
        </w:rPr>
        <w:t xml:space="preserve"> </w:t>
      </w:r>
    </w:p>
    <w:p w14:paraId="7F1376D3" w14:textId="77777777" w:rsidR="003B243A" w:rsidRPr="004D5721"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 xml:space="preserve">In practice, a foreign donor may fund a research project through multiple recipients by awarding the funds to a prime recipient and allocating sub-awards to more than one recipient as sub-awardees. Applying the law as it stands will lead to multiple VAT registrations concerning the same project. Further, some implementing agencies “implement, operate, administer or manage” multiple FDFPs and are required to register multiple branches for VAT purposes. Some institutions manage hundreds of FDFPs. </w:t>
      </w:r>
    </w:p>
    <w:p w14:paraId="28C27969" w14:textId="77777777" w:rsidR="003B243A" w:rsidRPr="004D5721" w:rsidRDefault="003B243A" w:rsidP="003B243A">
      <w:pPr>
        <w:spacing w:after="5" w:line="249" w:lineRule="auto"/>
        <w:rPr>
          <w:rFonts w:eastAsia="Arial" w:cs="Arial"/>
          <w:color w:val="000000"/>
          <w:szCs w:val="22"/>
          <w:lang w:val="en-US" w:eastAsia="en-ZA"/>
        </w:rPr>
      </w:pPr>
    </w:p>
    <w:p w14:paraId="47B87541" w14:textId="77777777" w:rsidR="003B243A" w:rsidRPr="004D5721"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These administrative concerns have been raised by taxpayers, since they are leading to inefficiencies in applications and unnecessary burdens for both taxpayers and SARS.</w:t>
      </w:r>
    </w:p>
    <w:p w14:paraId="0A771CBA" w14:textId="77777777" w:rsidR="003B243A" w:rsidRPr="004D5721" w:rsidRDefault="003B243A" w:rsidP="003B243A">
      <w:pPr>
        <w:spacing w:after="5" w:line="249" w:lineRule="auto"/>
        <w:rPr>
          <w:rFonts w:eastAsia="Arial" w:cs="Arial"/>
          <w:color w:val="000000"/>
          <w:szCs w:val="22"/>
          <w:lang w:val="en-US" w:eastAsia="en-ZA"/>
        </w:rPr>
      </w:pPr>
    </w:p>
    <w:p w14:paraId="1695C472" w14:textId="77777777" w:rsidR="003B243A" w:rsidRPr="004D5721"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The establishment of the FDFP is generally only for a set period, for example 3 years, for the project to be completed. Recipients will therefore constantly have to register new projects and deregister projects once completed.</w:t>
      </w:r>
    </w:p>
    <w:p w14:paraId="0A9DF7B9" w14:textId="77777777" w:rsidR="003B243A" w:rsidRPr="004D5721" w:rsidRDefault="003B243A" w:rsidP="003B243A">
      <w:pPr>
        <w:spacing w:after="5" w:line="249" w:lineRule="auto"/>
        <w:rPr>
          <w:rFonts w:eastAsia="Arial" w:cs="Arial"/>
          <w:color w:val="000000"/>
          <w:szCs w:val="22"/>
          <w:lang w:val="en-US" w:eastAsia="en-ZA"/>
        </w:rPr>
      </w:pPr>
    </w:p>
    <w:p w14:paraId="6935316C" w14:textId="77777777" w:rsidR="003B243A" w:rsidRPr="004D5721"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 xml:space="preserve">In summary, the FDFP legislation introduced with effect from 1 April 2020 has resulted in an increased administrative burden for recipients of foreign donor funding, which led to additional risk and costs associated with VAT compliance. </w:t>
      </w:r>
    </w:p>
    <w:p w14:paraId="38B5E56F" w14:textId="77777777" w:rsidR="003B243A" w:rsidRPr="004D5721" w:rsidRDefault="003B243A" w:rsidP="003B243A">
      <w:pPr>
        <w:spacing w:after="5" w:line="249" w:lineRule="auto"/>
        <w:rPr>
          <w:rFonts w:eastAsia="Arial" w:cs="Arial"/>
          <w:color w:val="000000"/>
          <w:szCs w:val="22"/>
          <w:lang w:val="en-US" w:eastAsia="en-ZA"/>
        </w:rPr>
      </w:pPr>
    </w:p>
    <w:p w14:paraId="352FAE10" w14:textId="77777777" w:rsidR="003B243A" w:rsidRPr="004D5721" w:rsidRDefault="003B243A" w:rsidP="003B243A">
      <w:pPr>
        <w:spacing w:after="5" w:line="249" w:lineRule="auto"/>
        <w:rPr>
          <w:rFonts w:eastAsia="Arial" w:cs="Arial"/>
          <w:color w:val="000000"/>
          <w:szCs w:val="22"/>
          <w:lang w:val="en-US" w:eastAsia="en-ZA"/>
        </w:rPr>
      </w:pPr>
      <w:r w:rsidRPr="004D5721">
        <w:rPr>
          <w:rFonts w:eastAsia="Arial" w:cs="Arial"/>
          <w:color w:val="000000"/>
          <w:szCs w:val="22"/>
          <w:lang w:val="en-US" w:eastAsia="en-ZA"/>
        </w:rPr>
        <w:t>The reason for originally requiring separate VAT branch registrations was to limit the risk of abuse of the FDFP provisions. Based on subsequent market research and discussions, it was highlighted that the implementing agency would, by agreement, be required to keep detailed records of all funding received and the manner those funds were expensed or used for each FDFP project separately through a comprehensive coding system. Implementing agencies are therefore able to provide SARS with all the relevant information regarding each FDFP separately. This, together with the fact that an FDFP must still be approved by National Treasury, addresses the previous concerns regarding the risk of abuse and hence, separate branch registrations for each FDFP are not required.</w:t>
      </w:r>
    </w:p>
    <w:p w14:paraId="01357462" w14:textId="77777777" w:rsidR="003B243A" w:rsidRDefault="003B243A" w:rsidP="003B243A">
      <w:pPr>
        <w:spacing w:after="5" w:line="249" w:lineRule="auto"/>
        <w:rPr>
          <w:rFonts w:eastAsia="Arial" w:cs="Arial"/>
          <w:color w:val="000000"/>
          <w:szCs w:val="22"/>
          <w:lang w:eastAsia="en-ZA"/>
        </w:rPr>
      </w:pPr>
    </w:p>
    <w:p w14:paraId="7ABE7B89" w14:textId="77777777" w:rsidR="003B243A" w:rsidRDefault="003B243A" w:rsidP="003B243A">
      <w:pPr>
        <w:rPr>
          <w:b/>
        </w:rPr>
      </w:pPr>
      <w:r w:rsidRPr="00FC0786">
        <w:rPr>
          <w:b/>
        </w:rPr>
        <w:t>III. Proposal</w:t>
      </w:r>
    </w:p>
    <w:p w14:paraId="78962FDA" w14:textId="7E2EAD8A" w:rsidR="003B243A" w:rsidRPr="00685A37" w:rsidRDefault="003B243A" w:rsidP="003B243A">
      <w:pPr>
        <w:rPr>
          <w:rFonts w:eastAsia="Arial" w:cs="Arial"/>
          <w:color w:val="000000" w:themeColor="text1"/>
          <w:lang w:eastAsia="en-ZA"/>
        </w:rPr>
      </w:pPr>
      <w:r w:rsidRPr="004D5721">
        <w:rPr>
          <w:rFonts w:eastAsia="Arial" w:cs="Arial"/>
          <w:color w:val="000000"/>
          <w:szCs w:val="22"/>
          <w:lang w:eastAsia="en-ZA"/>
        </w:rPr>
        <w:t xml:space="preserve">To ease the administrative burden on the implementing agents, it is proposed that implementing agents register one branch for VAT purposes that encompasses all FDFPs that such implementing agency is responsible to </w:t>
      </w:r>
      <w:r w:rsidRPr="004D5721">
        <w:rPr>
          <w:rFonts w:eastAsia="Arial" w:cs="Arial"/>
          <w:color w:val="000000"/>
          <w:szCs w:val="22"/>
          <w:lang w:val="en-US" w:eastAsia="en-ZA"/>
        </w:rPr>
        <w:t>“implement, operate, administer or manage</w:t>
      </w:r>
      <w:r w:rsidR="004A7A16">
        <w:rPr>
          <w:rFonts w:eastAsia="Arial" w:cs="Arial"/>
          <w:color w:val="000000"/>
          <w:szCs w:val="22"/>
          <w:lang w:val="en-US" w:eastAsia="en-ZA"/>
        </w:rPr>
        <w:t xml:space="preserve">.” Further, </w:t>
      </w:r>
      <w:r w:rsidR="008C3360">
        <w:rPr>
          <w:rFonts w:eastAsia="Arial" w:cs="Arial"/>
          <w:color w:val="000000" w:themeColor="text1"/>
          <w:szCs w:val="22"/>
          <w:lang w:val="en-US"/>
        </w:rPr>
        <w:t>i</w:t>
      </w:r>
      <w:r w:rsidR="00A72F5D" w:rsidRPr="5662236D">
        <w:rPr>
          <w:rFonts w:eastAsia="Arial" w:cs="Arial"/>
          <w:color w:val="000000" w:themeColor="text1"/>
          <w:szCs w:val="22"/>
          <w:lang w:val="en-US"/>
        </w:rPr>
        <w:t>mplementing agents may elect to merge all their FDFPs that were registered or required to be registered before 1 January 2025 or continue as separate enterprises until the project is concluded.</w:t>
      </w:r>
      <w:r w:rsidR="00B005CA">
        <w:rPr>
          <w:rFonts w:eastAsia="Arial" w:cs="Arial"/>
          <w:color w:val="000000" w:themeColor="text1"/>
          <w:szCs w:val="22"/>
          <w:lang w:val="en-US"/>
        </w:rPr>
        <w:t xml:space="preserve"> </w:t>
      </w:r>
      <w:r w:rsidR="00A72F5D" w:rsidRPr="5662236D">
        <w:rPr>
          <w:rFonts w:eastAsia="Arial" w:cs="Arial"/>
          <w:color w:val="000000" w:themeColor="text1"/>
          <w:szCs w:val="22"/>
          <w:lang w:val="en-US"/>
        </w:rPr>
        <w:t xml:space="preserve">In the event that the implementing agent elects to merge all the FDFPs branches into the single branch, the individual branches and the single branch will be deemed to be one and the same person so that there are no unintended </w:t>
      </w:r>
      <w:r w:rsidR="00C3783C">
        <w:rPr>
          <w:rFonts w:eastAsia="Arial" w:cs="Arial"/>
          <w:color w:val="000000" w:themeColor="text1"/>
          <w:szCs w:val="22"/>
          <w:lang w:val="en-US"/>
        </w:rPr>
        <w:t>VAT</w:t>
      </w:r>
      <w:r w:rsidR="00A72F5D" w:rsidRPr="5662236D">
        <w:rPr>
          <w:rFonts w:eastAsia="Arial" w:cs="Arial"/>
          <w:color w:val="000000" w:themeColor="text1"/>
          <w:szCs w:val="22"/>
          <w:lang w:val="en-US"/>
        </w:rPr>
        <w:t xml:space="preserve"> consequences where all the assets are retained within the FDFP project as reflected in the single branch. In the event that all the assets are not retained, the normal provisions</w:t>
      </w:r>
      <w:r w:rsidR="00317292">
        <w:rPr>
          <w:rFonts w:eastAsia="Arial" w:cs="Arial"/>
          <w:color w:val="000000" w:themeColor="text1"/>
          <w:szCs w:val="22"/>
          <w:lang w:val="en-US"/>
        </w:rPr>
        <w:t xml:space="preserve"> of the VAT Act</w:t>
      </w:r>
      <w:r w:rsidR="00A72F5D" w:rsidRPr="5662236D">
        <w:rPr>
          <w:rFonts w:eastAsia="Arial" w:cs="Arial"/>
          <w:color w:val="000000" w:themeColor="text1"/>
          <w:szCs w:val="22"/>
          <w:lang w:val="en-US"/>
        </w:rPr>
        <w:t xml:space="preserve"> will apply. </w:t>
      </w:r>
    </w:p>
    <w:p w14:paraId="34B6B7F4" w14:textId="77777777" w:rsidR="003B243A" w:rsidRDefault="003B243A" w:rsidP="003B243A">
      <w:pPr>
        <w:rPr>
          <w:b/>
        </w:rPr>
      </w:pPr>
      <w:r w:rsidRPr="00FC0786">
        <w:rPr>
          <w:b/>
        </w:rPr>
        <w:t>IV. Effective date</w:t>
      </w:r>
    </w:p>
    <w:p w14:paraId="60BBEBEC" w14:textId="7B25FD10" w:rsidR="003B243A" w:rsidRPr="004D5721" w:rsidRDefault="6B1BED57" w:rsidP="003B243A">
      <w:r>
        <w:t>The proposed amendment come</w:t>
      </w:r>
      <w:r w:rsidR="3C2C2F22">
        <w:t>s</w:t>
      </w:r>
      <w:r>
        <w:t xml:space="preserve"> into operation on 1</w:t>
      </w:r>
      <w:r w:rsidR="5D6C030B">
        <w:t xml:space="preserve"> Janu</w:t>
      </w:r>
      <w:r w:rsidR="2A55A22A">
        <w:t>a</w:t>
      </w:r>
      <w:r w:rsidR="5D6C030B">
        <w:t>ry</w:t>
      </w:r>
      <w:r>
        <w:t xml:space="preserve"> 2025.</w:t>
      </w:r>
    </w:p>
    <w:p w14:paraId="415551B0" w14:textId="77777777" w:rsidR="0011163B" w:rsidRPr="005F1A93" w:rsidRDefault="0011163B" w:rsidP="005F1A93"/>
    <w:p w14:paraId="003FB4CA" w14:textId="2B566C86" w:rsidR="000E7A3A" w:rsidRPr="000313DF" w:rsidRDefault="00450388" w:rsidP="009709FD">
      <w:pPr>
        <w:pStyle w:val="Heading3"/>
      </w:pPr>
      <w:bookmarkStart w:id="338" w:name="_Toc198158768"/>
      <w:r w:rsidRPr="000313DF">
        <w:t>VAT CLAW-BACK ON IRRECOVERABLE DEBTS SUBSEQUENTLY RECOVERED</w:t>
      </w:r>
      <w:bookmarkEnd w:id="338"/>
    </w:p>
    <w:p w14:paraId="47C559BE" w14:textId="42F3B865" w:rsidR="004D5721" w:rsidRPr="002E4850" w:rsidRDefault="004D5721" w:rsidP="004D5721">
      <w:pPr>
        <w:rPr>
          <w:lang w:val="en-US"/>
        </w:rPr>
      </w:pPr>
      <w:r w:rsidRPr="00A20794">
        <w:t>[</w:t>
      </w:r>
      <w:r w:rsidRPr="006835B2">
        <w:rPr>
          <w:rFonts w:eastAsia="Arial" w:cs="Arial"/>
          <w:color w:val="000000"/>
          <w:szCs w:val="22"/>
          <w:lang w:eastAsia="en-ZA"/>
        </w:rPr>
        <w:t xml:space="preserve">Applicable provision: </w:t>
      </w:r>
      <w:r w:rsidR="00E10A81">
        <w:rPr>
          <w:rFonts w:eastAsia="Arial" w:cs="Arial"/>
          <w:color w:val="000000"/>
          <w:szCs w:val="22"/>
          <w:lang w:val="en-US" w:eastAsia="en-ZA"/>
        </w:rPr>
        <w:t>S</w:t>
      </w:r>
      <w:r w:rsidRPr="00E81AFE">
        <w:rPr>
          <w:rFonts w:eastAsia="Arial" w:cs="Arial"/>
          <w:color w:val="000000"/>
          <w:szCs w:val="22"/>
          <w:lang w:val="en-US" w:eastAsia="en-ZA"/>
        </w:rPr>
        <w:t xml:space="preserve">ection </w:t>
      </w:r>
      <w:r w:rsidR="00042611" w:rsidRPr="00042611">
        <w:rPr>
          <w:rFonts w:eastAsia="Arial" w:cs="Arial"/>
          <w:color w:val="000000"/>
          <w:szCs w:val="22"/>
          <w:lang w:val="en-US" w:eastAsia="en-ZA"/>
        </w:rPr>
        <w:t>2</w:t>
      </w:r>
      <w:r w:rsidR="00564611">
        <w:rPr>
          <w:rFonts w:eastAsia="Arial" w:cs="Arial"/>
          <w:color w:val="000000"/>
          <w:szCs w:val="22"/>
          <w:lang w:val="en-US" w:eastAsia="en-ZA"/>
        </w:rPr>
        <w:t>2(2)</w:t>
      </w:r>
      <w:r>
        <w:rPr>
          <w:rFonts w:eastAsia="Arial" w:cs="Arial"/>
          <w:color w:val="000000"/>
          <w:szCs w:val="22"/>
          <w:lang w:val="en-US" w:eastAsia="en-ZA"/>
        </w:rPr>
        <w:t xml:space="preserve"> </w:t>
      </w:r>
      <w:r w:rsidRPr="007F78DE">
        <w:rPr>
          <w:rFonts w:eastAsia="Arial" w:cs="Arial"/>
          <w:color w:val="000000"/>
          <w:szCs w:val="22"/>
          <w:lang w:eastAsia="en-ZA"/>
        </w:rPr>
        <w:t>of the VAT Act</w:t>
      </w:r>
      <w:r w:rsidRPr="00A20794">
        <w:rPr>
          <w:lang w:val="en-US"/>
        </w:rPr>
        <w:t>]</w:t>
      </w:r>
    </w:p>
    <w:p w14:paraId="1D71815B" w14:textId="77777777" w:rsidR="003B243A" w:rsidRPr="00FC0786" w:rsidRDefault="003B243A" w:rsidP="003B243A">
      <w:pPr>
        <w:rPr>
          <w:b/>
        </w:rPr>
      </w:pPr>
      <w:r w:rsidRPr="00FC0786">
        <w:rPr>
          <w:b/>
        </w:rPr>
        <w:t>I. Background</w:t>
      </w:r>
    </w:p>
    <w:p w14:paraId="267C3290" w14:textId="77777777" w:rsidR="003B243A" w:rsidRDefault="003B243A" w:rsidP="4DA829A6">
      <w:pPr>
        <w:spacing w:after="5" w:line="249" w:lineRule="auto"/>
        <w:ind w:left="53" w:hanging="10"/>
        <w:rPr>
          <w:rFonts w:eastAsia="Arial" w:cs="Arial"/>
          <w:color w:val="000000"/>
          <w:lang w:eastAsia="en-ZA"/>
        </w:rPr>
      </w:pPr>
      <w:r w:rsidRPr="4DA829A6">
        <w:rPr>
          <w:rFonts w:eastAsia="Arial" w:cs="Arial"/>
          <w:color w:val="000000" w:themeColor="text1"/>
          <w:lang w:eastAsia="en-ZA"/>
        </w:rPr>
        <w:t xml:space="preserve">Section 22(1) of the VAT Act makes provision for a vendor to deduct VAT on amounts written off as irrecoverable in respect of taxable supplies, in respect of which the output tax was previously declared on a tax return. In the event that a vendor subsequently recovers any amount previously written-off, section 22(2) of the VAT Act provides for a claw-back to the extent of the VAT so recovered. </w:t>
      </w:r>
    </w:p>
    <w:p w14:paraId="05AC8220" w14:textId="77777777" w:rsidR="003B243A" w:rsidRPr="00450388" w:rsidRDefault="003B243A" w:rsidP="003B243A">
      <w:pPr>
        <w:spacing w:after="5" w:line="249" w:lineRule="auto"/>
        <w:ind w:left="53" w:hanging="10"/>
        <w:rPr>
          <w:rFonts w:eastAsia="Arial" w:cs="Arial"/>
          <w:color w:val="000000"/>
          <w:szCs w:val="22"/>
          <w:lang w:eastAsia="en-ZA"/>
        </w:rPr>
      </w:pPr>
    </w:p>
    <w:p w14:paraId="4608C7DD" w14:textId="77777777" w:rsidR="003B243A" w:rsidRDefault="003B243A" w:rsidP="003B243A">
      <w:pPr>
        <w:spacing w:after="5" w:line="249" w:lineRule="auto"/>
        <w:ind w:left="53" w:hanging="10"/>
        <w:rPr>
          <w:rFonts w:eastAsia="Arial" w:cs="Arial"/>
          <w:color w:val="000000"/>
          <w:szCs w:val="22"/>
          <w:lang w:eastAsia="en-ZA"/>
        </w:rPr>
      </w:pPr>
      <w:r w:rsidRPr="00450388">
        <w:rPr>
          <w:rFonts w:eastAsia="Arial" w:cs="Arial"/>
          <w:color w:val="000000"/>
          <w:szCs w:val="22"/>
          <w:lang w:eastAsia="en-ZA"/>
        </w:rPr>
        <w:t>Currently, section 22(2) of the VAT Act only allows for a claw-back of a deduction made as referred to in section 22(1) of the VAT Act. However, the introduction of section 22(1A) of the VAT Act in 1997, specifically allows a deduction to the recipient of a transfer of account receivables at face value, on a non-recourse basis, where any amount of such receivable has been written off by the recipient, limited to the amount that the recipient has paid for the face value of the account receivable that was transferred to the recipient.</w:t>
      </w:r>
    </w:p>
    <w:p w14:paraId="59E832A4" w14:textId="77777777" w:rsidR="003B243A" w:rsidRDefault="003B243A" w:rsidP="003B243A">
      <w:pPr>
        <w:spacing w:after="5" w:line="249" w:lineRule="auto"/>
        <w:ind w:left="53" w:hanging="10"/>
        <w:rPr>
          <w:rFonts w:eastAsia="Arial" w:cs="Arial"/>
          <w:color w:val="000000"/>
          <w:szCs w:val="22"/>
          <w:lang w:eastAsia="en-ZA"/>
        </w:rPr>
      </w:pPr>
    </w:p>
    <w:p w14:paraId="3BEB90C0" w14:textId="77777777" w:rsidR="003B243A" w:rsidRDefault="003B243A" w:rsidP="003B243A">
      <w:pPr>
        <w:spacing w:after="286"/>
        <w:ind w:left="53"/>
        <w:rPr>
          <w:rFonts w:eastAsia="Arial" w:cs="Arial"/>
          <w:color w:val="000000"/>
          <w:szCs w:val="22"/>
          <w:lang w:eastAsia="en-ZA"/>
        </w:rPr>
      </w:pPr>
      <w:r w:rsidRPr="00FC0786">
        <w:rPr>
          <w:b/>
        </w:rPr>
        <w:t>II. Reasons for change</w:t>
      </w:r>
      <w:r w:rsidRPr="00B96444">
        <w:rPr>
          <w:rFonts w:eastAsia="Arial" w:cs="Arial"/>
          <w:color w:val="000000"/>
          <w:szCs w:val="22"/>
          <w:lang w:eastAsia="en-ZA"/>
        </w:rPr>
        <w:t xml:space="preserve"> </w:t>
      </w:r>
    </w:p>
    <w:p w14:paraId="09F29E9F" w14:textId="029A6915" w:rsidR="003B243A" w:rsidRDefault="003B243A" w:rsidP="00E10A81">
      <w:pPr>
        <w:spacing w:after="286"/>
        <w:ind w:left="53"/>
        <w:rPr>
          <w:rFonts w:eastAsia="Arial" w:cs="Arial"/>
          <w:color w:val="000000"/>
          <w:szCs w:val="22"/>
          <w:lang w:eastAsia="en-ZA"/>
        </w:rPr>
      </w:pPr>
      <w:r w:rsidRPr="00450388">
        <w:rPr>
          <w:rFonts w:eastAsia="Arial" w:cs="Arial"/>
          <w:color w:val="000000"/>
          <w:szCs w:val="22"/>
          <w:lang w:eastAsia="en-ZA"/>
        </w:rPr>
        <w:t>Proviso (iv)(</w:t>
      </w:r>
      <w:r w:rsidRPr="00450388">
        <w:rPr>
          <w:rFonts w:eastAsia="Arial" w:cs="Arial"/>
          <w:i/>
          <w:iCs/>
          <w:color w:val="000000"/>
          <w:szCs w:val="22"/>
          <w:lang w:eastAsia="en-ZA"/>
        </w:rPr>
        <w:t>aa</w:t>
      </w:r>
      <w:r w:rsidRPr="00450388">
        <w:rPr>
          <w:rFonts w:eastAsia="Arial" w:cs="Arial"/>
          <w:color w:val="000000"/>
          <w:szCs w:val="22"/>
          <w:lang w:eastAsia="en-ZA"/>
        </w:rPr>
        <w:t xml:space="preserve">) to section 22(1) of the VAT Act specifically denies a transferor of </w:t>
      </w:r>
      <w:r>
        <w:rPr>
          <w:rFonts w:eastAsia="Arial" w:cs="Arial"/>
          <w:color w:val="000000"/>
          <w:szCs w:val="22"/>
          <w:lang w:eastAsia="en-ZA"/>
        </w:rPr>
        <w:t xml:space="preserve">an </w:t>
      </w:r>
      <w:r w:rsidRPr="00450388">
        <w:rPr>
          <w:rFonts w:eastAsia="Arial" w:cs="Arial"/>
          <w:color w:val="000000"/>
          <w:szCs w:val="22"/>
          <w:lang w:eastAsia="en-ZA"/>
        </w:rPr>
        <w:t xml:space="preserve">account receivable at face value, on a non-recourse basis, to make a deduction based on the transfer. </w:t>
      </w:r>
      <w:r w:rsidRPr="00450388">
        <w:rPr>
          <w:rFonts w:eastAsia="Arial" w:cs="Arial"/>
          <w:color w:val="000000"/>
          <w:szCs w:val="22"/>
          <w:lang w:val="en-US" w:eastAsia="en-ZA"/>
        </w:rPr>
        <w:t>In terms of the current provisions of the VAT Act, a recipient of an account receivable at face value on a non-recourse basis is entitled to a deduction of the tax amounts written off as irrecoverable. However, the VAT Act does not provide for any claw-back of these deductions on amounts subsequently recovered.</w:t>
      </w:r>
      <w:r w:rsidRPr="00450388">
        <w:rPr>
          <w:rFonts w:eastAsia="Arial" w:cs="Arial"/>
          <w:color w:val="000000"/>
          <w:szCs w:val="22"/>
          <w:lang w:eastAsia="en-ZA"/>
        </w:rPr>
        <w:t xml:space="preserve"> </w:t>
      </w:r>
    </w:p>
    <w:p w14:paraId="5909CD72" w14:textId="77777777" w:rsidR="00DC10B8" w:rsidRDefault="00DC10B8" w:rsidP="00E10A81">
      <w:pPr>
        <w:spacing w:after="286"/>
        <w:ind w:left="53"/>
        <w:rPr>
          <w:rFonts w:eastAsia="Arial" w:cs="Arial"/>
          <w:color w:val="000000"/>
          <w:szCs w:val="22"/>
          <w:lang w:eastAsia="en-ZA"/>
        </w:rPr>
      </w:pPr>
    </w:p>
    <w:p w14:paraId="3BBBE6A5" w14:textId="77777777" w:rsidR="003B243A" w:rsidRDefault="003B243A" w:rsidP="003B243A">
      <w:pPr>
        <w:rPr>
          <w:b/>
        </w:rPr>
      </w:pPr>
      <w:r w:rsidRPr="00FC0786">
        <w:rPr>
          <w:b/>
        </w:rPr>
        <w:t>III. Proposal</w:t>
      </w:r>
    </w:p>
    <w:p w14:paraId="328C1A37" w14:textId="77777777" w:rsidR="003B243A" w:rsidRPr="00450388" w:rsidRDefault="003B243A" w:rsidP="4DA829A6">
      <w:pPr>
        <w:rPr>
          <w:rFonts w:eastAsia="Arial" w:cs="Arial"/>
          <w:color w:val="000000"/>
          <w:lang w:eastAsia="en-ZA"/>
        </w:rPr>
      </w:pPr>
      <w:r w:rsidRPr="4DA829A6">
        <w:rPr>
          <w:rFonts w:eastAsia="Arial" w:cs="Arial"/>
          <w:color w:val="000000" w:themeColor="text1"/>
          <w:lang w:eastAsia="en-ZA"/>
        </w:rPr>
        <w:t xml:space="preserve">It is proposed that the claw-back provided by section 22(2) of the VAT Act should be extended to any tax amount written off by such a recipient, which is subsequently recovered, as envisaged under section 22(1A) of the VAT Act. </w:t>
      </w:r>
    </w:p>
    <w:p w14:paraId="43D67464" w14:textId="77777777" w:rsidR="003B243A" w:rsidRDefault="003B243A" w:rsidP="003B243A">
      <w:pPr>
        <w:rPr>
          <w:b/>
        </w:rPr>
      </w:pPr>
      <w:r w:rsidRPr="00FC0786">
        <w:rPr>
          <w:b/>
        </w:rPr>
        <w:t>IV. Effective date</w:t>
      </w:r>
    </w:p>
    <w:p w14:paraId="6F6BAF46" w14:textId="1598C090" w:rsidR="00DC10B8" w:rsidRDefault="6B1BED57" w:rsidP="004D5721">
      <w:r>
        <w:t>The proposed amendment come</w:t>
      </w:r>
      <w:r w:rsidR="48A49857">
        <w:t>s</w:t>
      </w:r>
      <w:r>
        <w:t xml:space="preserve"> into operation on 1 April 2025.</w:t>
      </w:r>
    </w:p>
    <w:p w14:paraId="638AC285" w14:textId="77777777" w:rsidR="00612860" w:rsidRDefault="00612860" w:rsidP="00612860">
      <w:pPr>
        <w:rPr>
          <w:rFonts w:eastAsia="Calibri" w:cs="Arial"/>
          <w:szCs w:val="22"/>
        </w:rPr>
      </w:pPr>
    </w:p>
    <w:p w14:paraId="69C73B59" w14:textId="77777777" w:rsidR="00155FA9" w:rsidRPr="00445237" w:rsidRDefault="00155FA9" w:rsidP="00612860">
      <w:pPr>
        <w:rPr>
          <w:rFonts w:eastAsia="Calibri" w:cs="Arial"/>
          <w:szCs w:val="22"/>
        </w:rPr>
      </w:pPr>
    </w:p>
    <w:p w14:paraId="5139170E" w14:textId="6E033BAC" w:rsidR="0011163B" w:rsidRDefault="00DF365C" w:rsidP="00FC0786">
      <w:pPr>
        <w:rPr>
          <w:rFonts w:eastAsia="Calibri" w:cs="Arial"/>
          <w:szCs w:val="22"/>
          <w:lang w:val="en-US"/>
        </w:rPr>
      </w:pPr>
      <w:r>
        <w:rPr>
          <w:rFonts w:eastAsia="Calibri" w:cs="Arial"/>
          <w:szCs w:val="22"/>
        </w:rPr>
        <w:tab/>
      </w:r>
      <w:r>
        <w:rPr>
          <w:rFonts w:eastAsia="Calibri" w:cs="Arial"/>
          <w:szCs w:val="22"/>
        </w:rPr>
        <w:tab/>
      </w:r>
      <w:r>
        <w:rPr>
          <w:rFonts w:eastAsia="Calibri" w:cs="Arial"/>
          <w:szCs w:val="22"/>
        </w:rPr>
        <w:tab/>
      </w:r>
      <w:r>
        <w:rPr>
          <w:rFonts w:eastAsia="Calibri" w:cs="Arial"/>
          <w:szCs w:val="22"/>
        </w:rPr>
        <w:tab/>
      </w:r>
      <w:r w:rsidR="00DC10B8" w:rsidRPr="00DC10B8">
        <w:rPr>
          <w:rFonts w:eastAsia="Calibri" w:cs="Arial"/>
          <w:szCs w:val="22"/>
          <w:lang w:val="en-US"/>
        </w:rPr>
        <w:t>____________________________</w:t>
      </w:r>
    </w:p>
    <w:p w14:paraId="76E40FE6" w14:textId="77777777" w:rsidR="00DC10B8" w:rsidRDefault="00DC10B8" w:rsidP="00FC0786">
      <w:pPr>
        <w:rPr>
          <w:rFonts w:eastAsia="Calibri" w:cs="Arial"/>
          <w:szCs w:val="22"/>
          <w:lang w:val="en-US"/>
        </w:rPr>
      </w:pPr>
    </w:p>
    <w:p w14:paraId="03C97D96" w14:textId="77777777" w:rsidR="00155FA9" w:rsidRPr="00AD77A6" w:rsidRDefault="00155FA9" w:rsidP="00FC0786">
      <w:pPr>
        <w:rPr>
          <w:rFonts w:eastAsia="Calibri" w:cs="Arial"/>
          <w:szCs w:val="22"/>
          <w:lang w:val="en-US"/>
        </w:rPr>
      </w:pPr>
    </w:p>
    <w:p w14:paraId="299C7DCB" w14:textId="35BC1B50" w:rsidR="000028A6" w:rsidRPr="003A124B" w:rsidRDefault="00354EAD" w:rsidP="002D5681">
      <w:pPr>
        <w:pStyle w:val="Heading2"/>
      </w:pPr>
      <w:bookmarkStart w:id="339" w:name="_Toc198158769"/>
      <w:r w:rsidRPr="003A124B">
        <w:t>CARBON TAX ACT</w:t>
      </w:r>
      <w:bookmarkEnd w:id="339"/>
    </w:p>
    <w:p w14:paraId="73928C91" w14:textId="77777777" w:rsidR="009134D4" w:rsidRPr="00FC0786" w:rsidRDefault="009134D4">
      <w:pPr>
        <w:pStyle w:val="ListParagraph"/>
        <w:numPr>
          <w:ilvl w:val="0"/>
          <w:numId w:val="18"/>
        </w:numPr>
        <w:rPr>
          <w:b/>
          <w:vanish/>
          <w:lang w:val="en-US"/>
        </w:rPr>
      </w:pPr>
      <w:bookmarkStart w:id="340" w:name="_Toc45526747"/>
      <w:bookmarkStart w:id="341" w:name="_Toc45540351"/>
      <w:bookmarkStart w:id="342" w:name="_Toc45540403"/>
      <w:bookmarkStart w:id="343" w:name="_Toc45541228"/>
      <w:bookmarkStart w:id="344" w:name="_Toc45545751"/>
      <w:bookmarkStart w:id="345" w:name="_Toc45545803"/>
      <w:bookmarkStart w:id="346" w:name="_Toc45621802"/>
      <w:bookmarkStart w:id="347" w:name="_Toc45636871"/>
      <w:bookmarkStart w:id="348" w:name="_Toc45795520"/>
      <w:bookmarkStart w:id="349" w:name="_Toc45795702"/>
      <w:bookmarkStart w:id="350" w:name="_Toc46158352"/>
      <w:bookmarkStart w:id="351" w:name="_Toc46158459"/>
      <w:bookmarkStart w:id="352" w:name="_Toc46158608"/>
      <w:bookmarkStart w:id="353" w:name="_Toc46159138"/>
      <w:bookmarkStart w:id="354" w:name="_Toc46159194"/>
      <w:bookmarkStart w:id="355" w:name="_Toc46416097"/>
      <w:bookmarkStart w:id="356" w:name="_Toc46419944"/>
      <w:bookmarkStart w:id="357" w:name="_Toc46419997"/>
      <w:bookmarkStart w:id="358" w:name="_Toc46433315"/>
      <w:bookmarkStart w:id="359" w:name="_Toc46433368"/>
      <w:bookmarkStart w:id="360" w:name="_Toc46433558"/>
      <w:bookmarkStart w:id="361" w:name="_Toc4650404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13471DA5" w14:textId="1881EAEA" w:rsidR="00354EAD" w:rsidRPr="005641A9" w:rsidRDefault="00354EAD" w:rsidP="009709FD">
      <w:pPr>
        <w:pStyle w:val="Heading3"/>
      </w:pPr>
      <w:bookmarkStart w:id="362" w:name="_Toc198158770"/>
      <w:r w:rsidRPr="005641A9">
        <w:t>ALIGNING SCHEDULE 1 OF THE CARBON TAX ACT WITH THE UPDATED GREENHOUSE GAS EMISSIONS METHODOLOGICAL GUIDELINES</w:t>
      </w:r>
      <w:bookmarkEnd w:id="362"/>
    </w:p>
    <w:p w14:paraId="453E07F3" w14:textId="77777777" w:rsidR="00354EAD" w:rsidRPr="00816B51" w:rsidRDefault="00354EAD" w:rsidP="00354EAD">
      <w:pPr>
        <w:autoSpaceDE w:val="0"/>
        <w:autoSpaceDN w:val="0"/>
        <w:adjustRightInd w:val="0"/>
        <w:spacing w:after="0" w:line="276" w:lineRule="auto"/>
        <w:rPr>
          <w:rFonts w:eastAsia="Arial"/>
          <w:lang w:val="en-US"/>
        </w:rPr>
      </w:pPr>
      <w:r w:rsidRPr="00816B51">
        <w:rPr>
          <w:rFonts w:eastAsia="Arial"/>
          <w:lang w:val="en-US"/>
        </w:rPr>
        <w:t xml:space="preserve">[Applicable provision: </w:t>
      </w:r>
      <w:r w:rsidRPr="00562A2E">
        <w:rPr>
          <w:rFonts w:eastAsia="Arial"/>
          <w:lang w:val="en-US"/>
        </w:rPr>
        <w:t>Schedule 1 of the Carbon Tax Act 15 of 2019 (“the Carbon Tax Act”)</w:t>
      </w:r>
      <w:r w:rsidRPr="00816B51">
        <w:rPr>
          <w:rFonts w:eastAsia="Arial"/>
          <w:lang w:val="en-US"/>
        </w:rPr>
        <w:t xml:space="preserve">] </w:t>
      </w:r>
    </w:p>
    <w:p w14:paraId="77C3DCD3" w14:textId="77777777" w:rsidR="00354EAD" w:rsidRPr="00816B51" w:rsidRDefault="00354EAD" w:rsidP="00354EAD">
      <w:pPr>
        <w:autoSpaceDE w:val="0"/>
        <w:autoSpaceDN w:val="0"/>
        <w:adjustRightInd w:val="0"/>
        <w:spacing w:after="0" w:line="276" w:lineRule="auto"/>
        <w:rPr>
          <w:rFonts w:eastAsia="Arial"/>
          <w:lang w:val="en-US"/>
        </w:rPr>
      </w:pPr>
    </w:p>
    <w:p w14:paraId="2FFB8BE8" w14:textId="77777777" w:rsidR="00354EAD" w:rsidRPr="00F21980" w:rsidRDefault="00354EAD" w:rsidP="00354EAD">
      <w:pPr>
        <w:rPr>
          <w:b/>
        </w:rPr>
      </w:pPr>
      <w:r w:rsidRPr="00FC0786">
        <w:rPr>
          <w:b/>
        </w:rPr>
        <w:t>I. Background</w:t>
      </w:r>
    </w:p>
    <w:p w14:paraId="6033037E" w14:textId="77777777" w:rsidR="00354EAD" w:rsidRDefault="00354EAD" w:rsidP="4DA829A6">
      <w:pPr>
        <w:autoSpaceDE w:val="0"/>
        <w:autoSpaceDN w:val="0"/>
        <w:adjustRightInd w:val="0"/>
        <w:spacing w:after="0" w:line="276" w:lineRule="auto"/>
        <w:rPr>
          <w:rFonts w:eastAsia="Arial"/>
        </w:rPr>
      </w:pPr>
      <w:r w:rsidRPr="4DA829A6">
        <w:rPr>
          <w:rFonts w:eastAsia="Arial"/>
        </w:rPr>
        <w:t xml:space="preserve">The Carbon Tax Act contains Schedule 1 that sets out the default emission factors for fuel combustion (stationary and non-stationary), fugitive and industrial process emissions. The emission factors and net caloric values are used to calculate the emission factors and total emissions for a company for the different activities under Section 4 of the Carbon tax Act.  </w:t>
      </w:r>
    </w:p>
    <w:p w14:paraId="2019EC2A" w14:textId="77777777" w:rsidR="00354EAD" w:rsidRPr="00562A2E" w:rsidRDefault="00354EAD" w:rsidP="00354EAD">
      <w:pPr>
        <w:autoSpaceDE w:val="0"/>
        <w:autoSpaceDN w:val="0"/>
        <w:adjustRightInd w:val="0"/>
        <w:spacing w:after="0" w:line="276" w:lineRule="auto"/>
        <w:rPr>
          <w:rFonts w:eastAsia="Arial"/>
        </w:rPr>
      </w:pPr>
    </w:p>
    <w:p w14:paraId="3286DFDC" w14:textId="2421CA46" w:rsidR="00354EAD" w:rsidRDefault="00354EAD" w:rsidP="4DA829A6">
      <w:pPr>
        <w:autoSpaceDE w:val="0"/>
        <w:autoSpaceDN w:val="0"/>
        <w:adjustRightInd w:val="0"/>
        <w:spacing w:after="0" w:line="276" w:lineRule="auto"/>
        <w:rPr>
          <w:rFonts w:eastAsia="Arial"/>
        </w:rPr>
      </w:pPr>
      <w:r w:rsidRPr="4DA829A6">
        <w:rPr>
          <w:rFonts w:eastAsia="Arial"/>
        </w:rPr>
        <w:t>In October 2022, the Department of Forestry Fisheries and the Environment (DFFE) gazetted the Amended Methodological Guideline for Quantification of Greenhouse Gas Emissions (Gazette No 47257 dated 7 October 2022). Schedule 1 of the Act is aligned with the emission factor tables contained in Annexures A, B and C of the Methodological Guidelines for Quantification of Greenhouse Gas Emissions.  The updated Technical Guidelines included updated tables on the Country Specific Carbon Dioxide Emission Factors for stationary and non-stationary combustion emissions. This was based on studies conducted by the DFFE in 2021/22 on Liquid Fuels and Gas and Cement.</w:t>
      </w:r>
    </w:p>
    <w:p w14:paraId="0EFEB9A8" w14:textId="77777777" w:rsidR="005C73B4" w:rsidRPr="004D5114" w:rsidRDefault="005C73B4" w:rsidP="00354EAD">
      <w:pPr>
        <w:autoSpaceDE w:val="0"/>
        <w:autoSpaceDN w:val="0"/>
        <w:adjustRightInd w:val="0"/>
        <w:spacing w:after="0" w:line="276" w:lineRule="auto"/>
        <w:rPr>
          <w:rFonts w:eastAsia="Arial"/>
        </w:rPr>
      </w:pPr>
    </w:p>
    <w:p w14:paraId="7B46D5CE" w14:textId="77777777" w:rsidR="00354EAD" w:rsidRPr="00F21980" w:rsidRDefault="00354EAD" w:rsidP="00354EAD">
      <w:pPr>
        <w:rPr>
          <w:b/>
        </w:rPr>
      </w:pPr>
      <w:r w:rsidRPr="00FC0786">
        <w:rPr>
          <w:b/>
        </w:rPr>
        <w:t>II. Reasons for change</w:t>
      </w:r>
    </w:p>
    <w:p w14:paraId="67854CB3" w14:textId="77777777" w:rsidR="00354EAD" w:rsidRPr="00562A2E" w:rsidRDefault="00354EAD" w:rsidP="4DA829A6">
      <w:pPr>
        <w:autoSpaceDE w:val="0"/>
        <w:autoSpaceDN w:val="0"/>
        <w:adjustRightInd w:val="0"/>
        <w:spacing w:after="0" w:line="276" w:lineRule="auto"/>
        <w:rPr>
          <w:rFonts w:eastAsia="Arial"/>
        </w:rPr>
      </w:pPr>
      <w:r w:rsidRPr="4DA829A6">
        <w:rPr>
          <w:rFonts w:eastAsia="Arial"/>
        </w:rPr>
        <w:t>In Budget 2023, amendments were proposed to Schedule 1 of the Carbon Tax Act to include new tables on the country specific CO2 emissions and fugitive emissions factors. The tables which were included in the Taxation Laws Amendment Bill of 2023 were withdrawn after public consultation on the TLAB to allow for further consultations with DFFE on the application of the tier 2 emission factors and determination of the appropriate net calorific values to be used for the different fuel types for calculation of greenhouse gas emissions.</w:t>
      </w:r>
    </w:p>
    <w:p w14:paraId="7FDC5B72" w14:textId="77777777" w:rsidR="00354EAD" w:rsidRPr="00562A2E" w:rsidRDefault="00354EAD" w:rsidP="00354EAD">
      <w:pPr>
        <w:autoSpaceDE w:val="0"/>
        <w:autoSpaceDN w:val="0"/>
        <w:adjustRightInd w:val="0"/>
        <w:spacing w:after="0" w:line="276" w:lineRule="auto"/>
        <w:rPr>
          <w:rFonts w:eastAsia="Arial"/>
        </w:rPr>
      </w:pPr>
    </w:p>
    <w:p w14:paraId="43AD1E3F" w14:textId="77777777" w:rsidR="00354EAD" w:rsidRDefault="00354EAD" w:rsidP="4DA829A6">
      <w:pPr>
        <w:autoSpaceDE w:val="0"/>
        <w:autoSpaceDN w:val="0"/>
        <w:adjustRightInd w:val="0"/>
        <w:spacing w:after="0" w:line="276" w:lineRule="auto"/>
        <w:rPr>
          <w:rFonts w:eastAsia="Arial"/>
        </w:rPr>
      </w:pPr>
      <w:r w:rsidRPr="4DA829A6">
        <w:rPr>
          <w:rFonts w:eastAsia="Arial"/>
        </w:rPr>
        <w:t>To ensure alignment between the Carbon Tax Act and the Department of Forestry, Fisheries and the Environment’s Methodological Guidelines for Quantification of Greenhouse Gas Emissions (the Methodological Guidelines), changes to the carbon dioxide emission factors and net calorific values for the relevant fuel types are necessary, as announced in the 2023 Budget. Updates to the Schedule 1 fuel combustion emissions factors and net calorific values and additional of new fuel types are necessary.</w:t>
      </w:r>
    </w:p>
    <w:p w14:paraId="636E3E36" w14:textId="77777777" w:rsidR="00354EAD" w:rsidRPr="00816B51" w:rsidRDefault="00354EAD" w:rsidP="00354EAD">
      <w:pPr>
        <w:autoSpaceDE w:val="0"/>
        <w:autoSpaceDN w:val="0"/>
        <w:adjustRightInd w:val="0"/>
        <w:spacing w:after="0" w:line="276" w:lineRule="auto"/>
        <w:rPr>
          <w:rFonts w:eastAsia="Arial"/>
          <w:lang w:val="en-US"/>
        </w:rPr>
      </w:pPr>
    </w:p>
    <w:p w14:paraId="175589F7" w14:textId="77777777" w:rsidR="00354EAD" w:rsidRPr="00DB01F5" w:rsidRDefault="00354EAD" w:rsidP="00354EAD">
      <w:pPr>
        <w:rPr>
          <w:b/>
        </w:rPr>
      </w:pPr>
      <w:r w:rsidRPr="00FC0786">
        <w:rPr>
          <w:b/>
        </w:rPr>
        <w:t>III. Proposal</w:t>
      </w:r>
    </w:p>
    <w:p w14:paraId="479A953B" w14:textId="77777777" w:rsidR="00354EAD" w:rsidRDefault="6D387B70" w:rsidP="4DA829A6">
      <w:pPr>
        <w:rPr>
          <w:rFonts w:eastAsia="Arial"/>
        </w:rPr>
      </w:pPr>
      <w:r w:rsidRPr="5FEEF3AA">
        <w:rPr>
          <w:rFonts w:eastAsia="Arial"/>
        </w:rPr>
        <w:t>As stated above, to ensure alignment between the Carbon Tax Act and the Department of Forestry, Fisheries and the Environment’s Methodological Guidelines, it is proposed that the Schedule 1 fuel combustion emission factors and net calorific values are updated, and new fuel types added, as set out in the tables below.</w:t>
      </w:r>
    </w:p>
    <w:p w14:paraId="615978B2" w14:textId="77777777" w:rsidR="00D370EE" w:rsidRPr="00562A2E" w:rsidRDefault="00D370EE" w:rsidP="00354EAD">
      <w:pPr>
        <w:rPr>
          <w:rFonts w:eastAsia="Arial"/>
        </w:rPr>
      </w:pPr>
    </w:p>
    <w:tbl>
      <w:tblPr>
        <w:tblStyle w:val="TableGrid3"/>
        <w:tblW w:w="0" w:type="auto"/>
        <w:tblInd w:w="0" w:type="dxa"/>
        <w:tblLayout w:type="fixed"/>
        <w:tblLook w:val="04A0" w:firstRow="1" w:lastRow="0" w:firstColumn="1" w:lastColumn="0" w:noHBand="0" w:noVBand="1"/>
      </w:tblPr>
      <w:tblGrid>
        <w:gridCol w:w="1863"/>
        <w:gridCol w:w="1063"/>
        <w:gridCol w:w="1055"/>
        <w:gridCol w:w="1063"/>
        <w:gridCol w:w="1061"/>
        <w:gridCol w:w="1422"/>
        <w:gridCol w:w="1489"/>
      </w:tblGrid>
      <w:tr w:rsidR="00354EAD" w:rsidRPr="00562A2E" w14:paraId="303C5AF8" w14:textId="77777777" w:rsidTr="4DA829A6">
        <w:trPr>
          <w:trHeight w:val="240"/>
        </w:trPr>
        <w:tc>
          <w:tcPr>
            <w:tcW w:w="9016" w:type="dxa"/>
            <w:gridSpan w:val="7"/>
            <w:noWrap/>
            <w:hideMark/>
          </w:tcPr>
          <w:p w14:paraId="105BE3BC" w14:textId="77777777" w:rsidR="00354EAD" w:rsidRPr="00562A2E" w:rsidRDefault="00354EAD">
            <w:pPr>
              <w:tabs>
                <w:tab w:val="left" w:pos="7288"/>
              </w:tabs>
              <w:spacing w:after="0" w:line="256" w:lineRule="auto"/>
              <w:jc w:val="left"/>
              <w:rPr>
                <w:rFonts w:cs="Arial"/>
                <w:szCs w:val="22"/>
              </w:rPr>
            </w:pPr>
            <w:r w:rsidRPr="00562A2E">
              <w:rPr>
                <w:rFonts w:cs="Arial"/>
                <w:b/>
                <w:bCs/>
                <w:szCs w:val="22"/>
              </w:rPr>
              <w:t xml:space="preserve">Table 1: Proposed Changes to Schedule 1 Stationary Fuel Emission Factors </w:t>
            </w:r>
          </w:p>
        </w:tc>
      </w:tr>
      <w:tr w:rsidR="00354EAD" w:rsidRPr="00562A2E" w14:paraId="076FED04" w14:textId="77777777" w:rsidTr="4DA829A6">
        <w:trPr>
          <w:trHeight w:val="550"/>
        </w:trPr>
        <w:tc>
          <w:tcPr>
            <w:tcW w:w="1863" w:type="dxa"/>
            <w:noWrap/>
            <w:hideMark/>
          </w:tcPr>
          <w:p w14:paraId="167AB45D"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 </w:t>
            </w:r>
          </w:p>
        </w:tc>
        <w:tc>
          <w:tcPr>
            <w:tcW w:w="3181" w:type="dxa"/>
            <w:gridSpan w:val="3"/>
            <w:hideMark/>
          </w:tcPr>
          <w:p w14:paraId="7C660635"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FUEL COMBUSTION EMISSION FACTORS STATIONARY SOURCE CATEGORY</w:t>
            </w:r>
          </w:p>
        </w:tc>
        <w:tc>
          <w:tcPr>
            <w:tcW w:w="3972" w:type="dxa"/>
            <w:gridSpan w:val="3"/>
            <w:noWrap/>
            <w:hideMark/>
          </w:tcPr>
          <w:p w14:paraId="710928D2"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DEFAULT NET CALORIFIC VALUE (TJ/TONNE)</w:t>
            </w:r>
          </w:p>
        </w:tc>
      </w:tr>
      <w:tr w:rsidR="00354EAD" w:rsidRPr="00562A2E" w14:paraId="273632F8" w14:textId="77777777" w:rsidTr="4DA829A6">
        <w:trPr>
          <w:trHeight w:val="720"/>
        </w:trPr>
        <w:tc>
          <w:tcPr>
            <w:tcW w:w="1863" w:type="dxa"/>
            <w:hideMark/>
          </w:tcPr>
          <w:p w14:paraId="6BE45524"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FUEL TYPE</w:t>
            </w:r>
          </w:p>
        </w:tc>
        <w:tc>
          <w:tcPr>
            <w:tcW w:w="1063" w:type="dxa"/>
            <w:hideMark/>
          </w:tcPr>
          <w:p w14:paraId="31A34A1A" w14:textId="77777777" w:rsidR="00354EAD" w:rsidRPr="00562A2E" w:rsidRDefault="00354EAD" w:rsidP="4DA829A6">
            <w:pPr>
              <w:tabs>
                <w:tab w:val="left" w:pos="7288"/>
              </w:tabs>
              <w:spacing w:after="0" w:line="256" w:lineRule="auto"/>
              <w:jc w:val="left"/>
              <w:rPr>
                <w:rFonts w:cs="Arial"/>
                <w:b/>
                <w:bCs/>
              </w:rPr>
            </w:pPr>
            <w:r w:rsidRPr="4DA829A6">
              <w:rPr>
                <w:rFonts w:cs="Arial"/>
                <w:b/>
                <w:bCs/>
              </w:rPr>
              <w:t>CO</w:t>
            </w:r>
            <w:r w:rsidRPr="4DA829A6">
              <w:rPr>
                <w:rFonts w:cs="Arial"/>
                <w:b/>
                <w:bCs/>
                <w:vertAlign w:val="subscript"/>
              </w:rPr>
              <w:t>2</w:t>
            </w:r>
            <w:r w:rsidRPr="4DA829A6">
              <w:rPr>
                <w:rFonts w:cs="Arial"/>
                <w:b/>
                <w:bCs/>
              </w:rPr>
              <w:t xml:space="preserve">                 (KGCO</w:t>
            </w:r>
            <w:r w:rsidRPr="4DA829A6">
              <w:rPr>
                <w:rFonts w:cs="Arial"/>
                <w:b/>
                <w:bCs/>
                <w:vertAlign w:val="subscript"/>
              </w:rPr>
              <w:t>2</w:t>
            </w:r>
            <w:r w:rsidRPr="4DA829A6">
              <w:rPr>
                <w:rFonts w:cs="Arial"/>
                <w:b/>
                <w:bCs/>
              </w:rPr>
              <w:t>/TJ)</w:t>
            </w:r>
          </w:p>
        </w:tc>
        <w:tc>
          <w:tcPr>
            <w:tcW w:w="1055" w:type="dxa"/>
            <w:hideMark/>
          </w:tcPr>
          <w:p w14:paraId="605EA361"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CH</w:t>
            </w:r>
            <w:r w:rsidRPr="00562A2E">
              <w:rPr>
                <w:rFonts w:cs="Arial"/>
                <w:b/>
                <w:bCs/>
                <w:szCs w:val="22"/>
                <w:vertAlign w:val="subscript"/>
              </w:rPr>
              <w:t>4</w:t>
            </w:r>
            <w:r w:rsidRPr="00562A2E">
              <w:rPr>
                <w:rFonts w:cs="Arial"/>
                <w:b/>
                <w:bCs/>
                <w:szCs w:val="22"/>
              </w:rPr>
              <w:t xml:space="preserve"> (KGCH</w:t>
            </w:r>
            <w:r w:rsidRPr="00562A2E">
              <w:rPr>
                <w:rFonts w:cs="Arial"/>
                <w:b/>
                <w:bCs/>
                <w:szCs w:val="22"/>
                <w:vertAlign w:val="subscript"/>
              </w:rPr>
              <w:t>4</w:t>
            </w:r>
            <w:r w:rsidRPr="00562A2E">
              <w:rPr>
                <w:rFonts w:cs="Arial"/>
                <w:b/>
                <w:bCs/>
                <w:szCs w:val="22"/>
              </w:rPr>
              <w:t>/TJ)</w:t>
            </w:r>
          </w:p>
        </w:tc>
        <w:tc>
          <w:tcPr>
            <w:tcW w:w="1063" w:type="dxa"/>
            <w:hideMark/>
          </w:tcPr>
          <w:p w14:paraId="29AEBB92"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N</w:t>
            </w:r>
            <w:r w:rsidRPr="00562A2E">
              <w:rPr>
                <w:rFonts w:cs="Arial"/>
                <w:b/>
                <w:bCs/>
                <w:szCs w:val="22"/>
                <w:vertAlign w:val="subscript"/>
              </w:rPr>
              <w:t>2</w:t>
            </w:r>
            <w:r w:rsidRPr="00562A2E">
              <w:rPr>
                <w:rFonts w:cs="Arial"/>
                <w:b/>
                <w:bCs/>
                <w:szCs w:val="22"/>
              </w:rPr>
              <w:t>O (KGN</w:t>
            </w:r>
            <w:r w:rsidRPr="00562A2E">
              <w:rPr>
                <w:rFonts w:cs="Arial"/>
                <w:b/>
                <w:bCs/>
                <w:szCs w:val="22"/>
                <w:vertAlign w:val="subscript"/>
              </w:rPr>
              <w:t>2</w:t>
            </w:r>
            <w:r w:rsidRPr="00562A2E">
              <w:rPr>
                <w:rFonts w:cs="Arial"/>
                <w:b/>
                <w:bCs/>
                <w:szCs w:val="22"/>
              </w:rPr>
              <w:t>O/TJ)</w:t>
            </w:r>
          </w:p>
        </w:tc>
        <w:tc>
          <w:tcPr>
            <w:tcW w:w="1061" w:type="dxa"/>
            <w:hideMark/>
          </w:tcPr>
          <w:p w14:paraId="2F5EA921"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NET CALORIFIC VALUE</w:t>
            </w:r>
          </w:p>
        </w:tc>
        <w:tc>
          <w:tcPr>
            <w:tcW w:w="1422" w:type="dxa"/>
            <w:hideMark/>
          </w:tcPr>
          <w:p w14:paraId="5D8B2FB4"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LOWER LIMIT OF THE 95% CONFIDENCE INTERVAL</w:t>
            </w:r>
          </w:p>
        </w:tc>
        <w:tc>
          <w:tcPr>
            <w:tcW w:w="1489" w:type="dxa"/>
            <w:hideMark/>
          </w:tcPr>
          <w:p w14:paraId="3FB1E8A1"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UPPER LIMIT OF THE 95% CONFIDENCE INTERVAL</w:t>
            </w:r>
          </w:p>
        </w:tc>
      </w:tr>
      <w:tr w:rsidR="00354EAD" w:rsidRPr="00562A2E" w14:paraId="0222DFC4" w14:textId="77777777" w:rsidTr="4DA829A6">
        <w:trPr>
          <w:trHeight w:val="240"/>
        </w:trPr>
        <w:tc>
          <w:tcPr>
            <w:tcW w:w="1863" w:type="dxa"/>
            <w:noWrap/>
            <w:hideMark/>
          </w:tcPr>
          <w:p w14:paraId="654E1CB3"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 xml:space="preserve">Changes to existing fuel types </w:t>
            </w:r>
          </w:p>
        </w:tc>
        <w:tc>
          <w:tcPr>
            <w:tcW w:w="1063" w:type="dxa"/>
            <w:noWrap/>
            <w:hideMark/>
          </w:tcPr>
          <w:p w14:paraId="00AFD93F"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55" w:type="dxa"/>
            <w:noWrap/>
            <w:hideMark/>
          </w:tcPr>
          <w:p w14:paraId="752DEDAC"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63" w:type="dxa"/>
            <w:noWrap/>
            <w:hideMark/>
          </w:tcPr>
          <w:p w14:paraId="7E03CAA1"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61" w:type="dxa"/>
            <w:noWrap/>
            <w:hideMark/>
          </w:tcPr>
          <w:p w14:paraId="7281847C"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422" w:type="dxa"/>
            <w:noWrap/>
            <w:hideMark/>
          </w:tcPr>
          <w:p w14:paraId="6DC48EF1"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489" w:type="dxa"/>
            <w:noWrap/>
            <w:hideMark/>
          </w:tcPr>
          <w:p w14:paraId="28ACA42B"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r>
      <w:tr w:rsidR="00354EAD" w:rsidRPr="00562A2E" w14:paraId="5524DF5A" w14:textId="77777777" w:rsidTr="4DA829A6">
        <w:trPr>
          <w:trHeight w:val="240"/>
        </w:trPr>
        <w:tc>
          <w:tcPr>
            <w:tcW w:w="1863" w:type="dxa"/>
            <w:noWrap/>
            <w:hideMark/>
          </w:tcPr>
          <w:p w14:paraId="0EEF0306" w14:textId="77777777" w:rsidR="00354EAD" w:rsidRPr="00562A2E" w:rsidRDefault="00354EAD">
            <w:pPr>
              <w:tabs>
                <w:tab w:val="left" w:pos="7288"/>
              </w:tabs>
              <w:spacing w:after="0" w:line="256" w:lineRule="auto"/>
              <w:jc w:val="left"/>
              <w:rPr>
                <w:rFonts w:cs="Arial"/>
                <w:szCs w:val="22"/>
              </w:rPr>
            </w:pPr>
            <w:r w:rsidRPr="00562A2E">
              <w:rPr>
                <w:rFonts w:cs="Arial"/>
                <w:szCs w:val="22"/>
              </w:rPr>
              <w:t>Aviation Gasoline</w:t>
            </w:r>
          </w:p>
        </w:tc>
        <w:tc>
          <w:tcPr>
            <w:tcW w:w="1063" w:type="dxa"/>
            <w:noWrap/>
            <w:hideMark/>
          </w:tcPr>
          <w:p w14:paraId="0253C617" w14:textId="77777777" w:rsidR="00354EAD" w:rsidRPr="00562A2E" w:rsidRDefault="00354EAD">
            <w:pPr>
              <w:tabs>
                <w:tab w:val="left" w:pos="7288"/>
              </w:tabs>
              <w:spacing w:after="0" w:line="256" w:lineRule="auto"/>
              <w:jc w:val="left"/>
              <w:rPr>
                <w:rFonts w:cs="Arial"/>
                <w:szCs w:val="22"/>
              </w:rPr>
            </w:pPr>
            <w:r w:rsidRPr="00562A2E">
              <w:rPr>
                <w:rFonts w:cs="Arial"/>
                <w:szCs w:val="22"/>
              </w:rPr>
              <w:t>65 752</w:t>
            </w:r>
          </w:p>
        </w:tc>
        <w:tc>
          <w:tcPr>
            <w:tcW w:w="1055" w:type="dxa"/>
            <w:noWrap/>
            <w:hideMark/>
          </w:tcPr>
          <w:p w14:paraId="62E320B8"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3E6B0DCF"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2BFD9C50" w14:textId="77777777" w:rsidR="00354EAD" w:rsidRPr="00562A2E" w:rsidRDefault="00354EAD">
            <w:pPr>
              <w:tabs>
                <w:tab w:val="left" w:pos="7288"/>
              </w:tabs>
              <w:spacing w:after="0" w:line="256" w:lineRule="auto"/>
              <w:jc w:val="left"/>
              <w:rPr>
                <w:rFonts w:cs="Arial"/>
                <w:szCs w:val="22"/>
              </w:rPr>
            </w:pPr>
            <w:r w:rsidRPr="00562A2E">
              <w:rPr>
                <w:rFonts w:cs="Arial"/>
                <w:szCs w:val="22"/>
              </w:rPr>
              <w:t>0.0475</w:t>
            </w:r>
          </w:p>
        </w:tc>
        <w:tc>
          <w:tcPr>
            <w:tcW w:w="1422" w:type="dxa"/>
            <w:noWrap/>
            <w:hideMark/>
          </w:tcPr>
          <w:p w14:paraId="3B6261EF" w14:textId="574142B0" w:rsidR="00354EAD" w:rsidRPr="00562A2E" w:rsidRDefault="00354EAD">
            <w:pPr>
              <w:tabs>
                <w:tab w:val="left" w:pos="7288"/>
              </w:tabs>
              <w:spacing w:after="0" w:line="256" w:lineRule="auto"/>
              <w:jc w:val="left"/>
              <w:rPr>
                <w:rFonts w:cs="Arial"/>
                <w:szCs w:val="22"/>
              </w:rPr>
            </w:pPr>
          </w:p>
        </w:tc>
        <w:tc>
          <w:tcPr>
            <w:tcW w:w="1489" w:type="dxa"/>
            <w:noWrap/>
            <w:hideMark/>
          </w:tcPr>
          <w:p w14:paraId="4853E27E" w14:textId="7599D099" w:rsidR="00354EAD" w:rsidRPr="00562A2E" w:rsidRDefault="00676E02">
            <w:pPr>
              <w:tabs>
                <w:tab w:val="left" w:pos="7288"/>
              </w:tabs>
              <w:spacing w:after="0" w:line="256" w:lineRule="auto"/>
              <w:jc w:val="left"/>
              <w:rPr>
                <w:rFonts w:cs="Arial"/>
                <w:szCs w:val="22"/>
              </w:rPr>
            </w:pPr>
            <w:r w:rsidRPr="00676E02">
              <w:rPr>
                <w:rFonts w:cs="Arial"/>
                <w:szCs w:val="22"/>
              </w:rPr>
              <w:t>0.0475</w:t>
            </w:r>
          </w:p>
        </w:tc>
      </w:tr>
      <w:tr w:rsidR="00354EAD" w:rsidRPr="00562A2E" w14:paraId="27158C2A" w14:textId="77777777" w:rsidTr="00417786">
        <w:trPr>
          <w:trHeight w:val="240"/>
        </w:trPr>
        <w:tc>
          <w:tcPr>
            <w:tcW w:w="1863" w:type="dxa"/>
            <w:noWrap/>
            <w:hideMark/>
          </w:tcPr>
          <w:p w14:paraId="029968E6" w14:textId="77777777" w:rsidR="00354EAD" w:rsidRPr="00562A2E" w:rsidRDefault="00354EAD">
            <w:pPr>
              <w:tabs>
                <w:tab w:val="left" w:pos="7288"/>
              </w:tabs>
              <w:spacing w:after="0" w:line="256" w:lineRule="auto"/>
              <w:jc w:val="left"/>
              <w:rPr>
                <w:rFonts w:cs="Arial"/>
                <w:szCs w:val="22"/>
              </w:rPr>
            </w:pPr>
            <w:r w:rsidRPr="00562A2E">
              <w:rPr>
                <w:rFonts w:cs="Arial"/>
                <w:szCs w:val="22"/>
              </w:rPr>
              <w:t>Diesel</w:t>
            </w:r>
          </w:p>
        </w:tc>
        <w:tc>
          <w:tcPr>
            <w:tcW w:w="1063" w:type="dxa"/>
            <w:noWrap/>
            <w:hideMark/>
          </w:tcPr>
          <w:p w14:paraId="5259F3EE" w14:textId="77777777" w:rsidR="00354EAD" w:rsidRPr="00562A2E" w:rsidRDefault="00354EAD">
            <w:pPr>
              <w:tabs>
                <w:tab w:val="left" w:pos="7288"/>
              </w:tabs>
              <w:spacing w:after="0" w:line="256" w:lineRule="auto"/>
              <w:jc w:val="left"/>
              <w:rPr>
                <w:rFonts w:cs="Arial"/>
                <w:szCs w:val="22"/>
              </w:rPr>
            </w:pPr>
            <w:r w:rsidRPr="00562A2E">
              <w:rPr>
                <w:rFonts w:cs="Arial"/>
                <w:szCs w:val="22"/>
              </w:rPr>
              <w:t>74 638</w:t>
            </w:r>
          </w:p>
        </w:tc>
        <w:tc>
          <w:tcPr>
            <w:tcW w:w="1055" w:type="dxa"/>
            <w:noWrap/>
            <w:hideMark/>
          </w:tcPr>
          <w:p w14:paraId="5FEFCA07"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0D2653D9"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126B757D" w14:textId="77777777" w:rsidR="00354EAD" w:rsidRPr="00562A2E" w:rsidRDefault="00354EAD">
            <w:pPr>
              <w:tabs>
                <w:tab w:val="left" w:pos="7288"/>
              </w:tabs>
              <w:spacing w:after="0" w:line="256" w:lineRule="auto"/>
              <w:jc w:val="left"/>
              <w:rPr>
                <w:rFonts w:cs="Arial"/>
                <w:szCs w:val="22"/>
              </w:rPr>
            </w:pPr>
            <w:r w:rsidRPr="00562A2E">
              <w:rPr>
                <w:rFonts w:cs="Arial"/>
                <w:szCs w:val="22"/>
              </w:rPr>
              <w:t>0.043</w:t>
            </w:r>
          </w:p>
        </w:tc>
        <w:tc>
          <w:tcPr>
            <w:tcW w:w="1422" w:type="dxa"/>
            <w:noWrap/>
          </w:tcPr>
          <w:p w14:paraId="3F870517" w14:textId="63005AC9" w:rsidR="00354EAD" w:rsidRPr="00562A2E" w:rsidRDefault="00354EAD">
            <w:pPr>
              <w:tabs>
                <w:tab w:val="left" w:pos="7288"/>
              </w:tabs>
              <w:spacing w:after="0" w:line="256" w:lineRule="auto"/>
              <w:jc w:val="left"/>
              <w:rPr>
                <w:rFonts w:cs="Arial"/>
                <w:szCs w:val="22"/>
              </w:rPr>
            </w:pPr>
          </w:p>
        </w:tc>
        <w:tc>
          <w:tcPr>
            <w:tcW w:w="1489" w:type="dxa"/>
            <w:noWrap/>
          </w:tcPr>
          <w:p w14:paraId="39DB248A" w14:textId="4EDFD17E" w:rsidR="00354EAD" w:rsidRPr="00562A2E" w:rsidRDefault="00676E02">
            <w:pPr>
              <w:tabs>
                <w:tab w:val="left" w:pos="7288"/>
              </w:tabs>
              <w:spacing w:after="0" w:line="256" w:lineRule="auto"/>
              <w:jc w:val="left"/>
              <w:rPr>
                <w:rFonts w:cs="Arial"/>
                <w:szCs w:val="22"/>
              </w:rPr>
            </w:pPr>
            <w:r w:rsidRPr="00676E02">
              <w:rPr>
                <w:rFonts w:cs="Arial"/>
                <w:szCs w:val="22"/>
              </w:rPr>
              <w:t>0.043</w:t>
            </w:r>
            <w:r w:rsidR="0020410D">
              <w:rPr>
                <w:rFonts w:cs="Arial"/>
                <w:szCs w:val="22"/>
              </w:rPr>
              <w:t>3</w:t>
            </w:r>
          </w:p>
        </w:tc>
      </w:tr>
      <w:tr w:rsidR="00354EAD" w:rsidRPr="00562A2E" w14:paraId="03A8946B" w14:textId="77777777" w:rsidTr="00417786">
        <w:trPr>
          <w:trHeight w:val="240"/>
        </w:trPr>
        <w:tc>
          <w:tcPr>
            <w:tcW w:w="1863" w:type="dxa"/>
            <w:noWrap/>
            <w:hideMark/>
          </w:tcPr>
          <w:p w14:paraId="00AEEC6C" w14:textId="77777777" w:rsidR="00354EAD" w:rsidRPr="00562A2E" w:rsidRDefault="00354EAD">
            <w:pPr>
              <w:tabs>
                <w:tab w:val="left" w:pos="7288"/>
              </w:tabs>
              <w:spacing w:after="0" w:line="256" w:lineRule="auto"/>
              <w:jc w:val="left"/>
              <w:rPr>
                <w:rFonts w:cs="Arial"/>
                <w:szCs w:val="22"/>
              </w:rPr>
            </w:pPr>
            <w:r w:rsidRPr="00562A2E">
              <w:rPr>
                <w:rFonts w:cs="Arial"/>
                <w:szCs w:val="22"/>
              </w:rPr>
              <w:t>Heavy Fuel Oil (residual fuel oil)</w:t>
            </w:r>
          </w:p>
        </w:tc>
        <w:tc>
          <w:tcPr>
            <w:tcW w:w="1063" w:type="dxa"/>
            <w:noWrap/>
            <w:hideMark/>
          </w:tcPr>
          <w:p w14:paraId="51B09172" w14:textId="77777777" w:rsidR="00354EAD" w:rsidRPr="00562A2E" w:rsidRDefault="00354EAD">
            <w:pPr>
              <w:tabs>
                <w:tab w:val="left" w:pos="7288"/>
              </w:tabs>
              <w:spacing w:after="0" w:line="256" w:lineRule="auto"/>
              <w:jc w:val="left"/>
              <w:rPr>
                <w:rFonts w:cs="Arial"/>
                <w:szCs w:val="22"/>
              </w:rPr>
            </w:pPr>
            <w:r w:rsidRPr="00562A2E">
              <w:rPr>
                <w:rFonts w:cs="Arial"/>
                <w:szCs w:val="22"/>
              </w:rPr>
              <w:t>73 090</w:t>
            </w:r>
          </w:p>
        </w:tc>
        <w:tc>
          <w:tcPr>
            <w:tcW w:w="1055" w:type="dxa"/>
            <w:noWrap/>
            <w:hideMark/>
          </w:tcPr>
          <w:p w14:paraId="7DC8B4AD"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17C85C97"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7C94DD8D" w14:textId="77777777" w:rsidR="00354EAD" w:rsidRPr="00562A2E" w:rsidRDefault="00354EAD">
            <w:pPr>
              <w:tabs>
                <w:tab w:val="left" w:pos="7288"/>
              </w:tabs>
              <w:spacing w:after="0" w:line="256" w:lineRule="auto"/>
              <w:jc w:val="left"/>
              <w:rPr>
                <w:rFonts w:cs="Arial"/>
                <w:szCs w:val="22"/>
              </w:rPr>
            </w:pPr>
            <w:r w:rsidRPr="00562A2E">
              <w:rPr>
                <w:rFonts w:cs="Arial"/>
                <w:szCs w:val="22"/>
              </w:rPr>
              <w:t>0.043</w:t>
            </w:r>
          </w:p>
        </w:tc>
        <w:tc>
          <w:tcPr>
            <w:tcW w:w="1422" w:type="dxa"/>
            <w:noWrap/>
          </w:tcPr>
          <w:p w14:paraId="76045C1C" w14:textId="7E5E0B13" w:rsidR="00354EAD" w:rsidRPr="00562A2E" w:rsidRDefault="00354EAD">
            <w:pPr>
              <w:tabs>
                <w:tab w:val="left" w:pos="7288"/>
              </w:tabs>
              <w:spacing w:after="0" w:line="256" w:lineRule="auto"/>
              <w:jc w:val="left"/>
              <w:rPr>
                <w:rFonts w:cs="Arial"/>
                <w:szCs w:val="22"/>
              </w:rPr>
            </w:pPr>
          </w:p>
        </w:tc>
        <w:tc>
          <w:tcPr>
            <w:tcW w:w="1489" w:type="dxa"/>
            <w:noWrap/>
          </w:tcPr>
          <w:p w14:paraId="204EA1F9" w14:textId="1FA7AB29" w:rsidR="00354EAD" w:rsidRPr="00562A2E" w:rsidRDefault="00354EAD">
            <w:pPr>
              <w:tabs>
                <w:tab w:val="left" w:pos="7288"/>
              </w:tabs>
              <w:spacing w:after="0" w:line="256" w:lineRule="auto"/>
              <w:jc w:val="left"/>
              <w:rPr>
                <w:rFonts w:cs="Arial"/>
                <w:szCs w:val="22"/>
              </w:rPr>
            </w:pPr>
          </w:p>
        </w:tc>
      </w:tr>
      <w:tr w:rsidR="00354EAD" w:rsidRPr="00562A2E" w14:paraId="39450072" w14:textId="77777777" w:rsidTr="00417786">
        <w:trPr>
          <w:trHeight w:val="240"/>
        </w:trPr>
        <w:tc>
          <w:tcPr>
            <w:tcW w:w="1863" w:type="dxa"/>
            <w:noWrap/>
            <w:hideMark/>
          </w:tcPr>
          <w:p w14:paraId="755280DE" w14:textId="77777777" w:rsidR="00354EAD" w:rsidRPr="00562A2E" w:rsidRDefault="00354EAD">
            <w:pPr>
              <w:tabs>
                <w:tab w:val="left" w:pos="7288"/>
              </w:tabs>
              <w:spacing w:after="0" w:line="256" w:lineRule="auto"/>
              <w:jc w:val="left"/>
              <w:rPr>
                <w:rFonts w:cs="Arial"/>
                <w:szCs w:val="22"/>
              </w:rPr>
            </w:pPr>
            <w:r w:rsidRPr="00562A2E">
              <w:rPr>
                <w:rFonts w:cs="Arial"/>
                <w:szCs w:val="22"/>
              </w:rPr>
              <w:t>Jet Kerosene</w:t>
            </w:r>
          </w:p>
        </w:tc>
        <w:tc>
          <w:tcPr>
            <w:tcW w:w="1063" w:type="dxa"/>
            <w:noWrap/>
            <w:hideMark/>
          </w:tcPr>
          <w:p w14:paraId="7926C718" w14:textId="77777777" w:rsidR="00354EAD" w:rsidRPr="00562A2E" w:rsidRDefault="00354EAD">
            <w:pPr>
              <w:tabs>
                <w:tab w:val="left" w:pos="7288"/>
              </w:tabs>
              <w:spacing w:after="0" w:line="256" w:lineRule="auto"/>
              <w:jc w:val="left"/>
              <w:rPr>
                <w:rFonts w:cs="Arial"/>
                <w:szCs w:val="22"/>
              </w:rPr>
            </w:pPr>
            <w:r w:rsidRPr="00562A2E">
              <w:rPr>
                <w:rFonts w:cs="Arial"/>
                <w:szCs w:val="22"/>
              </w:rPr>
              <w:t>73 463</w:t>
            </w:r>
          </w:p>
        </w:tc>
        <w:tc>
          <w:tcPr>
            <w:tcW w:w="1055" w:type="dxa"/>
            <w:noWrap/>
            <w:hideMark/>
          </w:tcPr>
          <w:p w14:paraId="5FB0ED10"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218356B5"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46A213B4" w14:textId="77777777" w:rsidR="00354EAD" w:rsidRPr="00562A2E" w:rsidRDefault="00354EAD">
            <w:pPr>
              <w:tabs>
                <w:tab w:val="left" w:pos="7288"/>
              </w:tabs>
              <w:spacing w:after="0" w:line="256" w:lineRule="auto"/>
              <w:jc w:val="left"/>
              <w:rPr>
                <w:rFonts w:cs="Arial"/>
                <w:szCs w:val="22"/>
              </w:rPr>
            </w:pPr>
            <w:r w:rsidRPr="00562A2E">
              <w:rPr>
                <w:rFonts w:cs="Arial"/>
                <w:szCs w:val="22"/>
              </w:rPr>
              <w:t>0.0433</w:t>
            </w:r>
          </w:p>
        </w:tc>
        <w:tc>
          <w:tcPr>
            <w:tcW w:w="1422" w:type="dxa"/>
            <w:noWrap/>
          </w:tcPr>
          <w:p w14:paraId="52DAB1D6" w14:textId="2274B2C9" w:rsidR="00354EAD" w:rsidRPr="00562A2E" w:rsidRDefault="00354EAD">
            <w:pPr>
              <w:tabs>
                <w:tab w:val="left" w:pos="7288"/>
              </w:tabs>
              <w:spacing w:after="0" w:line="256" w:lineRule="auto"/>
              <w:jc w:val="left"/>
              <w:rPr>
                <w:rFonts w:cs="Arial"/>
                <w:szCs w:val="22"/>
              </w:rPr>
            </w:pPr>
          </w:p>
        </w:tc>
        <w:tc>
          <w:tcPr>
            <w:tcW w:w="1489" w:type="dxa"/>
            <w:noWrap/>
          </w:tcPr>
          <w:p w14:paraId="2AE54997" w14:textId="78DBC72B" w:rsidR="00354EAD" w:rsidRPr="00562A2E" w:rsidRDefault="00354EAD">
            <w:pPr>
              <w:tabs>
                <w:tab w:val="left" w:pos="7288"/>
              </w:tabs>
              <w:spacing w:after="0" w:line="256" w:lineRule="auto"/>
              <w:jc w:val="left"/>
              <w:rPr>
                <w:rFonts w:cs="Arial"/>
                <w:szCs w:val="22"/>
              </w:rPr>
            </w:pPr>
          </w:p>
        </w:tc>
      </w:tr>
      <w:tr w:rsidR="00354EAD" w:rsidRPr="00562A2E" w14:paraId="10B0BD5A" w14:textId="77777777" w:rsidTr="00417786">
        <w:trPr>
          <w:trHeight w:val="240"/>
        </w:trPr>
        <w:tc>
          <w:tcPr>
            <w:tcW w:w="1863" w:type="dxa"/>
            <w:noWrap/>
            <w:hideMark/>
          </w:tcPr>
          <w:p w14:paraId="272EE00B" w14:textId="77777777" w:rsidR="00354EAD" w:rsidRPr="00562A2E" w:rsidRDefault="00354EAD">
            <w:pPr>
              <w:tabs>
                <w:tab w:val="left" w:pos="7288"/>
              </w:tabs>
              <w:spacing w:after="0" w:line="256" w:lineRule="auto"/>
              <w:jc w:val="left"/>
              <w:rPr>
                <w:rFonts w:cs="Arial"/>
                <w:szCs w:val="22"/>
              </w:rPr>
            </w:pPr>
            <w:r w:rsidRPr="00562A2E">
              <w:rPr>
                <w:rFonts w:cs="Arial"/>
                <w:szCs w:val="22"/>
              </w:rPr>
              <w:t>Liquefied Petroleum Gas (LPG)</w:t>
            </w:r>
          </w:p>
        </w:tc>
        <w:tc>
          <w:tcPr>
            <w:tcW w:w="1063" w:type="dxa"/>
            <w:noWrap/>
            <w:hideMark/>
          </w:tcPr>
          <w:p w14:paraId="4C55DC8A" w14:textId="77777777" w:rsidR="00354EAD" w:rsidRPr="00562A2E" w:rsidRDefault="00354EAD">
            <w:pPr>
              <w:tabs>
                <w:tab w:val="left" w:pos="7288"/>
              </w:tabs>
              <w:spacing w:after="0" w:line="256" w:lineRule="auto"/>
              <w:jc w:val="left"/>
              <w:rPr>
                <w:rFonts w:cs="Arial"/>
                <w:szCs w:val="22"/>
              </w:rPr>
            </w:pPr>
            <w:r w:rsidRPr="00562A2E">
              <w:rPr>
                <w:rFonts w:cs="Arial"/>
                <w:szCs w:val="22"/>
              </w:rPr>
              <w:t>64 852</w:t>
            </w:r>
          </w:p>
        </w:tc>
        <w:tc>
          <w:tcPr>
            <w:tcW w:w="1055" w:type="dxa"/>
            <w:noWrap/>
            <w:hideMark/>
          </w:tcPr>
          <w:p w14:paraId="14FA6C1B"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661216B5"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5EFE01DB" w14:textId="77777777" w:rsidR="00354EAD" w:rsidRPr="00562A2E" w:rsidRDefault="00354EAD">
            <w:pPr>
              <w:tabs>
                <w:tab w:val="left" w:pos="7288"/>
              </w:tabs>
              <w:spacing w:after="0" w:line="256" w:lineRule="auto"/>
              <w:jc w:val="left"/>
              <w:rPr>
                <w:rFonts w:cs="Arial"/>
                <w:szCs w:val="22"/>
              </w:rPr>
            </w:pPr>
            <w:r w:rsidRPr="00562A2E">
              <w:rPr>
                <w:rFonts w:cs="Arial"/>
                <w:szCs w:val="22"/>
              </w:rPr>
              <w:t>0.0463</w:t>
            </w:r>
          </w:p>
        </w:tc>
        <w:tc>
          <w:tcPr>
            <w:tcW w:w="1422" w:type="dxa"/>
            <w:noWrap/>
          </w:tcPr>
          <w:p w14:paraId="519A222C" w14:textId="5A790810" w:rsidR="00354EAD" w:rsidRPr="00562A2E" w:rsidRDefault="00354EAD">
            <w:pPr>
              <w:tabs>
                <w:tab w:val="left" w:pos="7288"/>
              </w:tabs>
              <w:spacing w:after="0" w:line="256" w:lineRule="auto"/>
              <w:jc w:val="left"/>
              <w:rPr>
                <w:rFonts w:cs="Arial"/>
                <w:szCs w:val="22"/>
              </w:rPr>
            </w:pPr>
          </w:p>
        </w:tc>
        <w:tc>
          <w:tcPr>
            <w:tcW w:w="1489" w:type="dxa"/>
            <w:noWrap/>
          </w:tcPr>
          <w:p w14:paraId="211DD63E" w14:textId="71FB8DBA" w:rsidR="00354EAD" w:rsidRPr="00562A2E" w:rsidRDefault="00354EAD">
            <w:pPr>
              <w:tabs>
                <w:tab w:val="left" w:pos="7288"/>
              </w:tabs>
              <w:spacing w:after="0" w:line="256" w:lineRule="auto"/>
              <w:jc w:val="left"/>
              <w:rPr>
                <w:rFonts w:cs="Arial"/>
                <w:szCs w:val="22"/>
              </w:rPr>
            </w:pPr>
          </w:p>
        </w:tc>
      </w:tr>
      <w:tr w:rsidR="00354EAD" w:rsidRPr="00562A2E" w14:paraId="2EECE778" w14:textId="77777777" w:rsidTr="00417786">
        <w:trPr>
          <w:trHeight w:val="240"/>
        </w:trPr>
        <w:tc>
          <w:tcPr>
            <w:tcW w:w="1863" w:type="dxa"/>
            <w:noWrap/>
            <w:hideMark/>
          </w:tcPr>
          <w:p w14:paraId="675CDB58" w14:textId="77777777" w:rsidR="00354EAD" w:rsidRPr="00562A2E" w:rsidRDefault="00354EAD">
            <w:pPr>
              <w:tabs>
                <w:tab w:val="left" w:pos="7288"/>
              </w:tabs>
              <w:spacing w:after="0" w:line="256" w:lineRule="auto"/>
              <w:jc w:val="left"/>
              <w:rPr>
                <w:rFonts w:cs="Arial"/>
                <w:szCs w:val="22"/>
              </w:rPr>
            </w:pPr>
            <w:r w:rsidRPr="00562A2E">
              <w:rPr>
                <w:rFonts w:cs="Arial"/>
                <w:szCs w:val="22"/>
              </w:rPr>
              <w:t>Paraffin</w:t>
            </w:r>
          </w:p>
        </w:tc>
        <w:tc>
          <w:tcPr>
            <w:tcW w:w="1063" w:type="dxa"/>
            <w:noWrap/>
            <w:hideMark/>
          </w:tcPr>
          <w:p w14:paraId="70579AE7" w14:textId="77777777" w:rsidR="00354EAD" w:rsidRPr="00562A2E" w:rsidRDefault="00354EAD">
            <w:pPr>
              <w:tabs>
                <w:tab w:val="left" w:pos="7288"/>
              </w:tabs>
              <w:spacing w:after="0" w:line="256" w:lineRule="auto"/>
              <w:jc w:val="left"/>
              <w:rPr>
                <w:rFonts w:cs="Arial"/>
                <w:szCs w:val="22"/>
              </w:rPr>
            </w:pPr>
            <w:r w:rsidRPr="00562A2E">
              <w:rPr>
                <w:rFonts w:cs="Arial"/>
                <w:szCs w:val="22"/>
              </w:rPr>
              <w:t>64 640</w:t>
            </w:r>
          </w:p>
        </w:tc>
        <w:tc>
          <w:tcPr>
            <w:tcW w:w="1055" w:type="dxa"/>
            <w:noWrap/>
            <w:hideMark/>
          </w:tcPr>
          <w:p w14:paraId="6BDE8B3F"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5390EF7D"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7A407522" w14:textId="77777777" w:rsidR="00354EAD" w:rsidRPr="00562A2E" w:rsidRDefault="00354EAD">
            <w:pPr>
              <w:tabs>
                <w:tab w:val="left" w:pos="7288"/>
              </w:tabs>
              <w:spacing w:after="0" w:line="256" w:lineRule="auto"/>
              <w:jc w:val="left"/>
              <w:rPr>
                <w:rFonts w:cs="Arial"/>
                <w:szCs w:val="22"/>
              </w:rPr>
            </w:pPr>
            <w:r w:rsidRPr="00562A2E">
              <w:rPr>
                <w:rFonts w:cs="Arial"/>
                <w:szCs w:val="22"/>
              </w:rPr>
              <w:t>0.049</w:t>
            </w:r>
          </w:p>
        </w:tc>
        <w:tc>
          <w:tcPr>
            <w:tcW w:w="1422" w:type="dxa"/>
            <w:noWrap/>
          </w:tcPr>
          <w:p w14:paraId="15DA9AAE" w14:textId="1096F0B8" w:rsidR="00354EAD" w:rsidRPr="00562A2E" w:rsidRDefault="00354EAD">
            <w:pPr>
              <w:tabs>
                <w:tab w:val="left" w:pos="7288"/>
              </w:tabs>
              <w:spacing w:after="0" w:line="256" w:lineRule="auto"/>
              <w:jc w:val="left"/>
              <w:rPr>
                <w:rFonts w:cs="Arial"/>
                <w:szCs w:val="22"/>
              </w:rPr>
            </w:pPr>
          </w:p>
        </w:tc>
        <w:tc>
          <w:tcPr>
            <w:tcW w:w="1489" w:type="dxa"/>
            <w:noWrap/>
          </w:tcPr>
          <w:p w14:paraId="7E6CCC77" w14:textId="7F9AFD7E" w:rsidR="00354EAD" w:rsidRPr="00562A2E" w:rsidRDefault="0020410D">
            <w:pPr>
              <w:tabs>
                <w:tab w:val="left" w:pos="7288"/>
              </w:tabs>
              <w:spacing w:after="0" w:line="256" w:lineRule="auto"/>
              <w:jc w:val="left"/>
              <w:rPr>
                <w:rFonts w:cs="Arial"/>
                <w:szCs w:val="22"/>
              </w:rPr>
            </w:pPr>
            <w:r w:rsidRPr="0020410D">
              <w:rPr>
                <w:rFonts w:cs="Arial"/>
                <w:szCs w:val="22"/>
              </w:rPr>
              <w:t>0.049</w:t>
            </w:r>
            <w:r>
              <w:rPr>
                <w:rFonts w:cs="Arial"/>
                <w:szCs w:val="22"/>
              </w:rPr>
              <w:t>0</w:t>
            </w:r>
          </w:p>
        </w:tc>
      </w:tr>
      <w:tr w:rsidR="00354EAD" w:rsidRPr="00562A2E" w14:paraId="2B3739F8" w14:textId="77777777" w:rsidTr="00417786">
        <w:trPr>
          <w:trHeight w:val="240"/>
        </w:trPr>
        <w:tc>
          <w:tcPr>
            <w:tcW w:w="1863" w:type="dxa"/>
            <w:noWrap/>
            <w:hideMark/>
          </w:tcPr>
          <w:p w14:paraId="5178B258" w14:textId="77777777" w:rsidR="00354EAD" w:rsidRPr="00562A2E" w:rsidRDefault="00354EAD">
            <w:pPr>
              <w:tabs>
                <w:tab w:val="left" w:pos="7288"/>
              </w:tabs>
              <w:spacing w:after="0" w:line="256" w:lineRule="auto"/>
              <w:jc w:val="left"/>
              <w:rPr>
                <w:rFonts w:cs="Arial"/>
                <w:szCs w:val="22"/>
              </w:rPr>
            </w:pPr>
            <w:r w:rsidRPr="00562A2E">
              <w:rPr>
                <w:rFonts w:cs="Arial"/>
                <w:szCs w:val="22"/>
              </w:rPr>
              <w:t>Petrol</w:t>
            </w:r>
          </w:p>
        </w:tc>
        <w:tc>
          <w:tcPr>
            <w:tcW w:w="1063" w:type="dxa"/>
            <w:noWrap/>
            <w:hideMark/>
          </w:tcPr>
          <w:p w14:paraId="1E5ECC50" w14:textId="77777777" w:rsidR="00354EAD" w:rsidRPr="00562A2E" w:rsidRDefault="00354EAD">
            <w:pPr>
              <w:tabs>
                <w:tab w:val="left" w:pos="7288"/>
              </w:tabs>
              <w:spacing w:after="0" w:line="256" w:lineRule="auto"/>
              <w:jc w:val="left"/>
              <w:rPr>
                <w:rFonts w:cs="Arial"/>
                <w:szCs w:val="22"/>
              </w:rPr>
            </w:pPr>
            <w:r w:rsidRPr="00562A2E">
              <w:rPr>
                <w:rFonts w:cs="Arial"/>
                <w:szCs w:val="22"/>
              </w:rPr>
              <w:t>72 430</w:t>
            </w:r>
          </w:p>
        </w:tc>
        <w:tc>
          <w:tcPr>
            <w:tcW w:w="1055" w:type="dxa"/>
            <w:noWrap/>
            <w:hideMark/>
          </w:tcPr>
          <w:p w14:paraId="35D0D395"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2751CFA6"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0897E8F4" w14:textId="77777777" w:rsidR="00354EAD" w:rsidRPr="00562A2E" w:rsidRDefault="00354EAD">
            <w:pPr>
              <w:tabs>
                <w:tab w:val="left" w:pos="7288"/>
              </w:tabs>
              <w:spacing w:after="0" w:line="256" w:lineRule="auto"/>
              <w:jc w:val="left"/>
              <w:rPr>
                <w:rFonts w:cs="Arial"/>
                <w:szCs w:val="22"/>
              </w:rPr>
            </w:pPr>
            <w:r w:rsidRPr="00562A2E">
              <w:rPr>
                <w:rFonts w:cs="Arial"/>
                <w:szCs w:val="22"/>
              </w:rPr>
              <w:t>0.0439</w:t>
            </w:r>
          </w:p>
        </w:tc>
        <w:tc>
          <w:tcPr>
            <w:tcW w:w="1422" w:type="dxa"/>
            <w:noWrap/>
          </w:tcPr>
          <w:p w14:paraId="46D07D5B" w14:textId="7BD356CC" w:rsidR="00354EAD" w:rsidRPr="00562A2E" w:rsidRDefault="00354EAD">
            <w:pPr>
              <w:tabs>
                <w:tab w:val="left" w:pos="7288"/>
              </w:tabs>
              <w:spacing w:after="0" w:line="256" w:lineRule="auto"/>
              <w:jc w:val="left"/>
              <w:rPr>
                <w:rFonts w:cs="Arial"/>
                <w:szCs w:val="22"/>
              </w:rPr>
            </w:pPr>
          </w:p>
        </w:tc>
        <w:tc>
          <w:tcPr>
            <w:tcW w:w="1489" w:type="dxa"/>
            <w:noWrap/>
          </w:tcPr>
          <w:p w14:paraId="4765E60C" w14:textId="099D8A67" w:rsidR="00354EAD" w:rsidRPr="00562A2E" w:rsidRDefault="00354EAD">
            <w:pPr>
              <w:tabs>
                <w:tab w:val="left" w:pos="7288"/>
              </w:tabs>
              <w:spacing w:after="0" w:line="256" w:lineRule="auto"/>
              <w:jc w:val="left"/>
              <w:rPr>
                <w:rFonts w:cs="Arial"/>
                <w:szCs w:val="22"/>
              </w:rPr>
            </w:pPr>
          </w:p>
        </w:tc>
      </w:tr>
      <w:tr w:rsidR="00354EAD" w:rsidRPr="00562A2E" w14:paraId="0E44B9F9" w14:textId="77777777" w:rsidTr="4DA829A6">
        <w:trPr>
          <w:trHeight w:val="240"/>
        </w:trPr>
        <w:tc>
          <w:tcPr>
            <w:tcW w:w="1863" w:type="dxa"/>
            <w:noWrap/>
            <w:hideMark/>
          </w:tcPr>
          <w:p w14:paraId="00B7B03F" w14:textId="77777777" w:rsidR="00354EAD" w:rsidRPr="00562A2E" w:rsidRDefault="00354EAD">
            <w:pPr>
              <w:tabs>
                <w:tab w:val="left" w:pos="7288"/>
              </w:tabs>
              <w:spacing w:after="0" w:line="256" w:lineRule="auto"/>
              <w:jc w:val="left"/>
              <w:rPr>
                <w:rFonts w:cs="Arial"/>
                <w:szCs w:val="22"/>
              </w:rPr>
            </w:pPr>
            <w:r w:rsidRPr="00562A2E">
              <w:rPr>
                <w:rFonts w:cs="Arial"/>
                <w:szCs w:val="22"/>
              </w:rPr>
              <w:t xml:space="preserve">Other bituminous coal </w:t>
            </w:r>
          </w:p>
        </w:tc>
        <w:tc>
          <w:tcPr>
            <w:tcW w:w="1063" w:type="dxa"/>
            <w:noWrap/>
            <w:hideMark/>
          </w:tcPr>
          <w:p w14:paraId="21F10980" w14:textId="77777777" w:rsidR="00354EAD" w:rsidRPr="00562A2E" w:rsidRDefault="00354EAD">
            <w:pPr>
              <w:tabs>
                <w:tab w:val="left" w:pos="7288"/>
              </w:tabs>
              <w:spacing w:after="0" w:line="256" w:lineRule="auto"/>
              <w:jc w:val="left"/>
              <w:rPr>
                <w:rFonts w:cs="Arial"/>
                <w:szCs w:val="22"/>
              </w:rPr>
            </w:pPr>
          </w:p>
        </w:tc>
        <w:tc>
          <w:tcPr>
            <w:tcW w:w="1055" w:type="dxa"/>
            <w:noWrap/>
            <w:hideMark/>
          </w:tcPr>
          <w:p w14:paraId="37063836" w14:textId="77777777" w:rsidR="00354EAD" w:rsidRPr="00562A2E" w:rsidRDefault="00354EAD">
            <w:pPr>
              <w:tabs>
                <w:tab w:val="left" w:pos="7288"/>
              </w:tabs>
              <w:spacing w:after="0" w:line="256" w:lineRule="auto"/>
              <w:jc w:val="left"/>
              <w:rPr>
                <w:rFonts w:cs="Arial"/>
                <w:szCs w:val="22"/>
              </w:rPr>
            </w:pPr>
          </w:p>
        </w:tc>
        <w:tc>
          <w:tcPr>
            <w:tcW w:w="1063" w:type="dxa"/>
            <w:noWrap/>
            <w:hideMark/>
          </w:tcPr>
          <w:p w14:paraId="04A74441" w14:textId="77777777" w:rsidR="00354EAD" w:rsidRPr="00562A2E" w:rsidRDefault="00354EAD">
            <w:pPr>
              <w:tabs>
                <w:tab w:val="left" w:pos="7288"/>
              </w:tabs>
              <w:spacing w:after="0" w:line="256" w:lineRule="auto"/>
              <w:jc w:val="left"/>
              <w:rPr>
                <w:rFonts w:cs="Arial"/>
                <w:szCs w:val="22"/>
              </w:rPr>
            </w:pPr>
          </w:p>
        </w:tc>
        <w:tc>
          <w:tcPr>
            <w:tcW w:w="1061" w:type="dxa"/>
            <w:noWrap/>
            <w:hideMark/>
          </w:tcPr>
          <w:p w14:paraId="1FF21821" w14:textId="77777777" w:rsidR="00354EAD" w:rsidRPr="00562A2E" w:rsidRDefault="00354EAD">
            <w:pPr>
              <w:tabs>
                <w:tab w:val="left" w:pos="7288"/>
              </w:tabs>
              <w:spacing w:after="0" w:line="256" w:lineRule="auto"/>
              <w:jc w:val="left"/>
              <w:rPr>
                <w:rFonts w:cs="Arial"/>
                <w:szCs w:val="22"/>
              </w:rPr>
            </w:pPr>
            <w:r w:rsidRPr="00562A2E">
              <w:rPr>
                <w:rFonts w:cs="Arial"/>
                <w:szCs w:val="22"/>
              </w:rPr>
              <w:t>0.0192</w:t>
            </w:r>
          </w:p>
        </w:tc>
        <w:tc>
          <w:tcPr>
            <w:tcW w:w="1422" w:type="dxa"/>
            <w:noWrap/>
            <w:hideMark/>
          </w:tcPr>
          <w:p w14:paraId="25946B67" w14:textId="77777777" w:rsidR="00354EAD" w:rsidRPr="00562A2E" w:rsidRDefault="00354EAD">
            <w:pPr>
              <w:tabs>
                <w:tab w:val="left" w:pos="7288"/>
              </w:tabs>
              <w:spacing w:after="0" w:line="256" w:lineRule="auto"/>
              <w:jc w:val="left"/>
              <w:rPr>
                <w:rFonts w:cs="Arial"/>
                <w:szCs w:val="22"/>
              </w:rPr>
            </w:pPr>
            <w:r w:rsidRPr="00562A2E">
              <w:rPr>
                <w:rFonts w:cs="Arial"/>
                <w:szCs w:val="22"/>
              </w:rPr>
              <w:t>0.0192</w:t>
            </w:r>
          </w:p>
        </w:tc>
        <w:tc>
          <w:tcPr>
            <w:tcW w:w="1489" w:type="dxa"/>
            <w:noWrap/>
            <w:hideMark/>
          </w:tcPr>
          <w:p w14:paraId="49E917D9" w14:textId="77777777" w:rsidR="00354EAD" w:rsidRPr="00562A2E" w:rsidRDefault="00354EAD">
            <w:pPr>
              <w:tabs>
                <w:tab w:val="left" w:pos="7288"/>
              </w:tabs>
              <w:spacing w:after="0" w:line="256" w:lineRule="auto"/>
              <w:jc w:val="left"/>
              <w:rPr>
                <w:rFonts w:cs="Arial"/>
                <w:szCs w:val="22"/>
              </w:rPr>
            </w:pPr>
          </w:p>
        </w:tc>
      </w:tr>
      <w:tr w:rsidR="00354EAD" w:rsidRPr="00562A2E" w14:paraId="6E98436F" w14:textId="77777777" w:rsidTr="4DA829A6">
        <w:trPr>
          <w:trHeight w:val="240"/>
        </w:trPr>
        <w:tc>
          <w:tcPr>
            <w:tcW w:w="1863" w:type="dxa"/>
            <w:noWrap/>
            <w:hideMark/>
          </w:tcPr>
          <w:p w14:paraId="7D9F4CA3"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 xml:space="preserve">New fuel types </w:t>
            </w:r>
          </w:p>
        </w:tc>
        <w:tc>
          <w:tcPr>
            <w:tcW w:w="1063" w:type="dxa"/>
            <w:noWrap/>
            <w:hideMark/>
          </w:tcPr>
          <w:p w14:paraId="634BF87B"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55" w:type="dxa"/>
            <w:noWrap/>
            <w:hideMark/>
          </w:tcPr>
          <w:p w14:paraId="74887CD8"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63" w:type="dxa"/>
            <w:noWrap/>
            <w:hideMark/>
          </w:tcPr>
          <w:p w14:paraId="332A5578"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61" w:type="dxa"/>
            <w:noWrap/>
            <w:hideMark/>
          </w:tcPr>
          <w:p w14:paraId="7A1D9EC1"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422" w:type="dxa"/>
            <w:noWrap/>
            <w:hideMark/>
          </w:tcPr>
          <w:p w14:paraId="5D603ADD"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489" w:type="dxa"/>
            <w:noWrap/>
            <w:hideMark/>
          </w:tcPr>
          <w:p w14:paraId="4FBF07BA"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r>
      <w:tr w:rsidR="00354EAD" w:rsidRPr="00562A2E" w14:paraId="3364773E" w14:textId="77777777" w:rsidTr="4DA829A6">
        <w:trPr>
          <w:trHeight w:val="240"/>
        </w:trPr>
        <w:tc>
          <w:tcPr>
            <w:tcW w:w="1863" w:type="dxa"/>
            <w:noWrap/>
            <w:hideMark/>
          </w:tcPr>
          <w:p w14:paraId="625FE37F" w14:textId="77777777" w:rsidR="00354EAD" w:rsidRPr="00562A2E" w:rsidRDefault="00354EAD">
            <w:pPr>
              <w:tabs>
                <w:tab w:val="left" w:pos="7288"/>
              </w:tabs>
              <w:spacing w:after="0" w:line="256" w:lineRule="auto"/>
              <w:jc w:val="left"/>
              <w:rPr>
                <w:rFonts w:cs="Arial"/>
                <w:szCs w:val="22"/>
              </w:rPr>
            </w:pPr>
            <w:r w:rsidRPr="00562A2E">
              <w:rPr>
                <w:rFonts w:cs="Arial"/>
                <w:szCs w:val="22"/>
              </w:rPr>
              <w:t>Acetylene</w:t>
            </w:r>
          </w:p>
        </w:tc>
        <w:tc>
          <w:tcPr>
            <w:tcW w:w="1063" w:type="dxa"/>
            <w:noWrap/>
            <w:hideMark/>
          </w:tcPr>
          <w:p w14:paraId="13A767D1" w14:textId="77777777" w:rsidR="00354EAD" w:rsidRPr="00562A2E" w:rsidRDefault="00354EAD">
            <w:pPr>
              <w:tabs>
                <w:tab w:val="left" w:pos="7288"/>
              </w:tabs>
              <w:spacing w:after="0" w:line="256" w:lineRule="auto"/>
              <w:jc w:val="left"/>
              <w:rPr>
                <w:rFonts w:cs="Arial"/>
                <w:szCs w:val="22"/>
              </w:rPr>
            </w:pPr>
            <w:r w:rsidRPr="00562A2E">
              <w:rPr>
                <w:rFonts w:cs="Arial"/>
                <w:szCs w:val="22"/>
              </w:rPr>
              <w:t>67 870</w:t>
            </w:r>
          </w:p>
        </w:tc>
        <w:tc>
          <w:tcPr>
            <w:tcW w:w="1055" w:type="dxa"/>
            <w:noWrap/>
            <w:hideMark/>
          </w:tcPr>
          <w:p w14:paraId="184666E3" w14:textId="77777777" w:rsidR="00354EAD" w:rsidRPr="00562A2E" w:rsidRDefault="00354EAD">
            <w:pPr>
              <w:tabs>
                <w:tab w:val="left" w:pos="7288"/>
              </w:tabs>
              <w:spacing w:after="0" w:line="256" w:lineRule="auto"/>
              <w:jc w:val="left"/>
              <w:rPr>
                <w:rFonts w:cs="Arial"/>
                <w:szCs w:val="22"/>
              </w:rPr>
            </w:pPr>
            <w:r w:rsidRPr="00562A2E">
              <w:rPr>
                <w:rFonts w:cs="Arial"/>
                <w:szCs w:val="22"/>
              </w:rPr>
              <w:t>N/A</w:t>
            </w:r>
          </w:p>
        </w:tc>
        <w:tc>
          <w:tcPr>
            <w:tcW w:w="1063" w:type="dxa"/>
            <w:noWrap/>
            <w:hideMark/>
          </w:tcPr>
          <w:p w14:paraId="5FE5E183" w14:textId="77777777" w:rsidR="00354EAD" w:rsidRPr="00562A2E" w:rsidRDefault="00354EAD">
            <w:pPr>
              <w:tabs>
                <w:tab w:val="left" w:pos="7288"/>
              </w:tabs>
              <w:spacing w:after="0" w:line="256" w:lineRule="auto"/>
              <w:jc w:val="left"/>
              <w:rPr>
                <w:rFonts w:cs="Arial"/>
                <w:szCs w:val="22"/>
              </w:rPr>
            </w:pPr>
            <w:r w:rsidRPr="00562A2E">
              <w:rPr>
                <w:rFonts w:cs="Arial"/>
                <w:szCs w:val="22"/>
              </w:rPr>
              <w:t>N/A</w:t>
            </w:r>
          </w:p>
        </w:tc>
        <w:tc>
          <w:tcPr>
            <w:tcW w:w="1061" w:type="dxa"/>
            <w:noWrap/>
            <w:hideMark/>
          </w:tcPr>
          <w:p w14:paraId="110950A2" w14:textId="77777777" w:rsidR="00354EAD" w:rsidRPr="00562A2E" w:rsidRDefault="00354EAD">
            <w:pPr>
              <w:tabs>
                <w:tab w:val="left" w:pos="7288"/>
              </w:tabs>
              <w:spacing w:after="0" w:line="256" w:lineRule="auto"/>
              <w:jc w:val="left"/>
              <w:rPr>
                <w:rFonts w:cs="Arial"/>
                <w:szCs w:val="22"/>
              </w:rPr>
            </w:pPr>
            <w:r w:rsidRPr="00562A2E">
              <w:rPr>
                <w:rFonts w:cs="Arial"/>
                <w:szCs w:val="22"/>
              </w:rPr>
              <w:t>0.049818</w:t>
            </w:r>
          </w:p>
        </w:tc>
        <w:tc>
          <w:tcPr>
            <w:tcW w:w="1422" w:type="dxa"/>
            <w:noWrap/>
            <w:hideMark/>
          </w:tcPr>
          <w:p w14:paraId="2D671BDD" w14:textId="77777777" w:rsidR="00354EAD" w:rsidRPr="00562A2E" w:rsidRDefault="00354EAD">
            <w:pPr>
              <w:tabs>
                <w:tab w:val="left" w:pos="7288"/>
              </w:tabs>
              <w:spacing w:after="0" w:line="256" w:lineRule="auto"/>
              <w:jc w:val="left"/>
              <w:rPr>
                <w:rFonts w:cs="Arial"/>
                <w:szCs w:val="22"/>
              </w:rPr>
            </w:pPr>
            <w:r w:rsidRPr="00562A2E">
              <w:rPr>
                <w:rFonts w:cs="Arial"/>
                <w:szCs w:val="22"/>
              </w:rPr>
              <w:t>N/A</w:t>
            </w:r>
          </w:p>
        </w:tc>
        <w:tc>
          <w:tcPr>
            <w:tcW w:w="1489" w:type="dxa"/>
            <w:noWrap/>
            <w:hideMark/>
          </w:tcPr>
          <w:p w14:paraId="67A4ABEC" w14:textId="77777777" w:rsidR="00354EAD" w:rsidRPr="00562A2E" w:rsidRDefault="00354EAD">
            <w:pPr>
              <w:tabs>
                <w:tab w:val="left" w:pos="7288"/>
              </w:tabs>
              <w:spacing w:after="0" w:line="256" w:lineRule="auto"/>
              <w:jc w:val="left"/>
              <w:rPr>
                <w:rFonts w:cs="Arial"/>
                <w:szCs w:val="22"/>
              </w:rPr>
            </w:pPr>
            <w:r w:rsidRPr="00562A2E">
              <w:rPr>
                <w:rFonts w:cs="Arial"/>
                <w:szCs w:val="22"/>
              </w:rPr>
              <w:t>N/A</w:t>
            </w:r>
          </w:p>
        </w:tc>
      </w:tr>
      <w:tr w:rsidR="00354EAD" w:rsidRPr="00562A2E" w14:paraId="4D839EBA" w14:textId="77777777" w:rsidTr="4DA829A6">
        <w:trPr>
          <w:trHeight w:val="240"/>
        </w:trPr>
        <w:tc>
          <w:tcPr>
            <w:tcW w:w="1863" w:type="dxa"/>
            <w:noWrap/>
            <w:hideMark/>
          </w:tcPr>
          <w:p w14:paraId="303F5EB0" w14:textId="77777777" w:rsidR="00354EAD" w:rsidRPr="00562A2E" w:rsidRDefault="00354EAD">
            <w:pPr>
              <w:tabs>
                <w:tab w:val="left" w:pos="7288"/>
              </w:tabs>
              <w:spacing w:after="0" w:line="256" w:lineRule="auto"/>
              <w:jc w:val="left"/>
              <w:rPr>
                <w:rFonts w:cs="Arial"/>
                <w:szCs w:val="22"/>
              </w:rPr>
            </w:pPr>
            <w:r w:rsidRPr="00562A2E">
              <w:rPr>
                <w:rFonts w:cs="Arial"/>
                <w:szCs w:val="22"/>
              </w:rPr>
              <w:t>Refuse Derived Fuel</w:t>
            </w:r>
          </w:p>
        </w:tc>
        <w:tc>
          <w:tcPr>
            <w:tcW w:w="1063" w:type="dxa"/>
            <w:noWrap/>
            <w:hideMark/>
          </w:tcPr>
          <w:p w14:paraId="0A2065A0" w14:textId="77777777" w:rsidR="00354EAD" w:rsidRPr="00562A2E" w:rsidRDefault="00354EAD">
            <w:pPr>
              <w:tabs>
                <w:tab w:val="left" w:pos="7288"/>
              </w:tabs>
              <w:spacing w:after="0" w:line="256" w:lineRule="auto"/>
              <w:jc w:val="left"/>
              <w:rPr>
                <w:rFonts w:cs="Arial"/>
                <w:szCs w:val="22"/>
              </w:rPr>
            </w:pPr>
            <w:r w:rsidRPr="00562A2E">
              <w:rPr>
                <w:rFonts w:cs="Arial"/>
                <w:szCs w:val="22"/>
              </w:rPr>
              <w:t>83 000</w:t>
            </w:r>
          </w:p>
        </w:tc>
        <w:tc>
          <w:tcPr>
            <w:tcW w:w="1055" w:type="dxa"/>
            <w:noWrap/>
            <w:hideMark/>
          </w:tcPr>
          <w:p w14:paraId="17E75CE1" w14:textId="77777777" w:rsidR="00354EAD" w:rsidRPr="00562A2E" w:rsidRDefault="00354EAD">
            <w:pPr>
              <w:tabs>
                <w:tab w:val="left" w:pos="7288"/>
              </w:tabs>
              <w:spacing w:after="0" w:line="256" w:lineRule="auto"/>
              <w:jc w:val="left"/>
              <w:rPr>
                <w:rFonts w:cs="Arial"/>
                <w:szCs w:val="22"/>
              </w:rPr>
            </w:pPr>
            <w:r w:rsidRPr="00562A2E">
              <w:rPr>
                <w:rFonts w:cs="Arial"/>
                <w:szCs w:val="22"/>
              </w:rPr>
              <w:t>30</w:t>
            </w:r>
          </w:p>
        </w:tc>
        <w:tc>
          <w:tcPr>
            <w:tcW w:w="1063" w:type="dxa"/>
            <w:noWrap/>
            <w:hideMark/>
          </w:tcPr>
          <w:p w14:paraId="21E2EE98" w14:textId="77777777" w:rsidR="00354EAD" w:rsidRPr="00562A2E" w:rsidRDefault="00354EAD">
            <w:pPr>
              <w:tabs>
                <w:tab w:val="left" w:pos="7288"/>
              </w:tabs>
              <w:spacing w:after="0" w:line="256" w:lineRule="auto"/>
              <w:jc w:val="left"/>
              <w:rPr>
                <w:rFonts w:cs="Arial"/>
                <w:szCs w:val="22"/>
              </w:rPr>
            </w:pPr>
            <w:r w:rsidRPr="00562A2E">
              <w:rPr>
                <w:rFonts w:cs="Arial"/>
                <w:szCs w:val="22"/>
              </w:rPr>
              <w:t>4</w:t>
            </w:r>
          </w:p>
        </w:tc>
        <w:tc>
          <w:tcPr>
            <w:tcW w:w="1061" w:type="dxa"/>
            <w:noWrap/>
            <w:hideMark/>
          </w:tcPr>
          <w:p w14:paraId="19E8024E" w14:textId="77777777" w:rsidR="00354EAD" w:rsidRPr="00562A2E" w:rsidRDefault="00354EAD">
            <w:pPr>
              <w:tabs>
                <w:tab w:val="left" w:pos="7288"/>
              </w:tabs>
              <w:spacing w:after="0" w:line="256" w:lineRule="auto"/>
              <w:jc w:val="left"/>
              <w:rPr>
                <w:rFonts w:cs="Arial"/>
                <w:szCs w:val="22"/>
              </w:rPr>
            </w:pPr>
            <w:r w:rsidRPr="00562A2E">
              <w:rPr>
                <w:rFonts w:cs="Arial"/>
                <w:szCs w:val="22"/>
              </w:rPr>
              <w:t>0.01</w:t>
            </w:r>
          </w:p>
        </w:tc>
        <w:tc>
          <w:tcPr>
            <w:tcW w:w="1422" w:type="dxa"/>
            <w:noWrap/>
            <w:hideMark/>
          </w:tcPr>
          <w:p w14:paraId="74AD2FF1" w14:textId="77777777" w:rsidR="00354EAD" w:rsidRPr="00562A2E" w:rsidRDefault="00354EAD">
            <w:pPr>
              <w:tabs>
                <w:tab w:val="left" w:pos="7288"/>
              </w:tabs>
              <w:spacing w:after="0" w:line="256" w:lineRule="auto"/>
              <w:jc w:val="left"/>
              <w:rPr>
                <w:rFonts w:cs="Arial"/>
                <w:szCs w:val="22"/>
              </w:rPr>
            </w:pPr>
            <w:r w:rsidRPr="00562A2E">
              <w:rPr>
                <w:rFonts w:cs="Arial"/>
                <w:szCs w:val="22"/>
              </w:rPr>
              <w:t>0.007</w:t>
            </w:r>
          </w:p>
        </w:tc>
        <w:tc>
          <w:tcPr>
            <w:tcW w:w="1489" w:type="dxa"/>
            <w:noWrap/>
            <w:hideMark/>
          </w:tcPr>
          <w:p w14:paraId="331526F0" w14:textId="77777777" w:rsidR="00354EAD" w:rsidRPr="00562A2E" w:rsidRDefault="00354EAD">
            <w:pPr>
              <w:tabs>
                <w:tab w:val="left" w:pos="7288"/>
              </w:tabs>
              <w:spacing w:after="0" w:line="256" w:lineRule="auto"/>
              <w:jc w:val="left"/>
              <w:rPr>
                <w:rFonts w:cs="Arial"/>
                <w:szCs w:val="22"/>
              </w:rPr>
            </w:pPr>
            <w:r w:rsidRPr="00562A2E">
              <w:rPr>
                <w:rFonts w:cs="Arial"/>
                <w:szCs w:val="22"/>
              </w:rPr>
              <w:t>0.018</w:t>
            </w:r>
          </w:p>
        </w:tc>
      </w:tr>
      <w:tr w:rsidR="00354EAD" w:rsidRPr="00562A2E" w14:paraId="7CFB18A2" w14:textId="77777777" w:rsidTr="4DA829A6">
        <w:trPr>
          <w:trHeight w:val="240"/>
        </w:trPr>
        <w:tc>
          <w:tcPr>
            <w:tcW w:w="1863" w:type="dxa"/>
            <w:noWrap/>
            <w:hideMark/>
          </w:tcPr>
          <w:p w14:paraId="4D6D21BB" w14:textId="77777777" w:rsidR="00354EAD" w:rsidRPr="00562A2E" w:rsidRDefault="00354EAD">
            <w:pPr>
              <w:tabs>
                <w:tab w:val="left" w:pos="7288"/>
              </w:tabs>
              <w:spacing w:after="0" w:line="256" w:lineRule="auto"/>
              <w:jc w:val="left"/>
              <w:rPr>
                <w:rFonts w:cs="Arial"/>
                <w:szCs w:val="22"/>
              </w:rPr>
            </w:pPr>
            <w:r w:rsidRPr="00562A2E">
              <w:rPr>
                <w:rFonts w:cs="Arial"/>
                <w:szCs w:val="22"/>
              </w:rPr>
              <w:t>Sawdust</w:t>
            </w:r>
          </w:p>
        </w:tc>
        <w:tc>
          <w:tcPr>
            <w:tcW w:w="1063" w:type="dxa"/>
            <w:noWrap/>
            <w:hideMark/>
          </w:tcPr>
          <w:p w14:paraId="6EB3ECCE" w14:textId="77777777" w:rsidR="00354EAD" w:rsidRPr="00562A2E" w:rsidRDefault="00354EAD">
            <w:pPr>
              <w:tabs>
                <w:tab w:val="left" w:pos="7288"/>
              </w:tabs>
              <w:spacing w:after="0" w:line="256" w:lineRule="auto"/>
              <w:jc w:val="left"/>
              <w:rPr>
                <w:rFonts w:cs="Arial"/>
                <w:szCs w:val="22"/>
              </w:rPr>
            </w:pPr>
            <w:r w:rsidRPr="00562A2E">
              <w:rPr>
                <w:rFonts w:cs="Arial"/>
                <w:szCs w:val="22"/>
              </w:rPr>
              <w:t>0</w:t>
            </w:r>
          </w:p>
        </w:tc>
        <w:tc>
          <w:tcPr>
            <w:tcW w:w="1055" w:type="dxa"/>
            <w:noWrap/>
            <w:hideMark/>
          </w:tcPr>
          <w:p w14:paraId="07908DEE" w14:textId="77777777" w:rsidR="00354EAD" w:rsidRPr="00562A2E" w:rsidRDefault="00354EAD">
            <w:pPr>
              <w:tabs>
                <w:tab w:val="left" w:pos="7288"/>
              </w:tabs>
              <w:spacing w:after="0" w:line="256" w:lineRule="auto"/>
              <w:jc w:val="left"/>
              <w:rPr>
                <w:rFonts w:cs="Arial"/>
                <w:szCs w:val="22"/>
              </w:rPr>
            </w:pPr>
            <w:r w:rsidRPr="00562A2E">
              <w:rPr>
                <w:rFonts w:cs="Arial"/>
                <w:szCs w:val="22"/>
              </w:rPr>
              <w:t>30</w:t>
            </w:r>
          </w:p>
        </w:tc>
        <w:tc>
          <w:tcPr>
            <w:tcW w:w="1063" w:type="dxa"/>
            <w:noWrap/>
            <w:hideMark/>
          </w:tcPr>
          <w:p w14:paraId="4FA196F0" w14:textId="77777777" w:rsidR="00354EAD" w:rsidRPr="00562A2E" w:rsidRDefault="00354EAD">
            <w:pPr>
              <w:tabs>
                <w:tab w:val="left" w:pos="7288"/>
              </w:tabs>
              <w:spacing w:after="0" w:line="256" w:lineRule="auto"/>
              <w:jc w:val="left"/>
              <w:rPr>
                <w:rFonts w:cs="Arial"/>
                <w:szCs w:val="22"/>
              </w:rPr>
            </w:pPr>
            <w:r w:rsidRPr="00562A2E">
              <w:rPr>
                <w:rFonts w:cs="Arial"/>
                <w:szCs w:val="22"/>
              </w:rPr>
              <w:t>4</w:t>
            </w:r>
          </w:p>
        </w:tc>
        <w:tc>
          <w:tcPr>
            <w:tcW w:w="1061" w:type="dxa"/>
            <w:noWrap/>
            <w:hideMark/>
          </w:tcPr>
          <w:p w14:paraId="052846DD" w14:textId="77777777" w:rsidR="00354EAD" w:rsidRPr="00562A2E" w:rsidRDefault="00354EAD">
            <w:pPr>
              <w:tabs>
                <w:tab w:val="left" w:pos="7288"/>
              </w:tabs>
              <w:spacing w:after="0" w:line="256" w:lineRule="auto"/>
              <w:jc w:val="left"/>
              <w:rPr>
                <w:rFonts w:cs="Arial"/>
                <w:szCs w:val="22"/>
              </w:rPr>
            </w:pPr>
            <w:r w:rsidRPr="00562A2E">
              <w:rPr>
                <w:rFonts w:cs="Arial"/>
                <w:szCs w:val="22"/>
              </w:rPr>
              <w:t>0.0116</w:t>
            </w:r>
          </w:p>
        </w:tc>
        <w:tc>
          <w:tcPr>
            <w:tcW w:w="1422" w:type="dxa"/>
            <w:noWrap/>
            <w:hideMark/>
          </w:tcPr>
          <w:p w14:paraId="75333F4F" w14:textId="77777777" w:rsidR="00354EAD" w:rsidRPr="00562A2E" w:rsidRDefault="00354EAD">
            <w:pPr>
              <w:tabs>
                <w:tab w:val="left" w:pos="7288"/>
              </w:tabs>
              <w:spacing w:after="0" w:line="256" w:lineRule="auto"/>
              <w:jc w:val="left"/>
              <w:rPr>
                <w:rFonts w:cs="Arial"/>
                <w:szCs w:val="22"/>
              </w:rPr>
            </w:pPr>
            <w:r w:rsidRPr="00562A2E">
              <w:rPr>
                <w:rFonts w:cs="Arial"/>
                <w:szCs w:val="22"/>
              </w:rPr>
              <w:t>0.0059</w:t>
            </w:r>
          </w:p>
        </w:tc>
        <w:tc>
          <w:tcPr>
            <w:tcW w:w="1489" w:type="dxa"/>
            <w:noWrap/>
            <w:hideMark/>
          </w:tcPr>
          <w:p w14:paraId="4A10AE4A" w14:textId="77777777" w:rsidR="00354EAD" w:rsidRPr="00562A2E" w:rsidRDefault="00354EAD">
            <w:pPr>
              <w:tabs>
                <w:tab w:val="left" w:pos="7288"/>
              </w:tabs>
              <w:spacing w:after="0" w:line="256" w:lineRule="auto"/>
              <w:jc w:val="left"/>
              <w:rPr>
                <w:rFonts w:cs="Arial"/>
                <w:szCs w:val="22"/>
              </w:rPr>
            </w:pPr>
            <w:r w:rsidRPr="00562A2E">
              <w:rPr>
                <w:rFonts w:cs="Arial"/>
                <w:szCs w:val="22"/>
              </w:rPr>
              <w:t>0.023</w:t>
            </w:r>
          </w:p>
        </w:tc>
      </w:tr>
      <w:tr w:rsidR="00354EAD" w:rsidRPr="00562A2E" w14:paraId="5FEBF516" w14:textId="77777777" w:rsidTr="4DA829A6">
        <w:trPr>
          <w:trHeight w:val="240"/>
        </w:trPr>
        <w:tc>
          <w:tcPr>
            <w:tcW w:w="1863" w:type="dxa"/>
            <w:noWrap/>
            <w:hideMark/>
          </w:tcPr>
          <w:p w14:paraId="47ECF131" w14:textId="77777777" w:rsidR="00354EAD" w:rsidRPr="00562A2E" w:rsidRDefault="00354EAD">
            <w:pPr>
              <w:tabs>
                <w:tab w:val="left" w:pos="7288"/>
              </w:tabs>
              <w:spacing w:after="0" w:line="256" w:lineRule="auto"/>
              <w:jc w:val="left"/>
              <w:rPr>
                <w:rFonts w:cs="Arial"/>
                <w:szCs w:val="22"/>
              </w:rPr>
            </w:pPr>
            <w:r w:rsidRPr="00562A2E">
              <w:rPr>
                <w:rFonts w:cs="Arial"/>
                <w:szCs w:val="22"/>
              </w:rPr>
              <w:t>Waste Tyres</w:t>
            </w:r>
          </w:p>
        </w:tc>
        <w:tc>
          <w:tcPr>
            <w:tcW w:w="1063" w:type="dxa"/>
            <w:noWrap/>
            <w:hideMark/>
          </w:tcPr>
          <w:p w14:paraId="67EDC5D5" w14:textId="77777777" w:rsidR="00354EAD" w:rsidRPr="00562A2E" w:rsidRDefault="00354EAD">
            <w:pPr>
              <w:tabs>
                <w:tab w:val="left" w:pos="7288"/>
              </w:tabs>
              <w:spacing w:after="0" w:line="256" w:lineRule="auto"/>
              <w:jc w:val="left"/>
              <w:rPr>
                <w:rFonts w:cs="Arial"/>
                <w:szCs w:val="22"/>
              </w:rPr>
            </w:pPr>
            <w:r w:rsidRPr="00562A2E">
              <w:rPr>
                <w:rFonts w:cs="Arial"/>
                <w:szCs w:val="22"/>
              </w:rPr>
              <w:t>85 000</w:t>
            </w:r>
          </w:p>
        </w:tc>
        <w:tc>
          <w:tcPr>
            <w:tcW w:w="1055" w:type="dxa"/>
            <w:noWrap/>
            <w:hideMark/>
          </w:tcPr>
          <w:p w14:paraId="27CB5ED6" w14:textId="77777777" w:rsidR="00354EAD" w:rsidRPr="00562A2E" w:rsidRDefault="00354EAD">
            <w:pPr>
              <w:tabs>
                <w:tab w:val="left" w:pos="7288"/>
              </w:tabs>
              <w:spacing w:after="0" w:line="256" w:lineRule="auto"/>
              <w:jc w:val="left"/>
              <w:rPr>
                <w:rFonts w:cs="Arial"/>
                <w:szCs w:val="22"/>
              </w:rPr>
            </w:pPr>
            <w:r w:rsidRPr="00562A2E">
              <w:rPr>
                <w:rFonts w:cs="Arial"/>
                <w:szCs w:val="22"/>
              </w:rPr>
              <w:t>1</w:t>
            </w:r>
          </w:p>
        </w:tc>
        <w:tc>
          <w:tcPr>
            <w:tcW w:w="1063" w:type="dxa"/>
            <w:noWrap/>
            <w:hideMark/>
          </w:tcPr>
          <w:p w14:paraId="40020525" w14:textId="77777777" w:rsidR="00354EAD" w:rsidRPr="00562A2E" w:rsidRDefault="00354EAD">
            <w:pPr>
              <w:tabs>
                <w:tab w:val="left" w:pos="7288"/>
              </w:tabs>
              <w:spacing w:after="0" w:line="256" w:lineRule="auto"/>
              <w:jc w:val="left"/>
              <w:rPr>
                <w:rFonts w:cs="Arial"/>
                <w:szCs w:val="22"/>
              </w:rPr>
            </w:pPr>
            <w:r w:rsidRPr="00562A2E">
              <w:rPr>
                <w:rFonts w:cs="Arial"/>
                <w:szCs w:val="22"/>
              </w:rPr>
              <w:t>1.5</w:t>
            </w:r>
          </w:p>
        </w:tc>
        <w:tc>
          <w:tcPr>
            <w:tcW w:w="1061" w:type="dxa"/>
            <w:noWrap/>
            <w:hideMark/>
          </w:tcPr>
          <w:p w14:paraId="288C2845" w14:textId="77777777" w:rsidR="00354EAD" w:rsidRPr="00562A2E" w:rsidRDefault="00354EAD">
            <w:pPr>
              <w:tabs>
                <w:tab w:val="left" w:pos="7288"/>
              </w:tabs>
              <w:spacing w:after="0" w:line="256" w:lineRule="auto"/>
              <w:jc w:val="left"/>
              <w:rPr>
                <w:rFonts w:cs="Arial"/>
                <w:szCs w:val="22"/>
              </w:rPr>
            </w:pPr>
            <w:r w:rsidRPr="00562A2E">
              <w:rPr>
                <w:rFonts w:cs="Arial"/>
                <w:szCs w:val="22"/>
              </w:rPr>
              <w:t>0.0325</w:t>
            </w:r>
          </w:p>
        </w:tc>
        <w:tc>
          <w:tcPr>
            <w:tcW w:w="1422" w:type="dxa"/>
            <w:noWrap/>
            <w:hideMark/>
          </w:tcPr>
          <w:p w14:paraId="23F1B204" w14:textId="77777777" w:rsidR="00354EAD" w:rsidRPr="00562A2E" w:rsidRDefault="00354EAD">
            <w:pPr>
              <w:tabs>
                <w:tab w:val="left" w:pos="7288"/>
              </w:tabs>
              <w:spacing w:after="0" w:line="256" w:lineRule="auto"/>
              <w:jc w:val="left"/>
              <w:rPr>
                <w:rFonts w:cs="Arial"/>
                <w:szCs w:val="22"/>
              </w:rPr>
            </w:pPr>
            <w:r w:rsidRPr="00562A2E">
              <w:rPr>
                <w:rFonts w:cs="Arial"/>
                <w:szCs w:val="22"/>
              </w:rPr>
              <w:t>N/A</w:t>
            </w:r>
          </w:p>
        </w:tc>
        <w:tc>
          <w:tcPr>
            <w:tcW w:w="1489" w:type="dxa"/>
            <w:noWrap/>
            <w:hideMark/>
          </w:tcPr>
          <w:p w14:paraId="0A46F9DB" w14:textId="77777777" w:rsidR="00354EAD" w:rsidRPr="00562A2E" w:rsidRDefault="00354EAD">
            <w:pPr>
              <w:tabs>
                <w:tab w:val="left" w:pos="7288"/>
              </w:tabs>
              <w:spacing w:after="0" w:line="256" w:lineRule="auto"/>
              <w:jc w:val="left"/>
              <w:rPr>
                <w:rFonts w:cs="Arial"/>
                <w:szCs w:val="22"/>
              </w:rPr>
            </w:pPr>
            <w:r w:rsidRPr="00562A2E">
              <w:rPr>
                <w:rFonts w:cs="Arial"/>
                <w:szCs w:val="22"/>
              </w:rPr>
              <w:t>N/A</w:t>
            </w:r>
          </w:p>
        </w:tc>
      </w:tr>
      <w:tr w:rsidR="00354EAD" w:rsidRPr="00562A2E" w14:paraId="60FEA055" w14:textId="77777777" w:rsidTr="4DA829A6">
        <w:trPr>
          <w:trHeight w:val="240"/>
        </w:trPr>
        <w:tc>
          <w:tcPr>
            <w:tcW w:w="1863" w:type="dxa"/>
            <w:noWrap/>
            <w:hideMark/>
          </w:tcPr>
          <w:p w14:paraId="7A264579" w14:textId="77777777" w:rsidR="00354EAD" w:rsidRPr="00562A2E" w:rsidRDefault="00354EAD">
            <w:pPr>
              <w:tabs>
                <w:tab w:val="left" w:pos="7288"/>
              </w:tabs>
              <w:spacing w:after="0" w:line="256" w:lineRule="auto"/>
              <w:jc w:val="left"/>
              <w:rPr>
                <w:rFonts w:cs="Arial"/>
                <w:szCs w:val="22"/>
              </w:rPr>
            </w:pPr>
            <w:r w:rsidRPr="00562A2E">
              <w:rPr>
                <w:rFonts w:cs="Arial"/>
                <w:szCs w:val="22"/>
              </w:rPr>
              <w:t>Methane Rich Gas (MRG)</w:t>
            </w:r>
          </w:p>
        </w:tc>
        <w:tc>
          <w:tcPr>
            <w:tcW w:w="1063" w:type="dxa"/>
            <w:noWrap/>
            <w:hideMark/>
          </w:tcPr>
          <w:p w14:paraId="29443628" w14:textId="77777777" w:rsidR="00354EAD" w:rsidRPr="00562A2E" w:rsidRDefault="00354EAD">
            <w:pPr>
              <w:tabs>
                <w:tab w:val="left" w:pos="7288"/>
              </w:tabs>
              <w:spacing w:after="0" w:line="256" w:lineRule="auto"/>
              <w:jc w:val="left"/>
              <w:rPr>
                <w:rFonts w:cs="Arial"/>
                <w:szCs w:val="22"/>
              </w:rPr>
            </w:pPr>
            <w:r w:rsidRPr="00562A2E">
              <w:rPr>
                <w:rFonts w:cs="Arial"/>
                <w:szCs w:val="22"/>
              </w:rPr>
              <w:t>54 888</w:t>
            </w:r>
          </w:p>
        </w:tc>
        <w:tc>
          <w:tcPr>
            <w:tcW w:w="1055" w:type="dxa"/>
            <w:noWrap/>
            <w:hideMark/>
          </w:tcPr>
          <w:p w14:paraId="38DE7878" w14:textId="77777777" w:rsidR="00354EAD" w:rsidRPr="00562A2E" w:rsidRDefault="00354EAD">
            <w:pPr>
              <w:tabs>
                <w:tab w:val="left" w:pos="7288"/>
              </w:tabs>
              <w:spacing w:after="0" w:line="256" w:lineRule="auto"/>
              <w:jc w:val="left"/>
              <w:rPr>
                <w:rFonts w:cs="Arial"/>
                <w:szCs w:val="22"/>
              </w:rPr>
            </w:pPr>
            <w:r w:rsidRPr="00562A2E">
              <w:rPr>
                <w:rFonts w:cs="Arial"/>
                <w:szCs w:val="22"/>
              </w:rPr>
              <w:t>1</w:t>
            </w:r>
          </w:p>
        </w:tc>
        <w:tc>
          <w:tcPr>
            <w:tcW w:w="1063" w:type="dxa"/>
            <w:noWrap/>
            <w:hideMark/>
          </w:tcPr>
          <w:p w14:paraId="49C06890" w14:textId="77777777" w:rsidR="00354EAD" w:rsidRPr="00562A2E" w:rsidRDefault="00354EAD">
            <w:pPr>
              <w:tabs>
                <w:tab w:val="left" w:pos="7288"/>
              </w:tabs>
              <w:spacing w:after="0" w:line="256" w:lineRule="auto"/>
              <w:jc w:val="left"/>
              <w:rPr>
                <w:rFonts w:cs="Arial"/>
                <w:szCs w:val="22"/>
              </w:rPr>
            </w:pPr>
            <w:r w:rsidRPr="00562A2E">
              <w:rPr>
                <w:rFonts w:cs="Arial"/>
                <w:szCs w:val="22"/>
              </w:rPr>
              <w:t>0.1</w:t>
            </w:r>
          </w:p>
        </w:tc>
        <w:tc>
          <w:tcPr>
            <w:tcW w:w="1061" w:type="dxa"/>
            <w:noWrap/>
            <w:hideMark/>
          </w:tcPr>
          <w:p w14:paraId="75783566" w14:textId="77777777" w:rsidR="00354EAD" w:rsidRPr="00562A2E" w:rsidRDefault="00354EAD">
            <w:pPr>
              <w:tabs>
                <w:tab w:val="left" w:pos="7288"/>
              </w:tabs>
              <w:spacing w:after="0" w:line="256" w:lineRule="auto"/>
              <w:jc w:val="left"/>
              <w:rPr>
                <w:rFonts w:cs="Arial"/>
                <w:szCs w:val="22"/>
              </w:rPr>
            </w:pPr>
            <w:r w:rsidRPr="00562A2E">
              <w:rPr>
                <w:rFonts w:cs="Arial"/>
                <w:szCs w:val="22"/>
              </w:rPr>
              <w:t>0.048</w:t>
            </w:r>
          </w:p>
        </w:tc>
        <w:tc>
          <w:tcPr>
            <w:tcW w:w="1422" w:type="dxa"/>
            <w:noWrap/>
            <w:hideMark/>
          </w:tcPr>
          <w:p w14:paraId="1FA58923" w14:textId="77777777" w:rsidR="00354EAD" w:rsidRPr="00562A2E" w:rsidRDefault="00354EAD">
            <w:pPr>
              <w:tabs>
                <w:tab w:val="left" w:pos="7288"/>
              </w:tabs>
              <w:spacing w:after="0" w:line="256" w:lineRule="auto"/>
              <w:jc w:val="left"/>
              <w:rPr>
                <w:rFonts w:cs="Arial"/>
                <w:szCs w:val="22"/>
              </w:rPr>
            </w:pPr>
            <w:r w:rsidRPr="00562A2E">
              <w:rPr>
                <w:rFonts w:cs="Arial"/>
                <w:szCs w:val="22"/>
              </w:rPr>
              <w:t>0.0465</w:t>
            </w:r>
          </w:p>
        </w:tc>
        <w:tc>
          <w:tcPr>
            <w:tcW w:w="1489" w:type="dxa"/>
            <w:noWrap/>
            <w:hideMark/>
          </w:tcPr>
          <w:p w14:paraId="2C8AB997" w14:textId="77777777" w:rsidR="00354EAD" w:rsidRPr="00562A2E" w:rsidRDefault="00354EAD">
            <w:pPr>
              <w:tabs>
                <w:tab w:val="left" w:pos="7288"/>
              </w:tabs>
              <w:spacing w:after="0" w:line="256" w:lineRule="auto"/>
              <w:jc w:val="left"/>
              <w:rPr>
                <w:rFonts w:cs="Arial"/>
                <w:szCs w:val="22"/>
              </w:rPr>
            </w:pPr>
            <w:r w:rsidRPr="00562A2E">
              <w:rPr>
                <w:rFonts w:cs="Arial"/>
                <w:szCs w:val="22"/>
              </w:rPr>
              <w:t>0.0504</w:t>
            </w:r>
          </w:p>
        </w:tc>
      </w:tr>
      <w:tr w:rsidR="00354EAD" w:rsidRPr="00562A2E" w14:paraId="6139D8B4" w14:textId="77777777" w:rsidTr="4DA829A6">
        <w:trPr>
          <w:trHeight w:val="240"/>
        </w:trPr>
        <w:tc>
          <w:tcPr>
            <w:tcW w:w="1863" w:type="dxa"/>
            <w:noWrap/>
            <w:hideMark/>
          </w:tcPr>
          <w:p w14:paraId="2359CBDA" w14:textId="77777777" w:rsidR="00354EAD" w:rsidRPr="00562A2E" w:rsidRDefault="00354EAD">
            <w:pPr>
              <w:tabs>
                <w:tab w:val="left" w:pos="7288"/>
              </w:tabs>
              <w:spacing w:after="0" w:line="256" w:lineRule="auto"/>
              <w:jc w:val="left"/>
              <w:rPr>
                <w:rFonts w:cs="Arial"/>
                <w:b/>
                <w:bCs/>
                <w:szCs w:val="22"/>
              </w:rPr>
            </w:pPr>
            <w:r w:rsidRPr="00562A2E">
              <w:rPr>
                <w:rFonts w:cs="Arial"/>
                <w:b/>
                <w:bCs/>
                <w:szCs w:val="22"/>
              </w:rPr>
              <w:t>Deletion</w:t>
            </w:r>
          </w:p>
        </w:tc>
        <w:tc>
          <w:tcPr>
            <w:tcW w:w="1063" w:type="dxa"/>
            <w:noWrap/>
            <w:hideMark/>
          </w:tcPr>
          <w:p w14:paraId="46EE1E0C"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55" w:type="dxa"/>
            <w:noWrap/>
            <w:hideMark/>
          </w:tcPr>
          <w:p w14:paraId="38038083"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63" w:type="dxa"/>
            <w:noWrap/>
            <w:hideMark/>
          </w:tcPr>
          <w:p w14:paraId="7965E65F"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061" w:type="dxa"/>
            <w:noWrap/>
            <w:hideMark/>
          </w:tcPr>
          <w:p w14:paraId="5543C0F9"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422" w:type="dxa"/>
            <w:noWrap/>
            <w:hideMark/>
          </w:tcPr>
          <w:p w14:paraId="234EF10B"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c>
          <w:tcPr>
            <w:tcW w:w="1489" w:type="dxa"/>
            <w:noWrap/>
            <w:hideMark/>
          </w:tcPr>
          <w:p w14:paraId="2681EBA5" w14:textId="77777777" w:rsidR="00354EAD" w:rsidRPr="00562A2E" w:rsidRDefault="00354EAD">
            <w:pPr>
              <w:tabs>
                <w:tab w:val="left" w:pos="7288"/>
              </w:tabs>
              <w:spacing w:after="0" w:line="256" w:lineRule="auto"/>
              <w:jc w:val="left"/>
              <w:rPr>
                <w:rFonts w:cs="Arial"/>
                <w:szCs w:val="22"/>
              </w:rPr>
            </w:pPr>
            <w:r w:rsidRPr="00562A2E">
              <w:rPr>
                <w:rFonts w:cs="Arial"/>
                <w:szCs w:val="22"/>
              </w:rPr>
              <w:t> </w:t>
            </w:r>
          </w:p>
        </w:tc>
      </w:tr>
      <w:tr w:rsidR="00354EAD" w:rsidRPr="00562A2E" w14:paraId="548C621D" w14:textId="77777777" w:rsidTr="4DA829A6">
        <w:trPr>
          <w:trHeight w:val="240"/>
        </w:trPr>
        <w:tc>
          <w:tcPr>
            <w:tcW w:w="1863" w:type="dxa"/>
            <w:noWrap/>
            <w:hideMark/>
          </w:tcPr>
          <w:p w14:paraId="033B6156" w14:textId="77777777" w:rsidR="00354EAD" w:rsidRPr="00562A2E" w:rsidRDefault="00354EAD">
            <w:pPr>
              <w:tabs>
                <w:tab w:val="left" w:pos="7288"/>
              </w:tabs>
              <w:spacing w:after="0" w:line="256" w:lineRule="auto"/>
              <w:jc w:val="left"/>
              <w:rPr>
                <w:rFonts w:cs="Arial"/>
                <w:szCs w:val="22"/>
              </w:rPr>
            </w:pPr>
            <w:r w:rsidRPr="00562A2E">
              <w:rPr>
                <w:rFonts w:cs="Arial"/>
                <w:szCs w:val="22"/>
              </w:rPr>
              <w:t xml:space="preserve">Diesel </w:t>
            </w:r>
          </w:p>
        </w:tc>
        <w:tc>
          <w:tcPr>
            <w:tcW w:w="1063" w:type="dxa"/>
            <w:noWrap/>
            <w:hideMark/>
          </w:tcPr>
          <w:p w14:paraId="1811E1F5" w14:textId="77777777" w:rsidR="00354EAD" w:rsidRPr="00562A2E" w:rsidRDefault="00354EAD">
            <w:pPr>
              <w:tabs>
                <w:tab w:val="left" w:pos="7288"/>
              </w:tabs>
              <w:spacing w:after="0" w:line="256" w:lineRule="auto"/>
              <w:jc w:val="left"/>
              <w:rPr>
                <w:rFonts w:cs="Arial"/>
                <w:szCs w:val="22"/>
              </w:rPr>
            </w:pPr>
            <w:r w:rsidRPr="00562A2E">
              <w:rPr>
                <w:rFonts w:cs="Arial"/>
                <w:szCs w:val="22"/>
              </w:rPr>
              <w:t>74 100</w:t>
            </w:r>
          </w:p>
        </w:tc>
        <w:tc>
          <w:tcPr>
            <w:tcW w:w="1055" w:type="dxa"/>
            <w:noWrap/>
            <w:hideMark/>
          </w:tcPr>
          <w:p w14:paraId="011632F3" w14:textId="77777777" w:rsidR="00354EAD" w:rsidRPr="00562A2E" w:rsidRDefault="00354EAD">
            <w:pPr>
              <w:tabs>
                <w:tab w:val="left" w:pos="7288"/>
              </w:tabs>
              <w:spacing w:after="0" w:line="256" w:lineRule="auto"/>
              <w:jc w:val="left"/>
              <w:rPr>
                <w:rFonts w:cs="Arial"/>
                <w:szCs w:val="22"/>
              </w:rPr>
            </w:pPr>
            <w:r w:rsidRPr="00562A2E">
              <w:rPr>
                <w:rFonts w:cs="Arial"/>
                <w:szCs w:val="22"/>
              </w:rPr>
              <w:t>3</w:t>
            </w:r>
          </w:p>
        </w:tc>
        <w:tc>
          <w:tcPr>
            <w:tcW w:w="1063" w:type="dxa"/>
            <w:noWrap/>
            <w:hideMark/>
          </w:tcPr>
          <w:p w14:paraId="4BAD4E92" w14:textId="77777777" w:rsidR="00354EAD" w:rsidRPr="00562A2E" w:rsidRDefault="00354EAD">
            <w:pPr>
              <w:tabs>
                <w:tab w:val="left" w:pos="7288"/>
              </w:tabs>
              <w:spacing w:after="0" w:line="256" w:lineRule="auto"/>
              <w:jc w:val="left"/>
              <w:rPr>
                <w:rFonts w:cs="Arial"/>
                <w:szCs w:val="22"/>
              </w:rPr>
            </w:pPr>
            <w:r w:rsidRPr="00562A2E">
              <w:rPr>
                <w:rFonts w:cs="Arial"/>
                <w:szCs w:val="22"/>
              </w:rPr>
              <w:t>0.6</w:t>
            </w:r>
          </w:p>
        </w:tc>
        <w:tc>
          <w:tcPr>
            <w:tcW w:w="1061" w:type="dxa"/>
            <w:noWrap/>
            <w:hideMark/>
          </w:tcPr>
          <w:p w14:paraId="52AC1D04" w14:textId="77777777" w:rsidR="00354EAD" w:rsidRPr="00562A2E" w:rsidRDefault="00354EAD">
            <w:pPr>
              <w:tabs>
                <w:tab w:val="left" w:pos="7288"/>
              </w:tabs>
              <w:spacing w:after="0" w:line="256" w:lineRule="auto"/>
              <w:jc w:val="left"/>
              <w:rPr>
                <w:rFonts w:cs="Arial"/>
                <w:szCs w:val="22"/>
              </w:rPr>
            </w:pPr>
            <w:r w:rsidRPr="00562A2E">
              <w:rPr>
                <w:rFonts w:cs="Arial"/>
                <w:szCs w:val="22"/>
              </w:rPr>
              <w:t>0.0381</w:t>
            </w:r>
          </w:p>
        </w:tc>
        <w:tc>
          <w:tcPr>
            <w:tcW w:w="1422" w:type="dxa"/>
            <w:noWrap/>
            <w:hideMark/>
          </w:tcPr>
          <w:p w14:paraId="2FE20FED" w14:textId="77777777" w:rsidR="00354EAD" w:rsidRPr="00562A2E" w:rsidRDefault="00354EAD">
            <w:pPr>
              <w:tabs>
                <w:tab w:val="left" w:pos="7288"/>
              </w:tabs>
              <w:spacing w:after="0" w:line="256" w:lineRule="auto"/>
              <w:jc w:val="left"/>
              <w:rPr>
                <w:rFonts w:cs="Arial"/>
                <w:szCs w:val="22"/>
              </w:rPr>
            </w:pPr>
            <w:r w:rsidRPr="00562A2E">
              <w:rPr>
                <w:rFonts w:cs="Arial"/>
                <w:szCs w:val="22"/>
              </w:rPr>
              <w:t>0</w:t>
            </w:r>
          </w:p>
        </w:tc>
        <w:tc>
          <w:tcPr>
            <w:tcW w:w="1489" w:type="dxa"/>
            <w:noWrap/>
            <w:hideMark/>
          </w:tcPr>
          <w:p w14:paraId="0E89B90A" w14:textId="77777777" w:rsidR="00354EAD" w:rsidRPr="00562A2E" w:rsidRDefault="00354EAD">
            <w:pPr>
              <w:tabs>
                <w:tab w:val="left" w:pos="7288"/>
              </w:tabs>
              <w:spacing w:after="0" w:line="256" w:lineRule="auto"/>
              <w:jc w:val="left"/>
              <w:rPr>
                <w:rFonts w:cs="Arial"/>
                <w:szCs w:val="22"/>
              </w:rPr>
            </w:pPr>
            <w:r w:rsidRPr="00562A2E">
              <w:rPr>
                <w:rFonts w:cs="Arial"/>
                <w:szCs w:val="22"/>
              </w:rPr>
              <w:t>0</w:t>
            </w:r>
          </w:p>
        </w:tc>
      </w:tr>
      <w:tr w:rsidR="00354EAD" w:rsidRPr="00562A2E" w14:paraId="23D1DF9B" w14:textId="77777777" w:rsidTr="4DA829A6">
        <w:trPr>
          <w:trHeight w:val="240"/>
        </w:trPr>
        <w:tc>
          <w:tcPr>
            <w:tcW w:w="9016" w:type="dxa"/>
            <w:gridSpan w:val="7"/>
            <w:noWrap/>
            <w:hideMark/>
          </w:tcPr>
          <w:p w14:paraId="289CD631" w14:textId="77777777" w:rsidR="00354EAD" w:rsidRPr="00562A2E" w:rsidRDefault="00354EAD" w:rsidP="4DA829A6">
            <w:pPr>
              <w:tabs>
                <w:tab w:val="left" w:pos="7288"/>
              </w:tabs>
              <w:spacing w:after="0" w:line="256" w:lineRule="auto"/>
              <w:jc w:val="left"/>
              <w:rPr>
                <w:rFonts w:cs="Arial"/>
              </w:rPr>
            </w:pPr>
            <w:r w:rsidRPr="4DA829A6">
              <w:rPr>
                <w:rFonts w:cs="Arial"/>
              </w:rPr>
              <w:t xml:space="preserve">*The current emission factors and net calorific values contained in Schedule 1 of the Carbon Tax Act are applicable where the blocks in the table are blank.  </w:t>
            </w:r>
          </w:p>
        </w:tc>
      </w:tr>
    </w:tbl>
    <w:p w14:paraId="0F782BDF" w14:textId="77777777" w:rsidR="00D565E0" w:rsidRDefault="00D565E0" w:rsidP="00354EAD">
      <w:pPr>
        <w:rPr>
          <w:lang w:val="en-US"/>
        </w:rPr>
      </w:pPr>
    </w:p>
    <w:p w14:paraId="02C186C7" w14:textId="77777777" w:rsidR="004450A1" w:rsidRDefault="004450A1" w:rsidP="00354EAD">
      <w:pPr>
        <w:rPr>
          <w:lang w:val="en-US"/>
        </w:rPr>
      </w:pPr>
    </w:p>
    <w:p w14:paraId="4415440A" w14:textId="77777777" w:rsidR="00354EAD" w:rsidRPr="00562A2E" w:rsidRDefault="00354EAD" w:rsidP="00354EAD">
      <w:r w:rsidRPr="00562A2E">
        <w:rPr>
          <w:b/>
          <w:bCs/>
        </w:rPr>
        <w:t>Table 2: Proposed Changes to Schedule 1 Non-Stationary Fuel Emission Factors</w:t>
      </w:r>
    </w:p>
    <w:tbl>
      <w:tblPr>
        <w:tblStyle w:val="TableGrid4"/>
        <w:tblW w:w="9394" w:type="dxa"/>
        <w:tblInd w:w="0" w:type="dxa"/>
        <w:tblLook w:val="04A0" w:firstRow="1" w:lastRow="0" w:firstColumn="1" w:lastColumn="0" w:noHBand="0" w:noVBand="1"/>
      </w:tblPr>
      <w:tblGrid>
        <w:gridCol w:w="1686"/>
        <w:gridCol w:w="1217"/>
        <w:gridCol w:w="1207"/>
        <w:gridCol w:w="1217"/>
        <w:gridCol w:w="1213"/>
        <w:gridCol w:w="1427"/>
        <w:gridCol w:w="1427"/>
      </w:tblGrid>
      <w:tr w:rsidR="00354EAD" w:rsidRPr="00562A2E" w14:paraId="0AE6EE28" w14:textId="77777777" w:rsidTr="4DA829A6">
        <w:trPr>
          <w:trHeight w:val="340"/>
        </w:trPr>
        <w:tc>
          <w:tcPr>
            <w:tcW w:w="1980" w:type="dxa"/>
            <w:noWrap/>
          </w:tcPr>
          <w:p w14:paraId="7EDFFE68" w14:textId="77777777" w:rsidR="00354EAD" w:rsidRPr="00562A2E" w:rsidRDefault="00354EAD">
            <w:pPr>
              <w:spacing w:after="0" w:line="256" w:lineRule="auto"/>
              <w:jc w:val="center"/>
              <w:rPr>
                <w:rFonts w:cs="Arial"/>
                <w:szCs w:val="22"/>
              </w:rPr>
            </w:pPr>
          </w:p>
        </w:tc>
        <w:tc>
          <w:tcPr>
            <w:tcW w:w="3158" w:type="dxa"/>
            <w:gridSpan w:val="3"/>
            <w:noWrap/>
          </w:tcPr>
          <w:p w14:paraId="722FE69F" w14:textId="77777777" w:rsidR="00354EAD" w:rsidRPr="00562A2E" w:rsidRDefault="00354EAD">
            <w:pPr>
              <w:spacing w:after="0" w:line="256" w:lineRule="auto"/>
              <w:jc w:val="center"/>
              <w:rPr>
                <w:rFonts w:cs="Arial"/>
                <w:b/>
                <w:bCs/>
                <w:szCs w:val="22"/>
              </w:rPr>
            </w:pPr>
            <w:r w:rsidRPr="00562A2E">
              <w:rPr>
                <w:rFonts w:cs="Arial"/>
                <w:b/>
                <w:bCs/>
                <w:szCs w:val="22"/>
              </w:rPr>
              <w:t>FUEL COMBUSTION EMISSION FACTORS NON-STATIONARY SOURCE CATEGORY</w:t>
            </w:r>
          </w:p>
        </w:tc>
        <w:tc>
          <w:tcPr>
            <w:tcW w:w="4256" w:type="dxa"/>
            <w:gridSpan w:val="3"/>
            <w:noWrap/>
          </w:tcPr>
          <w:p w14:paraId="32AF51EE" w14:textId="77777777" w:rsidR="00354EAD" w:rsidRPr="00562A2E" w:rsidRDefault="00354EAD">
            <w:pPr>
              <w:spacing w:after="0" w:line="256" w:lineRule="auto"/>
              <w:jc w:val="center"/>
              <w:rPr>
                <w:rFonts w:cs="Arial"/>
                <w:i/>
                <w:iCs/>
                <w:szCs w:val="22"/>
              </w:rPr>
            </w:pPr>
            <w:r w:rsidRPr="00562A2E">
              <w:rPr>
                <w:rFonts w:cs="Arial"/>
                <w:b/>
                <w:bCs/>
                <w:szCs w:val="22"/>
              </w:rPr>
              <w:t>DEFAULT NET CALORIFIC VALUE (TJ/TONNE)</w:t>
            </w:r>
          </w:p>
        </w:tc>
      </w:tr>
      <w:tr w:rsidR="00354EAD" w:rsidRPr="00562A2E" w14:paraId="5FB51A8B" w14:textId="77777777" w:rsidTr="4DA829A6">
        <w:trPr>
          <w:trHeight w:val="340"/>
        </w:trPr>
        <w:tc>
          <w:tcPr>
            <w:tcW w:w="1980" w:type="dxa"/>
            <w:noWrap/>
            <w:hideMark/>
          </w:tcPr>
          <w:p w14:paraId="584B2E13" w14:textId="77777777" w:rsidR="00354EAD" w:rsidRPr="00562A2E" w:rsidRDefault="00354EAD">
            <w:pPr>
              <w:spacing w:after="0" w:line="256" w:lineRule="auto"/>
              <w:jc w:val="center"/>
              <w:rPr>
                <w:rFonts w:cs="Arial"/>
                <w:b/>
                <w:bCs/>
                <w:szCs w:val="22"/>
              </w:rPr>
            </w:pPr>
            <w:r w:rsidRPr="00562A2E">
              <w:rPr>
                <w:rFonts w:cs="Arial"/>
                <w:b/>
                <w:bCs/>
                <w:szCs w:val="22"/>
              </w:rPr>
              <w:t>FUEL TYPE</w:t>
            </w:r>
          </w:p>
        </w:tc>
        <w:tc>
          <w:tcPr>
            <w:tcW w:w="625" w:type="dxa"/>
            <w:noWrap/>
            <w:hideMark/>
          </w:tcPr>
          <w:p w14:paraId="57337BEC" w14:textId="77777777" w:rsidR="00354EAD" w:rsidRPr="00562A2E" w:rsidRDefault="00354EAD">
            <w:pPr>
              <w:spacing w:after="0" w:line="256" w:lineRule="auto"/>
              <w:jc w:val="center"/>
              <w:rPr>
                <w:rFonts w:cs="Arial"/>
                <w:b/>
                <w:bCs/>
                <w:szCs w:val="22"/>
              </w:rPr>
            </w:pPr>
            <w:r w:rsidRPr="00562A2E">
              <w:rPr>
                <w:rFonts w:cs="Arial"/>
                <w:b/>
                <w:bCs/>
                <w:szCs w:val="22"/>
              </w:rPr>
              <w:t>CO</w:t>
            </w:r>
            <w:r w:rsidRPr="00562A2E">
              <w:rPr>
                <w:rFonts w:cs="Arial"/>
                <w:b/>
                <w:bCs/>
                <w:szCs w:val="22"/>
                <w:vertAlign w:val="subscript"/>
              </w:rPr>
              <w:t>2</w:t>
            </w:r>
            <w:r w:rsidRPr="00562A2E">
              <w:rPr>
                <w:rFonts w:cs="Arial"/>
                <w:b/>
                <w:bCs/>
                <w:szCs w:val="22"/>
              </w:rPr>
              <w:t xml:space="preserve"> (KGCO</w:t>
            </w:r>
            <w:r w:rsidRPr="00562A2E">
              <w:rPr>
                <w:rFonts w:cs="Arial"/>
                <w:b/>
                <w:bCs/>
                <w:szCs w:val="22"/>
                <w:vertAlign w:val="subscript"/>
              </w:rPr>
              <w:t>2</w:t>
            </w:r>
            <w:r w:rsidRPr="00562A2E">
              <w:rPr>
                <w:rFonts w:cs="Arial"/>
                <w:b/>
                <w:bCs/>
                <w:szCs w:val="22"/>
              </w:rPr>
              <w:t>/TJ)</w:t>
            </w:r>
          </w:p>
        </w:tc>
        <w:tc>
          <w:tcPr>
            <w:tcW w:w="1261" w:type="dxa"/>
            <w:noWrap/>
            <w:hideMark/>
          </w:tcPr>
          <w:p w14:paraId="6D25F196" w14:textId="77777777" w:rsidR="00354EAD" w:rsidRPr="00562A2E" w:rsidRDefault="00354EAD">
            <w:pPr>
              <w:spacing w:after="0" w:line="256" w:lineRule="auto"/>
              <w:jc w:val="center"/>
              <w:rPr>
                <w:rFonts w:cs="Arial"/>
                <w:b/>
                <w:bCs/>
                <w:szCs w:val="22"/>
              </w:rPr>
            </w:pPr>
            <w:r w:rsidRPr="00562A2E">
              <w:rPr>
                <w:rFonts w:cs="Arial"/>
                <w:b/>
                <w:bCs/>
                <w:szCs w:val="22"/>
              </w:rPr>
              <w:t>CH</w:t>
            </w:r>
            <w:r w:rsidRPr="00562A2E">
              <w:rPr>
                <w:rFonts w:cs="Arial"/>
                <w:b/>
                <w:bCs/>
                <w:szCs w:val="22"/>
                <w:vertAlign w:val="subscript"/>
              </w:rPr>
              <w:t xml:space="preserve">4 </w:t>
            </w:r>
            <w:r w:rsidRPr="00562A2E">
              <w:rPr>
                <w:rFonts w:cs="Arial"/>
                <w:b/>
                <w:bCs/>
                <w:szCs w:val="22"/>
              </w:rPr>
              <w:t>(KGCH</w:t>
            </w:r>
            <w:r w:rsidRPr="00562A2E">
              <w:rPr>
                <w:rFonts w:cs="Arial"/>
                <w:b/>
                <w:bCs/>
                <w:szCs w:val="22"/>
                <w:vertAlign w:val="subscript"/>
              </w:rPr>
              <w:t>4</w:t>
            </w:r>
            <w:r w:rsidRPr="00562A2E">
              <w:rPr>
                <w:rFonts w:cs="Arial"/>
                <w:b/>
                <w:bCs/>
                <w:szCs w:val="22"/>
              </w:rPr>
              <w:t>/TJ)</w:t>
            </w:r>
          </w:p>
        </w:tc>
        <w:tc>
          <w:tcPr>
            <w:tcW w:w="1272" w:type="dxa"/>
            <w:noWrap/>
            <w:hideMark/>
          </w:tcPr>
          <w:p w14:paraId="63B1F410" w14:textId="77777777" w:rsidR="00354EAD" w:rsidRPr="00562A2E" w:rsidRDefault="00354EAD">
            <w:pPr>
              <w:spacing w:after="0" w:line="256" w:lineRule="auto"/>
              <w:jc w:val="center"/>
              <w:rPr>
                <w:rFonts w:cs="Arial"/>
                <w:b/>
                <w:bCs/>
                <w:szCs w:val="22"/>
              </w:rPr>
            </w:pPr>
            <w:r w:rsidRPr="00562A2E">
              <w:rPr>
                <w:rFonts w:cs="Arial"/>
                <w:b/>
                <w:bCs/>
                <w:szCs w:val="22"/>
              </w:rPr>
              <w:t>N</w:t>
            </w:r>
            <w:r w:rsidRPr="00562A2E">
              <w:rPr>
                <w:rFonts w:cs="Arial"/>
                <w:b/>
                <w:bCs/>
                <w:szCs w:val="22"/>
                <w:vertAlign w:val="subscript"/>
              </w:rPr>
              <w:t>2</w:t>
            </w:r>
            <w:r w:rsidRPr="00562A2E">
              <w:rPr>
                <w:rFonts w:cs="Arial"/>
                <w:b/>
                <w:bCs/>
                <w:szCs w:val="22"/>
              </w:rPr>
              <w:t>O (KGN</w:t>
            </w:r>
            <w:r w:rsidRPr="00562A2E">
              <w:rPr>
                <w:rFonts w:cs="Arial"/>
                <w:b/>
                <w:bCs/>
                <w:szCs w:val="22"/>
                <w:vertAlign w:val="subscript"/>
              </w:rPr>
              <w:t>2</w:t>
            </w:r>
            <w:r w:rsidRPr="00562A2E">
              <w:rPr>
                <w:rFonts w:cs="Arial"/>
                <w:b/>
                <w:bCs/>
                <w:szCs w:val="22"/>
              </w:rPr>
              <w:t>O/TJ)</w:t>
            </w:r>
          </w:p>
        </w:tc>
        <w:tc>
          <w:tcPr>
            <w:tcW w:w="1268" w:type="dxa"/>
            <w:noWrap/>
            <w:hideMark/>
          </w:tcPr>
          <w:p w14:paraId="3CECEB4B" w14:textId="77777777" w:rsidR="00354EAD" w:rsidRPr="00562A2E" w:rsidRDefault="00354EAD">
            <w:pPr>
              <w:spacing w:after="0" w:line="256" w:lineRule="auto"/>
              <w:jc w:val="center"/>
              <w:rPr>
                <w:rFonts w:cs="Arial"/>
                <w:b/>
                <w:bCs/>
                <w:szCs w:val="22"/>
              </w:rPr>
            </w:pPr>
            <w:r w:rsidRPr="00562A2E">
              <w:rPr>
                <w:rFonts w:cs="Arial"/>
                <w:b/>
                <w:bCs/>
                <w:szCs w:val="22"/>
              </w:rPr>
              <w:t>NET CALORIFIC VALUE</w:t>
            </w:r>
          </w:p>
        </w:tc>
        <w:tc>
          <w:tcPr>
            <w:tcW w:w="1494" w:type="dxa"/>
            <w:noWrap/>
            <w:hideMark/>
          </w:tcPr>
          <w:p w14:paraId="680B8225" w14:textId="77777777" w:rsidR="00354EAD" w:rsidRPr="00562A2E" w:rsidRDefault="00354EAD">
            <w:pPr>
              <w:spacing w:after="0" w:line="256" w:lineRule="auto"/>
              <w:jc w:val="center"/>
              <w:rPr>
                <w:rFonts w:cs="Arial"/>
                <w:b/>
                <w:bCs/>
                <w:szCs w:val="22"/>
              </w:rPr>
            </w:pPr>
            <w:r w:rsidRPr="00562A2E">
              <w:rPr>
                <w:rFonts w:cs="Arial"/>
                <w:b/>
                <w:bCs/>
                <w:szCs w:val="22"/>
              </w:rPr>
              <w:t>LOWER LIMIT OF THE 95% CONFIDENCE INTERVAL</w:t>
            </w:r>
          </w:p>
        </w:tc>
        <w:tc>
          <w:tcPr>
            <w:tcW w:w="1494" w:type="dxa"/>
            <w:noWrap/>
            <w:hideMark/>
          </w:tcPr>
          <w:p w14:paraId="1C8CC6D8" w14:textId="77777777" w:rsidR="00354EAD" w:rsidRPr="00562A2E" w:rsidRDefault="00354EAD">
            <w:pPr>
              <w:spacing w:after="0" w:line="256" w:lineRule="auto"/>
              <w:jc w:val="center"/>
              <w:rPr>
                <w:rFonts w:cs="Arial"/>
                <w:b/>
                <w:bCs/>
                <w:szCs w:val="22"/>
              </w:rPr>
            </w:pPr>
            <w:r w:rsidRPr="00562A2E">
              <w:rPr>
                <w:rFonts w:cs="Arial"/>
                <w:b/>
                <w:bCs/>
                <w:szCs w:val="22"/>
              </w:rPr>
              <w:t>UPPER LIMIT OF THE 95% CONFIDENCE INTERVAL</w:t>
            </w:r>
          </w:p>
        </w:tc>
      </w:tr>
      <w:tr w:rsidR="00354EAD" w:rsidRPr="00562A2E" w14:paraId="5DA7A025" w14:textId="77777777" w:rsidTr="4DA829A6">
        <w:trPr>
          <w:trHeight w:val="310"/>
        </w:trPr>
        <w:tc>
          <w:tcPr>
            <w:tcW w:w="1980" w:type="dxa"/>
            <w:noWrap/>
          </w:tcPr>
          <w:p w14:paraId="41C82AAD" w14:textId="77777777" w:rsidR="00354EAD" w:rsidRPr="00562A2E" w:rsidRDefault="00354EAD">
            <w:pPr>
              <w:spacing w:after="0" w:line="256" w:lineRule="auto"/>
              <w:jc w:val="left"/>
              <w:rPr>
                <w:rFonts w:cs="Arial"/>
                <w:szCs w:val="22"/>
              </w:rPr>
            </w:pPr>
            <w:r w:rsidRPr="00562A2E">
              <w:rPr>
                <w:rFonts w:cs="Arial"/>
                <w:b/>
                <w:bCs/>
                <w:szCs w:val="22"/>
              </w:rPr>
              <w:t>Changes to existing fuel types</w:t>
            </w:r>
          </w:p>
        </w:tc>
        <w:tc>
          <w:tcPr>
            <w:tcW w:w="625" w:type="dxa"/>
            <w:noWrap/>
          </w:tcPr>
          <w:p w14:paraId="371A0311" w14:textId="77777777" w:rsidR="00354EAD" w:rsidRPr="00562A2E" w:rsidRDefault="00354EAD">
            <w:pPr>
              <w:spacing w:after="0" w:line="256" w:lineRule="auto"/>
              <w:jc w:val="center"/>
              <w:rPr>
                <w:rFonts w:cs="Arial"/>
                <w:szCs w:val="22"/>
              </w:rPr>
            </w:pPr>
          </w:p>
        </w:tc>
        <w:tc>
          <w:tcPr>
            <w:tcW w:w="1261" w:type="dxa"/>
            <w:noWrap/>
          </w:tcPr>
          <w:p w14:paraId="7BF4834E" w14:textId="77777777" w:rsidR="00354EAD" w:rsidRPr="00562A2E" w:rsidRDefault="00354EAD">
            <w:pPr>
              <w:spacing w:after="0" w:line="256" w:lineRule="auto"/>
              <w:jc w:val="center"/>
              <w:rPr>
                <w:rFonts w:cs="Arial"/>
                <w:szCs w:val="22"/>
              </w:rPr>
            </w:pPr>
          </w:p>
        </w:tc>
        <w:tc>
          <w:tcPr>
            <w:tcW w:w="1272" w:type="dxa"/>
            <w:noWrap/>
          </w:tcPr>
          <w:p w14:paraId="6E5E4942" w14:textId="77777777" w:rsidR="00354EAD" w:rsidRPr="00562A2E" w:rsidRDefault="00354EAD">
            <w:pPr>
              <w:spacing w:after="0" w:line="256" w:lineRule="auto"/>
              <w:jc w:val="center"/>
              <w:rPr>
                <w:rFonts w:cs="Arial"/>
                <w:szCs w:val="22"/>
              </w:rPr>
            </w:pPr>
          </w:p>
        </w:tc>
        <w:tc>
          <w:tcPr>
            <w:tcW w:w="1268" w:type="dxa"/>
          </w:tcPr>
          <w:p w14:paraId="322D67FB" w14:textId="77777777" w:rsidR="00354EAD" w:rsidRPr="00562A2E" w:rsidRDefault="00354EAD">
            <w:pPr>
              <w:spacing w:after="0" w:line="256" w:lineRule="auto"/>
              <w:jc w:val="center"/>
              <w:rPr>
                <w:rFonts w:cs="Arial"/>
                <w:szCs w:val="22"/>
              </w:rPr>
            </w:pPr>
          </w:p>
        </w:tc>
        <w:tc>
          <w:tcPr>
            <w:tcW w:w="1494" w:type="dxa"/>
          </w:tcPr>
          <w:p w14:paraId="12FADD88" w14:textId="77777777" w:rsidR="00354EAD" w:rsidRPr="00562A2E" w:rsidRDefault="00354EAD">
            <w:pPr>
              <w:spacing w:after="0" w:line="256" w:lineRule="auto"/>
              <w:jc w:val="center"/>
              <w:rPr>
                <w:rFonts w:cs="Arial"/>
                <w:szCs w:val="22"/>
              </w:rPr>
            </w:pPr>
          </w:p>
        </w:tc>
        <w:tc>
          <w:tcPr>
            <w:tcW w:w="1494" w:type="dxa"/>
          </w:tcPr>
          <w:p w14:paraId="3D11599D" w14:textId="77777777" w:rsidR="00354EAD" w:rsidRPr="00562A2E" w:rsidRDefault="00354EAD">
            <w:pPr>
              <w:spacing w:after="0" w:line="256" w:lineRule="auto"/>
              <w:jc w:val="center"/>
              <w:rPr>
                <w:rFonts w:cs="Arial"/>
                <w:szCs w:val="22"/>
              </w:rPr>
            </w:pPr>
          </w:p>
        </w:tc>
      </w:tr>
      <w:tr w:rsidR="00354EAD" w:rsidRPr="00562A2E" w14:paraId="0A7F1B37" w14:textId="77777777" w:rsidTr="00F937AD">
        <w:trPr>
          <w:trHeight w:val="310"/>
        </w:trPr>
        <w:tc>
          <w:tcPr>
            <w:tcW w:w="1980" w:type="dxa"/>
            <w:noWrap/>
            <w:hideMark/>
          </w:tcPr>
          <w:p w14:paraId="02B7898E" w14:textId="77777777" w:rsidR="00354EAD" w:rsidRPr="00562A2E" w:rsidRDefault="00354EAD">
            <w:pPr>
              <w:spacing w:after="0" w:line="256" w:lineRule="auto"/>
              <w:jc w:val="left"/>
              <w:rPr>
                <w:rFonts w:cs="Arial"/>
                <w:szCs w:val="22"/>
              </w:rPr>
            </w:pPr>
            <w:r w:rsidRPr="00562A2E">
              <w:rPr>
                <w:rFonts w:cs="Arial"/>
                <w:szCs w:val="22"/>
              </w:rPr>
              <w:t>Aviation Gasoline</w:t>
            </w:r>
          </w:p>
        </w:tc>
        <w:tc>
          <w:tcPr>
            <w:tcW w:w="625" w:type="dxa"/>
            <w:noWrap/>
            <w:hideMark/>
          </w:tcPr>
          <w:p w14:paraId="5624C575" w14:textId="77777777" w:rsidR="00354EAD" w:rsidRPr="00562A2E" w:rsidRDefault="00354EAD">
            <w:pPr>
              <w:spacing w:after="0" w:line="256" w:lineRule="auto"/>
              <w:jc w:val="center"/>
              <w:rPr>
                <w:rFonts w:cs="Arial"/>
                <w:szCs w:val="22"/>
              </w:rPr>
            </w:pPr>
            <w:r w:rsidRPr="00562A2E">
              <w:rPr>
                <w:rFonts w:cs="Arial"/>
                <w:szCs w:val="22"/>
              </w:rPr>
              <w:t>65 752</w:t>
            </w:r>
          </w:p>
        </w:tc>
        <w:tc>
          <w:tcPr>
            <w:tcW w:w="1261" w:type="dxa"/>
            <w:noWrap/>
            <w:hideMark/>
          </w:tcPr>
          <w:p w14:paraId="5BB7EE2D" w14:textId="77777777" w:rsidR="00354EAD" w:rsidRPr="00562A2E" w:rsidRDefault="00354EAD">
            <w:pPr>
              <w:spacing w:after="0" w:line="256" w:lineRule="auto"/>
              <w:jc w:val="center"/>
              <w:rPr>
                <w:rFonts w:cs="Arial"/>
                <w:szCs w:val="22"/>
              </w:rPr>
            </w:pPr>
            <w:r w:rsidRPr="00562A2E">
              <w:rPr>
                <w:rFonts w:cs="Arial"/>
                <w:szCs w:val="22"/>
              </w:rPr>
              <w:t>0.5</w:t>
            </w:r>
          </w:p>
        </w:tc>
        <w:tc>
          <w:tcPr>
            <w:tcW w:w="1272" w:type="dxa"/>
            <w:noWrap/>
            <w:hideMark/>
          </w:tcPr>
          <w:p w14:paraId="3A390891" w14:textId="77777777" w:rsidR="00354EAD" w:rsidRPr="00562A2E" w:rsidRDefault="00354EAD">
            <w:pPr>
              <w:spacing w:after="0" w:line="256" w:lineRule="auto"/>
              <w:jc w:val="center"/>
              <w:rPr>
                <w:rFonts w:cs="Arial"/>
                <w:szCs w:val="22"/>
              </w:rPr>
            </w:pPr>
            <w:r w:rsidRPr="00562A2E">
              <w:rPr>
                <w:rFonts w:cs="Arial"/>
                <w:szCs w:val="22"/>
              </w:rPr>
              <w:t>2</w:t>
            </w:r>
          </w:p>
        </w:tc>
        <w:tc>
          <w:tcPr>
            <w:tcW w:w="1268" w:type="dxa"/>
            <w:hideMark/>
          </w:tcPr>
          <w:p w14:paraId="390A82CF" w14:textId="77777777" w:rsidR="00354EAD" w:rsidRPr="00562A2E" w:rsidRDefault="00354EAD">
            <w:pPr>
              <w:spacing w:after="0" w:line="256" w:lineRule="auto"/>
              <w:jc w:val="center"/>
              <w:rPr>
                <w:rFonts w:cs="Arial"/>
                <w:szCs w:val="22"/>
              </w:rPr>
            </w:pPr>
            <w:r w:rsidRPr="00562A2E">
              <w:rPr>
                <w:rFonts w:cs="Arial"/>
                <w:szCs w:val="22"/>
              </w:rPr>
              <w:t>0.0475</w:t>
            </w:r>
          </w:p>
        </w:tc>
        <w:tc>
          <w:tcPr>
            <w:tcW w:w="1494" w:type="dxa"/>
          </w:tcPr>
          <w:p w14:paraId="63491AC2" w14:textId="3B2FBAD5" w:rsidR="00354EAD" w:rsidRPr="00562A2E" w:rsidRDefault="00354EAD">
            <w:pPr>
              <w:spacing w:after="0" w:line="256" w:lineRule="auto"/>
              <w:jc w:val="center"/>
              <w:rPr>
                <w:rFonts w:cs="Arial"/>
                <w:szCs w:val="22"/>
              </w:rPr>
            </w:pPr>
          </w:p>
        </w:tc>
        <w:tc>
          <w:tcPr>
            <w:tcW w:w="1494" w:type="dxa"/>
          </w:tcPr>
          <w:p w14:paraId="06948356" w14:textId="1C8F8D2F" w:rsidR="00354EAD" w:rsidRPr="00562A2E" w:rsidRDefault="00F937AD">
            <w:pPr>
              <w:spacing w:after="0" w:line="256" w:lineRule="auto"/>
              <w:jc w:val="center"/>
              <w:rPr>
                <w:rFonts w:cs="Arial"/>
                <w:szCs w:val="22"/>
              </w:rPr>
            </w:pPr>
            <w:r w:rsidRPr="00562A2E">
              <w:rPr>
                <w:rFonts w:cs="Arial"/>
                <w:szCs w:val="22"/>
              </w:rPr>
              <w:t>0.0475</w:t>
            </w:r>
          </w:p>
        </w:tc>
      </w:tr>
      <w:tr w:rsidR="00354EAD" w:rsidRPr="00562A2E" w14:paraId="01F5CCD3" w14:textId="77777777" w:rsidTr="00F937AD">
        <w:trPr>
          <w:trHeight w:val="300"/>
        </w:trPr>
        <w:tc>
          <w:tcPr>
            <w:tcW w:w="1980" w:type="dxa"/>
            <w:noWrap/>
            <w:hideMark/>
          </w:tcPr>
          <w:p w14:paraId="4943BD75" w14:textId="77777777" w:rsidR="00354EAD" w:rsidRPr="00562A2E" w:rsidRDefault="00354EAD">
            <w:pPr>
              <w:spacing w:after="0" w:line="256" w:lineRule="auto"/>
              <w:jc w:val="left"/>
              <w:rPr>
                <w:rFonts w:cs="Arial"/>
                <w:szCs w:val="22"/>
              </w:rPr>
            </w:pPr>
            <w:r w:rsidRPr="00562A2E">
              <w:rPr>
                <w:rFonts w:cs="Arial"/>
                <w:szCs w:val="22"/>
              </w:rPr>
              <w:t>Diesel</w:t>
            </w:r>
          </w:p>
        </w:tc>
        <w:tc>
          <w:tcPr>
            <w:tcW w:w="625" w:type="dxa"/>
            <w:noWrap/>
            <w:hideMark/>
          </w:tcPr>
          <w:p w14:paraId="46C81F59" w14:textId="77777777" w:rsidR="00354EAD" w:rsidRPr="00562A2E" w:rsidRDefault="00354EAD">
            <w:pPr>
              <w:spacing w:after="0" w:line="256" w:lineRule="auto"/>
              <w:jc w:val="center"/>
              <w:rPr>
                <w:rFonts w:cs="Arial"/>
                <w:szCs w:val="22"/>
              </w:rPr>
            </w:pPr>
            <w:r w:rsidRPr="00562A2E">
              <w:rPr>
                <w:rFonts w:cs="Arial"/>
                <w:szCs w:val="22"/>
              </w:rPr>
              <w:t>74 638</w:t>
            </w:r>
          </w:p>
        </w:tc>
        <w:tc>
          <w:tcPr>
            <w:tcW w:w="1261" w:type="dxa"/>
            <w:noWrap/>
            <w:hideMark/>
          </w:tcPr>
          <w:p w14:paraId="06677E1D" w14:textId="77777777" w:rsidR="00354EAD" w:rsidRPr="00562A2E" w:rsidRDefault="00354EAD">
            <w:pPr>
              <w:spacing w:after="0" w:line="256" w:lineRule="auto"/>
              <w:jc w:val="center"/>
              <w:rPr>
                <w:rFonts w:cs="Arial"/>
                <w:szCs w:val="22"/>
              </w:rPr>
            </w:pPr>
          </w:p>
        </w:tc>
        <w:tc>
          <w:tcPr>
            <w:tcW w:w="1272" w:type="dxa"/>
            <w:noWrap/>
            <w:hideMark/>
          </w:tcPr>
          <w:p w14:paraId="4B5DDDC6" w14:textId="77777777" w:rsidR="00354EAD" w:rsidRPr="00562A2E" w:rsidRDefault="00354EAD">
            <w:pPr>
              <w:spacing w:after="0" w:line="256" w:lineRule="auto"/>
              <w:jc w:val="center"/>
              <w:rPr>
                <w:rFonts w:cs="Arial"/>
                <w:szCs w:val="22"/>
              </w:rPr>
            </w:pPr>
          </w:p>
        </w:tc>
        <w:tc>
          <w:tcPr>
            <w:tcW w:w="1268" w:type="dxa"/>
            <w:hideMark/>
          </w:tcPr>
          <w:p w14:paraId="6B11DA75" w14:textId="77777777" w:rsidR="00354EAD" w:rsidRPr="00562A2E" w:rsidRDefault="00354EAD">
            <w:pPr>
              <w:spacing w:after="0" w:line="256" w:lineRule="auto"/>
              <w:jc w:val="center"/>
              <w:rPr>
                <w:rFonts w:cs="Arial"/>
                <w:szCs w:val="22"/>
              </w:rPr>
            </w:pPr>
            <w:r w:rsidRPr="00562A2E">
              <w:rPr>
                <w:rFonts w:cs="Arial"/>
                <w:szCs w:val="22"/>
              </w:rPr>
              <w:t>0.0430</w:t>
            </w:r>
          </w:p>
        </w:tc>
        <w:tc>
          <w:tcPr>
            <w:tcW w:w="1494" w:type="dxa"/>
          </w:tcPr>
          <w:p w14:paraId="26F69911" w14:textId="77777777" w:rsidR="00354EAD" w:rsidRPr="00562A2E" w:rsidRDefault="00354EAD">
            <w:pPr>
              <w:spacing w:after="0" w:line="256" w:lineRule="auto"/>
              <w:jc w:val="center"/>
              <w:rPr>
                <w:rFonts w:cs="Arial"/>
                <w:szCs w:val="22"/>
              </w:rPr>
            </w:pPr>
          </w:p>
        </w:tc>
        <w:tc>
          <w:tcPr>
            <w:tcW w:w="1494" w:type="dxa"/>
          </w:tcPr>
          <w:p w14:paraId="5D5ADDA4" w14:textId="77777777" w:rsidR="00354EAD" w:rsidRPr="00562A2E" w:rsidRDefault="00354EAD">
            <w:pPr>
              <w:spacing w:after="0" w:line="256" w:lineRule="auto"/>
              <w:jc w:val="center"/>
              <w:rPr>
                <w:rFonts w:cs="Arial"/>
                <w:szCs w:val="22"/>
              </w:rPr>
            </w:pPr>
          </w:p>
        </w:tc>
      </w:tr>
      <w:tr w:rsidR="00354EAD" w:rsidRPr="00562A2E" w14:paraId="22D2678C" w14:textId="77777777" w:rsidTr="4DA829A6">
        <w:trPr>
          <w:trHeight w:val="300"/>
        </w:trPr>
        <w:tc>
          <w:tcPr>
            <w:tcW w:w="1980" w:type="dxa"/>
            <w:noWrap/>
            <w:hideMark/>
          </w:tcPr>
          <w:p w14:paraId="4DBF71E0" w14:textId="77777777" w:rsidR="00354EAD" w:rsidRPr="00562A2E" w:rsidRDefault="00354EAD">
            <w:pPr>
              <w:spacing w:after="0" w:line="256" w:lineRule="auto"/>
              <w:jc w:val="left"/>
              <w:rPr>
                <w:rFonts w:cs="Arial"/>
                <w:szCs w:val="22"/>
              </w:rPr>
            </w:pPr>
            <w:r w:rsidRPr="00562A2E">
              <w:rPr>
                <w:rFonts w:cs="Arial"/>
                <w:szCs w:val="22"/>
              </w:rPr>
              <w:t>Heavy Fuel Oil (residual fuel oil)</w:t>
            </w:r>
          </w:p>
        </w:tc>
        <w:tc>
          <w:tcPr>
            <w:tcW w:w="625" w:type="dxa"/>
            <w:noWrap/>
            <w:hideMark/>
          </w:tcPr>
          <w:p w14:paraId="44807332" w14:textId="77777777" w:rsidR="00354EAD" w:rsidRPr="00562A2E" w:rsidRDefault="00354EAD">
            <w:pPr>
              <w:spacing w:after="0" w:line="256" w:lineRule="auto"/>
              <w:jc w:val="center"/>
              <w:rPr>
                <w:rFonts w:cs="Arial"/>
                <w:szCs w:val="22"/>
              </w:rPr>
            </w:pPr>
            <w:r w:rsidRPr="00562A2E">
              <w:rPr>
                <w:rFonts w:cs="Arial"/>
                <w:szCs w:val="22"/>
              </w:rPr>
              <w:t>73 090</w:t>
            </w:r>
          </w:p>
        </w:tc>
        <w:tc>
          <w:tcPr>
            <w:tcW w:w="1261" w:type="dxa"/>
            <w:noWrap/>
            <w:hideMark/>
          </w:tcPr>
          <w:p w14:paraId="0ED02753" w14:textId="77777777" w:rsidR="00354EAD" w:rsidRPr="00562A2E" w:rsidRDefault="00354EAD">
            <w:pPr>
              <w:spacing w:after="0" w:line="256" w:lineRule="auto"/>
              <w:jc w:val="center"/>
              <w:rPr>
                <w:rFonts w:cs="Arial"/>
                <w:szCs w:val="22"/>
              </w:rPr>
            </w:pPr>
          </w:p>
        </w:tc>
        <w:tc>
          <w:tcPr>
            <w:tcW w:w="1272" w:type="dxa"/>
            <w:noWrap/>
            <w:hideMark/>
          </w:tcPr>
          <w:p w14:paraId="62814CAE" w14:textId="77777777" w:rsidR="00354EAD" w:rsidRPr="00562A2E" w:rsidRDefault="00354EAD">
            <w:pPr>
              <w:spacing w:after="0" w:line="256" w:lineRule="auto"/>
              <w:jc w:val="center"/>
              <w:rPr>
                <w:rFonts w:cs="Arial"/>
                <w:szCs w:val="22"/>
              </w:rPr>
            </w:pPr>
          </w:p>
        </w:tc>
        <w:tc>
          <w:tcPr>
            <w:tcW w:w="1268" w:type="dxa"/>
          </w:tcPr>
          <w:p w14:paraId="15678B87" w14:textId="77777777" w:rsidR="00354EAD" w:rsidRPr="00562A2E" w:rsidRDefault="00354EAD">
            <w:pPr>
              <w:spacing w:after="0" w:line="256" w:lineRule="auto"/>
              <w:jc w:val="center"/>
              <w:rPr>
                <w:rFonts w:cs="Arial"/>
                <w:szCs w:val="22"/>
              </w:rPr>
            </w:pPr>
            <w:r w:rsidRPr="00562A2E">
              <w:rPr>
                <w:rFonts w:cs="Arial"/>
                <w:szCs w:val="22"/>
              </w:rPr>
              <w:t>0.0473</w:t>
            </w:r>
          </w:p>
        </w:tc>
        <w:tc>
          <w:tcPr>
            <w:tcW w:w="1494" w:type="dxa"/>
          </w:tcPr>
          <w:p w14:paraId="40606521" w14:textId="16E3D93D" w:rsidR="00354EAD" w:rsidRPr="00562A2E" w:rsidRDefault="00354EAD">
            <w:pPr>
              <w:spacing w:after="0" w:line="256" w:lineRule="auto"/>
              <w:jc w:val="center"/>
              <w:rPr>
                <w:rFonts w:cs="Arial"/>
                <w:szCs w:val="22"/>
              </w:rPr>
            </w:pPr>
          </w:p>
        </w:tc>
        <w:tc>
          <w:tcPr>
            <w:tcW w:w="1494" w:type="dxa"/>
          </w:tcPr>
          <w:p w14:paraId="4D146779" w14:textId="53EF111B" w:rsidR="00354EAD" w:rsidRPr="00562A2E" w:rsidRDefault="00C03BB6">
            <w:pPr>
              <w:spacing w:after="0" w:line="256" w:lineRule="auto"/>
              <w:jc w:val="center"/>
              <w:rPr>
                <w:rFonts w:cs="Arial"/>
                <w:szCs w:val="22"/>
              </w:rPr>
            </w:pPr>
            <w:r w:rsidRPr="00C03BB6">
              <w:rPr>
                <w:rFonts w:cs="Arial"/>
                <w:szCs w:val="22"/>
              </w:rPr>
              <w:t>0.0473</w:t>
            </w:r>
          </w:p>
        </w:tc>
      </w:tr>
      <w:tr w:rsidR="00354EAD" w:rsidRPr="00562A2E" w14:paraId="0EAD9EFA" w14:textId="77777777" w:rsidTr="00F937AD">
        <w:trPr>
          <w:trHeight w:val="300"/>
        </w:trPr>
        <w:tc>
          <w:tcPr>
            <w:tcW w:w="1980" w:type="dxa"/>
            <w:noWrap/>
            <w:hideMark/>
          </w:tcPr>
          <w:p w14:paraId="7CDB307C" w14:textId="77777777" w:rsidR="00354EAD" w:rsidRPr="00562A2E" w:rsidRDefault="00354EAD">
            <w:pPr>
              <w:spacing w:after="0" w:line="256" w:lineRule="auto"/>
              <w:jc w:val="left"/>
              <w:rPr>
                <w:rFonts w:cs="Arial"/>
                <w:szCs w:val="22"/>
              </w:rPr>
            </w:pPr>
            <w:r w:rsidRPr="00562A2E">
              <w:rPr>
                <w:rFonts w:cs="Arial"/>
                <w:szCs w:val="22"/>
              </w:rPr>
              <w:t>Jet Kerosene</w:t>
            </w:r>
          </w:p>
        </w:tc>
        <w:tc>
          <w:tcPr>
            <w:tcW w:w="625" w:type="dxa"/>
            <w:noWrap/>
            <w:hideMark/>
          </w:tcPr>
          <w:p w14:paraId="7FE001F3" w14:textId="77777777" w:rsidR="00354EAD" w:rsidRPr="00562A2E" w:rsidRDefault="00354EAD">
            <w:pPr>
              <w:spacing w:after="0" w:line="256" w:lineRule="auto"/>
              <w:jc w:val="center"/>
              <w:rPr>
                <w:rFonts w:cs="Arial"/>
                <w:szCs w:val="22"/>
              </w:rPr>
            </w:pPr>
            <w:r w:rsidRPr="00562A2E">
              <w:rPr>
                <w:rFonts w:cs="Arial"/>
                <w:szCs w:val="22"/>
              </w:rPr>
              <w:t>73 463</w:t>
            </w:r>
          </w:p>
        </w:tc>
        <w:tc>
          <w:tcPr>
            <w:tcW w:w="1261" w:type="dxa"/>
            <w:noWrap/>
            <w:hideMark/>
          </w:tcPr>
          <w:p w14:paraId="4FB7BFB0" w14:textId="77777777" w:rsidR="00354EAD" w:rsidRPr="00562A2E" w:rsidRDefault="00354EAD">
            <w:pPr>
              <w:spacing w:after="0" w:line="256" w:lineRule="auto"/>
              <w:jc w:val="center"/>
              <w:rPr>
                <w:rFonts w:cs="Arial"/>
                <w:szCs w:val="22"/>
              </w:rPr>
            </w:pPr>
          </w:p>
        </w:tc>
        <w:tc>
          <w:tcPr>
            <w:tcW w:w="1272" w:type="dxa"/>
            <w:noWrap/>
            <w:hideMark/>
          </w:tcPr>
          <w:p w14:paraId="574198E1" w14:textId="77777777" w:rsidR="00354EAD" w:rsidRPr="00562A2E" w:rsidRDefault="00354EAD">
            <w:pPr>
              <w:spacing w:after="0" w:line="256" w:lineRule="auto"/>
              <w:jc w:val="center"/>
              <w:rPr>
                <w:rFonts w:cs="Arial"/>
                <w:szCs w:val="22"/>
              </w:rPr>
            </w:pPr>
          </w:p>
        </w:tc>
        <w:tc>
          <w:tcPr>
            <w:tcW w:w="1268" w:type="dxa"/>
            <w:hideMark/>
          </w:tcPr>
          <w:p w14:paraId="0A92D6B1" w14:textId="77777777" w:rsidR="00354EAD" w:rsidRPr="00562A2E" w:rsidRDefault="00354EAD">
            <w:pPr>
              <w:spacing w:after="0" w:line="256" w:lineRule="auto"/>
              <w:jc w:val="center"/>
              <w:rPr>
                <w:rFonts w:cs="Arial"/>
                <w:szCs w:val="22"/>
              </w:rPr>
            </w:pPr>
            <w:r w:rsidRPr="00562A2E">
              <w:rPr>
                <w:rFonts w:cs="Arial"/>
                <w:szCs w:val="22"/>
              </w:rPr>
              <w:t>0.0433</w:t>
            </w:r>
          </w:p>
        </w:tc>
        <w:tc>
          <w:tcPr>
            <w:tcW w:w="1494" w:type="dxa"/>
          </w:tcPr>
          <w:p w14:paraId="3E430DCE" w14:textId="496040A2" w:rsidR="00354EAD" w:rsidRPr="00562A2E" w:rsidRDefault="00354EAD">
            <w:pPr>
              <w:spacing w:after="0" w:line="256" w:lineRule="auto"/>
              <w:jc w:val="center"/>
              <w:rPr>
                <w:rFonts w:cs="Arial"/>
                <w:szCs w:val="22"/>
              </w:rPr>
            </w:pPr>
          </w:p>
        </w:tc>
        <w:tc>
          <w:tcPr>
            <w:tcW w:w="1494" w:type="dxa"/>
          </w:tcPr>
          <w:p w14:paraId="2D7578F2" w14:textId="3E11BBD9" w:rsidR="00354EAD" w:rsidRPr="00562A2E" w:rsidRDefault="00354EAD">
            <w:pPr>
              <w:spacing w:after="0" w:line="256" w:lineRule="auto"/>
              <w:jc w:val="center"/>
              <w:rPr>
                <w:rFonts w:cs="Arial"/>
                <w:szCs w:val="22"/>
              </w:rPr>
            </w:pPr>
          </w:p>
        </w:tc>
      </w:tr>
      <w:tr w:rsidR="00354EAD" w:rsidRPr="00562A2E" w14:paraId="5B6D0843" w14:textId="77777777" w:rsidTr="00F937AD">
        <w:trPr>
          <w:trHeight w:val="300"/>
        </w:trPr>
        <w:tc>
          <w:tcPr>
            <w:tcW w:w="1980" w:type="dxa"/>
            <w:noWrap/>
            <w:hideMark/>
          </w:tcPr>
          <w:p w14:paraId="35B8A61A" w14:textId="77777777" w:rsidR="00354EAD" w:rsidRPr="00562A2E" w:rsidRDefault="00354EAD">
            <w:pPr>
              <w:spacing w:after="0" w:line="256" w:lineRule="auto"/>
              <w:jc w:val="left"/>
              <w:rPr>
                <w:rFonts w:cs="Arial"/>
                <w:szCs w:val="22"/>
              </w:rPr>
            </w:pPr>
            <w:r w:rsidRPr="00562A2E">
              <w:rPr>
                <w:rFonts w:cs="Arial"/>
                <w:szCs w:val="22"/>
              </w:rPr>
              <w:t>Liquefied Petroleum Gas (LPG)</w:t>
            </w:r>
          </w:p>
        </w:tc>
        <w:tc>
          <w:tcPr>
            <w:tcW w:w="625" w:type="dxa"/>
            <w:noWrap/>
            <w:hideMark/>
          </w:tcPr>
          <w:p w14:paraId="07C8FFA7" w14:textId="77777777" w:rsidR="00354EAD" w:rsidRPr="00562A2E" w:rsidRDefault="00354EAD">
            <w:pPr>
              <w:spacing w:after="0" w:line="256" w:lineRule="auto"/>
              <w:jc w:val="center"/>
              <w:rPr>
                <w:rFonts w:cs="Arial"/>
                <w:szCs w:val="22"/>
              </w:rPr>
            </w:pPr>
            <w:r w:rsidRPr="00562A2E">
              <w:rPr>
                <w:rFonts w:cs="Arial"/>
                <w:szCs w:val="22"/>
              </w:rPr>
              <w:t>64 852</w:t>
            </w:r>
          </w:p>
        </w:tc>
        <w:tc>
          <w:tcPr>
            <w:tcW w:w="1261" w:type="dxa"/>
            <w:noWrap/>
            <w:hideMark/>
          </w:tcPr>
          <w:p w14:paraId="450452BB" w14:textId="77777777" w:rsidR="00354EAD" w:rsidRPr="00562A2E" w:rsidRDefault="00354EAD">
            <w:pPr>
              <w:spacing w:after="0" w:line="256" w:lineRule="auto"/>
              <w:jc w:val="center"/>
              <w:rPr>
                <w:rFonts w:cs="Arial"/>
                <w:szCs w:val="22"/>
              </w:rPr>
            </w:pPr>
          </w:p>
        </w:tc>
        <w:tc>
          <w:tcPr>
            <w:tcW w:w="1272" w:type="dxa"/>
            <w:noWrap/>
            <w:hideMark/>
          </w:tcPr>
          <w:p w14:paraId="51E69817" w14:textId="77777777" w:rsidR="00354EAD" w:rsidRPr="00562A2E" w:rsidRDefault="00354EAD">
            <w:pPr>
              <w:spacing w:after="0" w:line="256" w:lineRule="auto"/>
              <w:jc w:val="center"/>
              <w:rPr>
                <w:rFonts w:cs="Arial"/>
                <w:szCs w:val="22"/>
              </w:rPr>
            </w:pPr>
          </w:p>
        </w:tc>
        <w:tc>
          <w:tcPr>
            <w:tcW w:w="1268" w:type="dxa"/>
            <w:hideMark/>
          </w:tcPr>
          <w:p w14:paraId="16658120" w14:textId="77777777" w:rsidR="00354EAD" w:rsidRPr="00562A2E" w:rsidRDefault="00354EAD">
            <w:pPr>
              <w:spacing w:after="0" w:line="256" w:lineRule="auto"/>
              <w:jc w:val="center"/>
              <w:rPr>
                <w:rFonts w:cs="Arial"/>
                <w:szCs w:val="22"/>
              </w:rPr>
            </w:pPr>
            <w:r w:rsidRPr="00562A2E">
              <w:rPr>
                <w:rFonts w:cs="Arial"/>
                <w:szCs w:val="22"/>
              </w:rPr>
              <w:t>0.0463</w:t>
            </w:r>
          </w:p>
        </w:tc>
        <w:tc>
          <w:tcPr>
            <w:tcW w:w="1494" w:type="dxa"/>
          </w:tcPr>
          <w:p w14:paraId="4F176923" w14:textId="67418BF1" w:rsidR="00354EAD" w:rsidRPr="00562A2E" w:rsidRDefault="00354EAD">
            <w:pPr>
              <w:spacing w:after="0" w:line="256" w:lineRule="auto"/>
              <w:jc w:val="center"/>
              <w:rPr>
                <w:rFonts w:cs="Arial"/>
                <w:szCs w:val="22"/>
              </w:rPr>
            </w:pPr>
          </w:p>
        </w:tc>
        <w:tc>
          <w:tcPr>
            <w:tcW w:w="1494" w:type="dxa"/>
          </w:tcPr>
          <w:p w14:paraId="50294C9D" w14:textId="0C9C67AA" w:rsidR="00354EAD" w:rsidRPr="00562A2E" w:rsidRDefault="00354EAD">
            <w:pPr>
              <w:spacing w:after="0" w:line="256" w:lineRule="auto"/>
              <w:jc w:val="center"/>
              <w:rPr>
                <w:rFonts w:cs="Arial"/>
                <w:szCs w:val="22"/>
              </w:rPr>
            </w:pPr>
          </w:p>
        </w:tc>
      </w:tr>
      <w:tr w:rsidR="00354EAD" w:rsidRPr="00562A2E" w14:paraId="5D6DD1A5" w14:textId="77777777" w:rsidTr="00F937AD">
        <w:trPr>
          <w:trHeight w:val="300"/>
        </w:trPr>
        <w:tc>
          <w:tcPr>
            <w:tcW w:w="1980" w:type="dxa"/>
            <w:noWrap/>
            <w:hideMark/>
          </w:tcPr>
          <w:p w14:paraId="00E2DB65" w14:textId="77777777" w:rsidR="00354EAD" w:rsidRPr="00562A2E" w:rsidRDefault="00354EAD">
            <w:pPr>
              <w:spacing w:after="0" w:line="256" w:lineRule="auto"/>
              <w:jc w:val="left"/>
              <w:rPr>
                <w:rFonts w:cs="Arial"/>
                <w:szCs w:val="22"/>
              </w:rPr>
            </w:pPr>
            <w:r w:rsidRPr="00562A2E">
              <w:rPr>
                <w:rFonts w:cs="Arial"/>
                <w:szCs w:val="22"/>
              </w:rPr>
              <w:t>Paraffin</w:t>
            </w:r>
          </w:p>
        </w:tc>
        <w:tc>
          <w:tcPr>
            <w:tcW w:w="625" w:type="dxa"/>
            <w:noWrap/>
            <w:hideMark/>
          </w:tcPr>
          <w:p w14:paraId="1A075822" w14:textId="77777777" w:rsidR="00354EAD" w:rsidRPr="00562A2E" w:rsidRDefault="00354EAD">
            <w:pPr>
              <w:spacing w:after="0" w:line="256" w:lineRule="auto"/>
              <w:jc w:val="center"/>
              <w:rPr>
                <w:rFonts w:cs="Arial"/>
                <w:szCs w:val="22"/>
              </w:rPr>
            </w:pPr>
            <w:r w:rsidRPr="00562A2E">
              <w:rPr>
                <w:rFonts w:cs="Arial"/>
                <w:szCs w:val="22"/>
              </w:rPr>
              <w:t>64 640</w:t>
            </w:r>
          </w:p>
        </w:tc>
        <w:tc>
          <w:tcPr>
            <w:tcW w:w="1261" w:type="dxa"/>
            <w:noWrap/>
            <w:hideMark/>
          </w:tcPr>
          <w:p w14:paraId="26CCCACC" w14:textId="77777777" w:rsidR="00354EAD" w:rsidRPr="00562A2E" w:rsidRDefault="00354EAD">
            <w:pPr>
              <w:spacing w:after="0" w:line="256" w:lineRule="auto"/>
              <w:jc w:val="center"/>
              <w:rPr>
                <w:rFonts w:cs="Arial"/>
                <w:szCs w:val="22"/>
              </w:rPr>
            </w:pPr>
          </w:p>
        </w:tc>
        <w:tc>
          <w:tcPr>
            <w:tcW w:w="1272" w:type="dxa"/>
            <w:noWrap/>
            <w:hideMark/>
          </w:tcPr>
          <w:p w14:paraId="198CCD2A" w14:textId="77777777" w:rsidR="00354EAD" w:rsidRPr="00562A2E" w:rsidRDefault="00354EAD">
            <w:pPr>
              <w:spacing w:after="0" w:line="256" w:lineRule="auto"/>
              <w:jc w:val="center"/>
              <w:rPr>
                <w:rFonts w:cs="Arial"/>
                <w:szCs w:val="22"/>
              </w:rPr>
            </w:pPr>
          </w:p>
        </w:tc>
        <w:tc>
          <w:tcPr>
            <w:tcW w:w="1268" w:type="dxa"/>
            <w:hideMark/>
          </w:tcPr>
          <w:p w14:paraId="49A7864F" w14:textId="77777777" w:rsidR="00354EAD" w:rsidRPr="00562A2E" w:rsidRDefault="00354EAD">
            <w:pPr>
              <w:spacing w:after="0" w:line="256" w:lineRule="auto"/>
              <w:jc w:val="center"/>
              <w:rPr>
                <w:rFonts w:cs="Arial"/>
                <w:szCs w:val="22"/>
              </w:rPr>
            </w:pPr>
            <w:r w:rsidRPr="00562A2E">
              <w:rPr>
                <w:rFonts w:cs="Arial"/>
                <w:szCs w:val="22"/>
              </w:rPr>
              <w:t>0.0490</w:t>
            </w:r>
          </w:p>
        </w:tc>
        <w:tc>
          <w:tcPr>
            <w:tcW w:w="1494" w:type="dxa"/>
          </w:tcPr>
          <w:p w14:paraId="3AD84FD1" w14:textId="716189E9" w:rsidR="00354EAD" w:rsidRPr="00562A2E" w:rsidRDefault="00354EAD">
            <w:pPr>
              <w:spacing w:after="0" w:line="256" w:lineRule="auto"/>
              <w:jc w:val="center"/>
              <w:rPr>
                <w:rFonts w:cs="Arial"/>
                <w:szCs w:val="22"/>
              </w:rPr>
            </w:pPr>
          </w:p>
        </w:tc>
        <w:tc>
          <w:tcPr>
            <w:tcW w:w="1494" w:type="dxa"/>
          </w:tcPr>
          <w:p w14:paraId="177ACF42" w14:textId="75DDC5A7" w:rsidR="00354EAD" w:rsidRPr="00562A2E" w:rsidRDefault="00C03BB6">
            <w:pPr>
              <w:spacing w:after="0" w:line="256" w:lineRule="auto"/>
              <w:jc w:val="center"/>
              <w:rPr>
                <w:rFonts w:cs="Arial"/>
                <w:szCs w:val="22"/>
              </w:rPr>
            </w:pPr>
            <w:r w:rsidRPr="00C03BB6">
              <w:rPr>
                <w:rFonts w:cs="Arial"/>
                <w:szCs w:val="22"/>
              </w:rPr>
              <w:t>0.0490</w:t>
            </w:r>
          </w:p>
        </w:tc>
      </w:tr>
      <w:tr w:rsidR="00354EAD" w:rsidRPr="00562A2E" w14:paraId="55A5DE10" w14:textId="77777777" w:rsidTr="4DA829A6">
        <w:trPr>
          <w:trHeight w:val="300"/>
        </w:trPr>
        <w:tc>
          <w:tcPr>
            <w:tcW w:w="1980" w:type="dxa"/>
            <w:noWrap/>
            <w:hideMark/>
          </w:tcPr>
          <w:p w14:paraId="59108965" w14:textId="77777777" w:rsidR="00354EAD" w:rsidRPr="00562A2E" w:rsidRDefault="00354EAD">
            <w:pPr>
              <w:spacing w:after="0" w:line="256" w:lineRule="auto"/>
              <w:jc w:val="left"/>
              <w:rPr>
                <w:rFonts w:cs="Arial"/>
                <w:szCs w:val="22"/>
              </w:rPr>
            </w:pPr>
            <w:r w:rsidRPr="00562A2E">
              <w:rPr>
                <w:rFonts w:cs="Arial"/>
                <w:szCs w:val="22"/>
              </w:rPr>
              <w:t>Petrol</w:t>
            </w:r>
          </w:p>
        </w:tc>
        <w:tc>
          <w:tcPr>
            <w:tcW w:w="625" w:type="dxa"/>
            <w:noWrap/>
            <w:hideMark/>
          </w:tcPr>
          <w:p w14:paraId="6A73DB74" w14:textId="77777777" w:rsidR="00354EAD" w:rsidRPr="00562A2E" w:rsidRDefault="00354EAD">
            <w:pPr>
              <w:spacing w:after="0" w:line="256" w:lineRule="auto"/>
              <w:jc w:val="center"/>
              <w:rPr>
                <w:rFonts w:cs="Arial"/>
                <w:szCs w:val="22"/>
              </w:rPr>
            </w:pPr>
            <w:r w:rsidRPr="00562A2E">
              <w:rPr>
                <w:rFonts w:cs="Arial"/>
                <w:szCs w:val="22"/>
              </w:rPr>
              <w:t>72 430</w:t>
            </w:r>
          </w:p>
        </w:tc>
        <w:tc>
          <w:tcPr>
            <w:tcW w:w="1261" w:type="dxa"/>
            <w:noWrap/>
            <w:hideMark/>
          </w:tcPr>
          <w:p w14:paraId="79B6E354" w14:textId="77777777" w:rsidR="00354EAD" w:rsidRPr="00562A2E" w:rsidRDefault="00354EAD">
            <w:pPr>
              <w:spacing w:after="0" w:line="256" w:lineRule="auto"/>
              <w:jc w:val="center"/>
              <w:rPr>
                <w:rFonts w:cs="Arial"/>
                <w:szCs w:val="22"/>
              </w:rPr>
            </w:pPr>
          </w:p>
        </w:tc>
        <w:tc>
          <w:tcPr>
            <w:tcW w:w="1272" w:type="dxa"/>
            <w:noWrap/>
            <w:hideMark/>
          </w:tcPr>
          <w:p w14:paraId="783C06D2" w14:textId="77777777" w:rsidR="00354EAD" w:rsidRPr="00562A2E" w:rsidRDefault="00354EAD">
            <w:pPr>
              <w:spacing w:after="0" w:line="256" w:lineRule="auto"/>
              <w:jc w:val="center"/>
              <w:rPr>
                <w:rFonts w:cs="Arial"/>
                <w:szCs w:val="22"/>
              </w:rPr>
            </w:pPr>
          </w:p>
        </w:tc>
        <w:tc>
          <w:tcPr>
            <w:tcW w:w="1268" w:type="dxa"/>
            <w:hideMark/>
          </w:tcPr>
          <w:p w14:paraId="31DEA97D" w14:textId="77777777" w:rsidR="00354EAD" w:rsidRPr="00562A2E" w:rsidRDefault="00354EAD">
            <w:pPr>
              <w:spacing w:after="0" w:line="256" w:lineRule="auto"/>
              <w:jc w:val="center"/>
              <w:rPr>
                <w:rFonts w:cs="Arial"/>
                <w:szCs w:val="22"/>
              </w:rPr>
            </w:pPr>
            <w:r w:rsidRPr="00562A2E">
              <w:rPr>
                <w:rFonts w:cs="Arial"/>
                <w:szCs w:val="22"/>
              </w:rPr>
              <w:t>0.0439</w:t>
            </w:r>
          </w:p>
        </w:tc>
        <w:tc>
          <w:tcPr>
            <w:tcW w:w="1494" w:type="dxa"/>
            <w:hideMark/>
          </w:tcPr>
          <w:p w14:paraId="4618FC59" w14:textId="77777777" w:rsidR="00354EAD" w:rsidRPr="00562A2E" w:rsidRDefault="00354EAD">
            <w:pPr>
              <w:spacing w:after="0" w:line="256" w:lineRule="auto"/>
              <w:jc w:val="center"/>
              <w:rPr>
                <w:rFonts w:cs="Arial"/>
                <w:szCs w:val="22"/>
              </w:rPr>
            </w:pPr>
          </w:p>
        </w:tc>
        <w:tc>
          <w:tcPr>
            <w:tcW w:w="1494" w:type="dxa"/>
            <w:hideMark/>
          </w:tcPr>
          <w:p w14:paraId="4795B74D" w14:textId="77777777" w:rsidR="00354EAD" w:rsidRPr="00562A2E" w:rsidRDefault="00354EAD">
            <w:pPr>
              <w:spacing w:after="0" w:line="256" w:lineRule="auto"/>
              <w:jc w:val="center"/>
              <w:rPr>
                <w:rFonts w:cs="Arial"/>
                <w:szCs w:val="22"/>
              </w:rPr>
            </w:pPr>
          </w:p>
        </w:tc>
      </w:tr>
      <w:tr w:rsidR="00354EAD" w:rsidRPr="00562A2E" w14:paraId="720A6B42" w14:textId="77777777" w:rsidTr="4DA829A6">
        <w:trPr>
          <w:trHeight w:val="300"/>
        </w:trPr>
        <w:tc>
          <w:tcPr>
            <w:tcW w:w="1980" w:type="dxa"/>
            <w:noWrap/>
          </w:tcPr>
          <w:p w14:paraId="5744E487" w14:textId="77777777" w:rsidR="00354EAD" w:rsidRPr="00562A2E" w:rsidRDefault="00354EAD">
            <w:pPr>
              <w:spacing w:after="0" w:line="256" w:lineRule="auto"/>
              <w:jc w:val="left"/>
              <w:rPr>
                <w:rFonts w:cs="Arial"/>
                <w:szCs w:val="22"/>
              </w:rPr>
            </w:pPr>
            <w:r w:rsidRPr="00562A2E">
              <w:rPr>
                <w:rFonts w:cs="Arial"/>
                <w:szCs w:val="22"/>
              </w:rPr>
              <w:t>Diesel-Rail</w:t>
            </w:r>
          </w:p>
        </w:tc>
        <w:tc>
          <w:tcPr>
            <w:tcW w:w="625" w:type="dxa"/>
            <w:noWrap/>
          </w:tcPr>
          <w:p w14:paraId="08FFEB49" w14:textId="77777777" w:rsidR="00354EAD" w:rsidRPr="00562A2E" w:rsidRDefault="00354EAD">
            <w:pPr>
              <w:spacing w:after="0" w:line="256" w:lineRule="auto"/>
              <w:jc w:val="center"/>
              <w:rPr>
                <w:rFonts w:cs="Arial"/>
                <w:szCs w:val="22"/>
              </w:rPr>
            </w:pPr>
          </w:p>
        </w:tc>
        <w:tc>
          <w:tcPr>
            <w:tcW w:w="1261" w:type="dxa"/>
            <w:noWrap/>
          </w:tcPr>
          <w:p w14:paraId="5CF1F3A2" w14:textId="77777777" w:rsidR="00354EAD" w:rsidRPr="00562A2E" w:rsidRDefault="00354EAD">
            <w:pPr>
              <w:spacing w:after="0" w:line="256" w:lineRule="auto"/>
              <w:jc w:val="center"/>
              <w:rPr>
                <w:rFonts w:cs="Arial"/>
                <w:szCs w:val="22"/>
              </w:rPr>
            </w:pPr>
            <w:r w:rsidRPr="00562A2E">
              <w:rPr>
                <w:rFonts w:cs="Arial"/>
                <w:szCs w:val="22"/>
              </w:rPr>
              <w:t>4.15</w:t>
            </w:r>
          </w:p>
        </w:tc>
        <w:tc>
          <w:tcPr>
            <w:tcW w:w="1272" w:type="dxa"/>
            <w:noWrap/>
          </w:tcPr>
          <w:p w14:paraId="491C7CD2" w14:textId="77777777" w:rsidR="00354EAD" w:rsidRPr="00562A2E" w:rsidRDefault="00354EAD">
            <w:pPr>
              <w:spacing w:after="0" w:line="256" w:lineRule="auto"/>
              <w:jc w:val="center"/>
              <w:rPr>
                <w:rFonts w:cs="Arial"/>
                <w:szCs w:val="22"/>
              </w:rPr>
            </w:pPr>
          </w:p>
        </w:tc>
        <w:tc>
          <w:tcPr>
            <w:tcW w:w="1268" w:type="dxa"/>
          </w:tcPr>
          <w:p w14:paraId="64ED5E80" w14:textId="77777777" w:rsidR="00354EAD" w:rsidRPr="00562A2E" w:rsidRDefault="00354EAD">
            <w:pPr>
              <w:spacing w:after="0" w:line="256" w:lineRule="auto"/>
              <w:jc w:val="center"/>
              <w:rPr>
                <w:rFonts w:cs="Arial"/>
                <w:szCs w:val="22"/>
              </w:rPr>
            </w:pPr>
          </w:p>
        </w:tc>
        <w:tc>
          <w:tcPr>
            <w:tcW w:w="1494" w:type="dxa"/>
          </w:tcPr>
          <w:p w14:paraId="014F4905" w14:textId="77777777" w:rsidR="00354EAD" w:rsidRPr="00562A2E" w:rsidRDefault="00354EAD">
            <w:pPr>
              <w:spacing w:after="0" w:line="256" w:lineRule="auto"/>
              <w:jc w:val="center"/>
              <w:rPr>
                <w:rFonts w:cs="Arial"/>
                <w:szCs w:val="22"/>
              </w:rPr>
            </w:pPr>
          </w:p>
        </w:tc>
        <w:tc>
          <w:tcPr>
            <w:tcW w:w="1494" w:type="dxa"/>
          </w:tcPr>
          <w:p w14:paraId="59B0E33C" w14:textId="77777777" w:rsidR="00354EAD" w:rsidRPr="00562A2E" w:rsidRDefault="00354EAD">
            <w:pPr>
              <w:spacing w:after="0" w:line="256" w:lineRule="auto"/>
              <w:jc w:val="center"/>
              <w:rPr>
                <w:rFonts w:cs="Arial"/>
                <w:szCs w:val="22"/>
              </w:rPr>
            </w:pPr>
          </w:p>
        </w:tc>
      </w:tr>
      <w:tr w:rsidR="00354EAD" w:rsidRPr="00562A2E" w14:paraId="1E9CC119" w14:textId="77777777" w:rsidTr="4DA829A6">
        <w:trPr>
          <w:trHeight w:val="300"/>
        </w:trPr>
        <w:tc>
          <w:tcPr>
            <w:tcW w:w="1980" w:type="dxa"/>
            <w:noWrap/>
          </w:tcPr>
          <w:p w14:paraId="14C1AEF4" w14:textId="77777777" w:rsidR="00354EAD" w:rsidRPr="00562A2E" w:rsidRDefault="00354EAD" w:rsidP="4DA829A6">
            <w:pPr>
              <w:spacing w:after="0" w:line="256" w:lineRule="auto"/>
              <w:jc w:val="left"/>
              <w:rPr>
                <w:rFonts w:cs="Arial"/>
              </w:rPr>
            </w:pPr>
            <w:r w:rsidRPr="4DA829A6">
              <w:rPr>
                <w:rFonts w:cs="Arial"/>
                <w:b/>
                <w:bCs/>
              </w:rPr>
              <w:t>Additional fuel types</w:t>
            </w:r>
          </w:p>
        </w:tc>
        <w:tc>
          <w:tcPr>
            <w:tcW w:w="625" w:type="dxa"/>
            <w:noWrap/>
          </w:tcPr>
          <w:p w14:paraId="65617060" w14:textId="77777777" w:rsidR="00354EAD" w:rsidRPr="00562A2E" w:rsidRDefault="00354EAD">
            <w:pPr>
              <w:spacing w:after="0" w:line="256" w:lineRule="auto"/>
              <w:jc w:val="center"/>
              <w:rPr>
                <w:rFonts w:cs="Arial"/>
                <w:szCs w:val="22"/>
              </w:rPr>
            </w:pPr>
          </w:p>
        </w:tc>
        <w:tc>
          <w:tcPr>
            <w:tcW w:w="1261" w:type="dxa"/>
            <w:noWrap/>
          </w:tcPr>
          <w:p w14:paraId="6620F361" w14:textId="77777777" w:rsidR="00354EAD" w:rsidRPr="00562A2E" w:rsidRDefault="00354EAD">
            <w:pPr>
              <w:spacing w:after="0" w:line="256" w:lineRule="auto"/>
              <w:jc w:val="center"/>
              <w:rPr>
                <w:rFonts w:cs="Arial"/>
                <w:szCs w:val="22"/>
              </w:rPr>
            </w:pPr>
          </w:p>
        </w:tc>
        <w:tc>
          <w:tcPr>
            <w:tcW w:w="1272" w:type="dxa"/>
            <w:noWrap/>
          </w:tcPr>
          <w:p w14:paraId="1925CEA5" w14:textId="77777777" w:rsidR="00354EAD" w:rsidRPr="00562A2E" w:rsidRDefault="00354EAD">
            <w:pPr>
              <w:spacing w:after="0" w:line="256" w:lineRule="auto"/>
              <w:jc w:val="center"/>
              <w:rPr>
                <w:rFonts w:cs="Arial"/>
                <w:szCs w:val="22"/>
              </w:rPr>
            </w:pPr>
          </w:p>
        </w:tc>
        <w:tc>
          <w:tcPr>
            <w:tcW w:w="1268" w:type="dxa"/>
          </w:tcPr>
          <w:p w14:paraId="5A7553D3" w14:textId="77777777" w:rsidR="00354EAD" w:rsidRPr="00562A2E" w:rsidRDefault="00354EAD">
            <w:pPr>
              <w:spacing w:after="0" w:line="256" w:lineRule="auto"/>
              <w:jc w:val="center"/>
              <w:rPr>
                <w:rFonts w:cs="Arial"/>
                <w:szCs w:val="22"/>
              </w:rPr>
            </w:pPr>
          </w:p>
        </w:tc>
        <w:tc>
          <w:tcPr>
            <w:tcW w:w="1494" w:type="dxa"/>
          </w:tcPr>
          <w:p w14:paraId="621DB538" w14:textId="77777777" w:rsidR="00354EAD" w:rsidRPr="00562A2E" w:rsidRDefault="00354EAD">
            <w:pPr>
              <w:spacing w:after="0" w:line="256" w:lineRule="auto"/>
              <w:jc w:val="center"/>
              <w:rPr>
                <w:rFonts w:cs="Arial"/>
                <w:szCs w:val="22"/>
              </w:rPr>
            </w:pPr>
          </w:p>
        </w:tc>
        <w:tc>
          <w:tcPr>
            <w:tcW w:w="1494" w:type="dxa"/>
          </w:tcPr>
          <w:p w14:paraId="28BE10F1" w14:textId="77777777" w:rsidR="00354EAD" w:rsidRPr="00562A2E" w:rsidRDefault="00354EAD">
            <w:pPr>
              <w:spacing w:after="0" w:line="256" w:lineRule="auto"/>
              <w:jc w:val="center"/>
              <w:rPr>
                <w:rFonts w:cs="Arial"/>
                <w:szCs w:val="22"/>
              </w:rPr>
            </w:pPr>
          </w:p>
        </w:tc>
      </w:tr>
      <w:tr w:rsidR="00354EAD" w:rsidRPr="00562A2E" w14:paraId="2E952605" w14:textId="77777777" w:rsidTr="4DA829A6">
        <w:trPr>
          <w:trHeight w:val="300"/>
        </w:trPr>
        <w:tc>
          <w:tcPr>
            <w:tcW w:w="1980" w:type="dxa"/>
            <w:noWrap/>
          </w:tcPr>
          <w:p w14:paraId="7EA8A3DC" w14:textId="77777777" w:rsidR="00354EAD" w:rsidRPr="00562A2E" w:rsidRDefault="00354EAD">
            <w:pPr>
              <w:spacing w:after="0" w:line="256" w:lineRule="auto"/>
              <w:jc w:val="left"/>
              <w:rPr>
                <w:rFonts w:cs="Arial"/>
                <w:szCs w:val="22"/>
              </w:rPr>
            </w:pPr>
            <w:r w:rsidRPr="00562A2E">
              <w:rPr>
                <w:rFonts w:cs="Arial"/>
                <w:szCs w:val="22"/>
              </w:rPr>
              <w:t xml:space="preserve">Biodiesel </w:t>
            </w:r>
          </w:p>
        </w:tc>
        <w:tc>
          <w:tcPr>
            <w:tcW w:w="625" w:type="dxa"/>
            <w:noWrap/>
          </w:tcPr>
          <w:p w14:paraId="26A32F93" w14:textId="77777777" w:rsidR="00354EAD" w:rsidRPr="00562A2E" w:rsidRDefault="00354EAD">
            <w:pPr>
              <w:spacing w:after="0" w:line="256" w:lineRule="auto"/>
              <w:jc w:val="center"/>
              <w:rPr>
                <w:rFonts w:cs="Arial"/>
                <w:szCs w:val="22"/>
              </w:rPr>
            </w:pPr>
            <w:r w:rsidRPr="00562A2E">
              <w:rPr>
                <w:rFonts w:cs="Arial"/>
                <w:szCs w:val="22"/>
              </w:rPr>
              <w:t>0</w:t>
            </w:r>
          </w:p>
        </w:tc>
        <w:tc>
          <w:tcPr>
            <w:tcW w:w="1261" w:type="dxa"/>
            <w:noWrap/>
          </w:tcPr>
          <w:p w14:paraId="5D64EF98" w14:textId="77777777" w:rsidR="00354EAD" w:rsidRPr="00562A2E" w:rsidRDefault="00354EAD">
            <w:pPr>
              <w:spacing w:after="0" w:line="256" w:lineRule="auto"/>
              <w:jc w:val="center"/>
              <w:rPr>
                <w:rFonts w:cs="Arial"/>
                <w:szCs w:val="22"/>
              </w:rPr>
            </w:pPr>
            <w:r w:rsidRPr="00562A2E">
              <w:rPr>
                <w:rFonts w:cs="Arial"/>
                <w:szCs w:val="22"/>
              </w:rPr>
              <w:t>4.15</w:t>
            </w:r>
          </w:p>
        </w:tc>
        <w:tc>
          <w:tcPr>
            <w:tcW w:w="1272" w:type="dxa"/>
            <w:noWrap/>
          </w:tcPr>
          <w:p w14:paraId="04488838" w14:textId="77777777" w:rsidR="00354EAD" w:rsidRPr="00562A2E" w:rsidRDefault="00354EAD">
            <w:pPr>
              <w:spacing w:after="0" w:line="256" w:lineRule="auto"/>
              <w:jc w:val="center"/>
              <w:rPr>
                <w:rFonts w:cs="Arial"/>
                <w:szCs w:val="22"/>
              </w:rPr>
            </w:pPr>
            <w:r w:rsidRPr="00562A2E">
              <w:rPr>
                <w:rFonts w:cs="Arial"/>
                <w:szCs w:val="22"/>
              </w:rPr>
              <w:t>28.6</w:t>
            </w:r>
          </w:p>
        </w:tc>
        <w:tc>
          <w:tcPr>
            <w:tcW w:w="1268" w:type="dxa"/>
          </w:tcPr>
          <w:p w14:paraId="6D9E7254" w14:textId="77777777" w:rsidR="00354EAD" w:rsidRPr="00562A2E" w:rsidRDefault="00354EAD">
            <w:pPr>
              <w:spacing w:after="0" w:line="256" w:lineRule="auto"/>
              <w:jc w:val="center"/>
              <w:rPr>
                <w:rFonts w:cs="Arial"/>
                <w:szCs w:val="22"/>
              </w:rPr>
            </w:pPr>
            <w:r w:rsidRPr="00562A2E">
              <w:rPr>
                <w:rFonts w:cs="Arial"/>
                <w:szCs w:val="22"/>
              </w:rPr>
              <w:t>0.027</w:t>
            </w:r>
          </w:p>
        </w:tc>
        <w:tc>
          <w:tcPr>
            <w:tcW w:w="1494" w:type="dxa"/>
          </w:tcPr>
          <w:p w14:paraId="7295043D"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tcPr>
          <w:p w14:paraId="59D07E96"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567D648B" w14:textId="77777777" w:rsidTr="4DA829A6">
        <w:trPr>
          <w:trHeight w:val="300"/>
        </w:trPr>
        <w:tc>
          <w:tcPr>
            <w:tcW w:w="1980" w:type="dxa"/>
            <w:noWrap/>
          </w:tcPr>
          <w:p w14:paraId="2AE06C61" w14:textId="77777777" w:rsidR="00354EAD" w:rsidRPr="00562A2E" w:rsidRDefault="00354EAD" w:rsidP="4DA829A6">
            <w:pPr>
              <w:spacing w:after="0" w:line="256" w:lineRule="auto"/>
              <w:jc w:val="left"/>
              <w:rPr>
                <w:rFonts w:cs="Arial"/>
              </w:rPr>
            </w:pPr>
            <w:proofErr w:type="spellStart"/>
            <w:r w:rsidRPr="4DA829A6">
              <w:rPr>
                <w:rFonts w:cs="Arial"/>
              </w:rPr>
              <w:t>Biogasoline</w:t>
            </w:r>
            <w:proofErr w:type="spellEnd"/>
            <w:r w:rsidRPr="4DA829A6">
              <w:rPr>
                <w:rFonts w:cs="Arial"/>
              </w:rPr>
              <w:t xml:space="preserve"> </w:t>
            </w:r>
          </w:p>
        </w:tc>
        <w:tc>
          <w:tcPr>
            <w:tcW w:w="625" w:type="dxa"/>
            <w:noWrap/>
          </w:tcPr>
          <w:p w14:paraId="7EAA818D" w14:textId="77777777" w:rsidR="00354EAD" w:rsidRPr="00562A2E" w:rsidRDefault="00354EAD">
            <w:pPr>
              <w:spacing w:after="0" w:line="256" w:lineRule="auto"/>
              <w:jc w:val="center"/>
              <w:rPr>
                <w:rFonts w:cs="Arial"/>
                <w:szCs w:val="22"/>
              </w:rPr>
            </w:pPr>
            <w:r w:rsidRPr="00562A2E">
              <w:rPr>
                <w:rFonts w:cs="Arial"/>
                <w:szCs w:val="22"/>
              </w:rPr>
              <w:t>0</w:t>
            </w:r>
          </w:p>
        </w:tc>
        <w:tc>
          <w:tcPr>
            <w:tcW w:w="1261" w:type="dxa"/>
            <w:noWrap/>
          </w:tcPr>
          <w:p w14:paraId="6E3906E4" w14:textId="77777777" w:rsidR="00354EAD" w:rsidRPr="00562A2E" w:rsidRDefault="00354EAD">
            <w:pPr>
              <w:spacing w:after="0" w:line="256" w:lineRule="auto"/>
              <w:jc w:val="center"/>
              <w:rPr>
                <w:rFonts w:cs="Arial"/>
                <w:szCs w:val="22"/>
              </w:rPr>
            </w:pPr>
            <w:r w:rsidRPr="00562A2E">
              <w:rPr>
                <w:rFonts w:cs="Arial"/>
                <w:szCs w:val="22"/>
              </w:rPr>
              <w:t>3.5</w:t>
            </w:r>
          </w:p>
        </w:tc>
        <w:tc>
          <w:tcPr>
            <w:tcW w:w="1272" w:type="dxa"/>
            <w:noWrap/>
          </w:tcPr>
          <w:p w14:paraId="1CCA3EA8" w14:textId="77777777" w:rsidR="00354EAD" w:rsidRPr="00562A2E" w:rsidRDefault="00354EAD">
            <w:pPr>
              <w:spacing w:after="0" w:line="256" w:lineRule="auto"/>
              <w:jc w:val="center"/>
              <w:rPr>
                <w:rFonts w:cs="Arial"/>
                <w:szCs w:val="22"/>
              </w:rPr>
            </w:pPr>
            <w:r w:rsidRPr="00562A2E">
              <w:rPr>
                <w:rFonts w:cs="Arial"/>
                <w:szCs w:val="22"/>
              </w:rPr>
              <w:t>5.7</w:t>
            </w:r>
          </w:p>
        </w:tc>
        <w:tc>
          <w:tcPr>
            <w:tcW w:w="1268" w:type="dxa"/>
          </w:tcPr>
          <w:p w14:paraId="15D2872E" w14:textId="77777777" w:rsidR="00354EAD" w:rsidRPr="00562A2E" w:rsidRDefault="00354EAD">
            <w:pPr>
              <w:spacing w:after="0" w:line="256" w:lineRule="auto"/>
              <w:jc w:val="center"/>
              <w:rPr>
                <w:rFonts w:cs="Arial"/>
                <w:szCs w:val="22"/>
              </w:rPr>
            </w:pPr>
            <w:r w:rsidRPr="00562A2E">
              <w:rPr>
                <w:rFonts w:cs="Arial"/>
                <w:szCs w:val="22"/>
              </w:rPr>
              <w:t>0.027</w:t>
            </w:r>
          </w:p>
        </w:tc>
        <w:tc>
          <w:tcPr>
            <w:tcW w:w="1494" w:type="dxa"/>
          </w:tcPr>
          <w:p w14:paraId="4898A283"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tcPr>
          <w:p w14:paraId="229F5B47"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481D125C" w14:textId="77777777" w:rsidTr="4DA829A6">
        <w:trPr>
          <w:trHeight w:val="300"/>
        </w:trPr>
        <w:tc>
          <w:tcPr>
            <w:tcW w:w="1980" w:type="dxa"/>
            <w:noWrap/>
          </w:tcPr>
          <w:p w14:paraId="238719B7" w14:textId="77777777" w:rsidR="00354EAD" w:rsidRPr="00562A2E" w:rsidRDefault="00354EAD">
            <w:pPr>
              <w:spacing w:after="0" w:line="256" w:lineRule="auto"/>
              <w:jc w:val="left"/>
              <w:rPr>
                <w:rFonts w:cs="Arial"/>
                <w:szCs w:val="22"/>
              </w:rPr>
            </w:pPr>
            <w:r w:rsidRPr="00562A2E">
              <w:rPr>
                <w:rFonts w:cs="Arial"/>
                <w:szCs w:val="22"/>
              </w:rPr>
              <w:t>Diesel- Offroad</w:t>
            </w:r>
          </w:p>
        </w:tc>
        <w:tc>
          <w:tcPr>
            <w:tcW w:w="625" w:type="dxa"/>
            <w:noWrap/>
          </w:tcPr>
          <w:p w14:paraId="10F24691" w14:textId="77777777" w:rsidR="00354EAD" w:rsidRPr="00562A2E" w:rsidRDefault="00354EAD">
            <w:pPr>
              <w:spacing w:after="0" w:line="256" w:lineRule="auto"/>
              <w:jc w:val="center"/>
              <w:rPr>
                <w:rFonts w:cs="Arial"/>
                <w:szCs w:val="22"/>
              </w:rPr>
            </w:pPr>
            <w:r w:rsidRPr="00562A2E">
              <w:rPr>
                <w:rFonts w:cs="Arial"/>
                <w:szCs w:val="22"/>
              </w:rPr>
              <w:t>74 100</w:t>
            </w:r>
          </w:p>
        </w:tc>
        <w:tc>
          <w:tcPr>
            <w:tcW w:w="1261" w:type="dxa"/>
            <w:noWrap/>
          </w:tcPr>
          <w:p w14:paraId="3989EE49" w14:textId="77777777" w:rsidR="00354EAD" w:rsidRPr="00562A2E" w:rsidRDefault="00354EAD">
            <w:pPr>
              <w:spacing w:after="0" w:line="256" w:lineRule="auto"/>
              <w:jc w:val="center"/>
              <w:rPr>
                <w:rFonts w:cs="Arial"/>
                <w:szCs w:val="22"/>
              </w:rPr>
            </w:pPr>
            <w:r w:rsidRPr="00562A2E">
              <w:rPr>
                <w:rFonts w:cs="Arial"/>
                <w:szCs w:val="22"/>
              </w:rPr>
              <w:t>3.9</w:t>
            </w:r>
          </w:p>
        </w:tc>
        <w:tc>
          <w:tcPr>
            <w:tcW w:w="1272" w:type="dxa"/>
            <w:noWrap/>
          </w:tcPr>
          <w:p w14:paraId="7B87368A" w14:textId="77777777" w:rsidR="00354EAD" w:rsidRPr="00562A2E" w:rsidRDefault="00354EAD">
            <w:pPr>
              <w:spacing w:after="0" w:line="256" w:lineRule="auto"/>
              <w:jc w:val="center"/>
              <w:rPr>
                <w:rFonts w:cs="Arial"/>
                <w:szCs w:val="22"/>
              </w:rPr>
            </w:pPr>
            <w:r w:rsidRPr="00562A2E">
              <w:rPr>
                <w:rFonts w:cs="Arial"/>
                <w:szCs w:val="22"/>
              </w:rPr>
              <w:t>3.9</w:t>
            </w:r>
          </w:p>
        </w:tc>
        <w:tc>
          <w:tcPr>
            <w:tcW w:w="1268" w:type="dxa"/>
          </w:tcPr>
          <w:p w14:paraId="0D444C0A" w14:textId="77777777" w:rsidR="00354EAD" w:rsidRPr="00562A2E" w:rsidRDefault="00354EAD">
            <w:pPr>
              <w:spacing w:after="0" w:line="256" w:lineRule="auto"/>
              <w:jc w:val="center"/>
              <w:rPr>
                <w:rFonts w:cs="Arial"/>
                <w:color w:val="000000"/>
                <w:szCs w:val="22"/>
              </w:rPr>
            </w:pPr>
            <w:r w:rsidRPr="00562A2E">
              <w:rPr>
                <w:rFonts w:cs="Arial"/>
                <w:color w:val="000000"/>
                <w:szCs w:val="22"/>
              </w:rPr>
              <w:t>0.0381</w:t>
            </w:r>
          </w:p>
        </w:tc>
        <w:tc>
          <w:tcPr>
            <w:tcW w:w="1494" w:type="dxa"/>
          </w:tcPr>
          <w:p w14:paraId="1025D182" w14:textId="77777777" w:rsidR="00354EAD" w:rsidRPr="00562A2E" w:rsidRDefault="00354EAD">
            <w:pPr>
              <w:spacing w:after="0" w:line="256" w:lineRule="auto"/>
              <w:jc w:val="center"/>
              <w:rPr>
                <w:rFonts w:cs="Arial"/>
                <w:color w:val="000000"/>
                <w:szCs w:val="22"/>
              </w:rPr>
            </w:pPr>
            <w:r w:rsidRPr="00562A2E">
              <w:rPr>
                <w:rFonts w:cs="Arial"/>
                <w:szCs w:val="22"/>
              </w:rPr>
              <w:t>N/A</w:t>
            </w:r>
          </w:p>
        </w:tc>
        <w:tc>
          <w:tcPr>
            <w:tcW w:w="1494" w:type="dxa"/>
          </w:tcPr>
          <w:p w14:paraId="15E332B5" w14:textId="77777777" w:rsidR="00354EAD" w:rsidRPr="00562A2E" w:rsidRDefault="00354EAD">
            <w:pPr>
              <w:spacing w:after="0" w:line="256" w:lineRule="auto"/>
              <w:jc w:val="center"/>
              <w:rPr>
                <w:rFonts w:cs="Arial"/>
                <w:color w:val="000000"/>
                <w:szCs w:val="22"/>
              </w:rPr>
            </w:pPr>
            <w:r w:rsidRPr="00562A2E">
              <w:rPr>
                <w:rFonts w:cs="Arial"/>
                <w:szCs w:val="22"/>
              </w:rPr>
              <w:t>N/A</w:t>
            </w:r>
          </w:p>
        </w:tc>
      </w:tr>
      <w:tr w:rsidR="00354EAD" w:rsidRPr="00562A2E" w14:paraId="0E7A9CB1" w14:textId="77777777" w:rsidTr="4DA829A6">
        <w:trPr>
          <w:trHeight w:val="300"/>
        </w:trPr>
        <w:tc>
          <w:tcPr>
            <w:tcW w:w="1980" w:type="dxa"/>
            <w:noWrap/>
          </w:tcPr>
          <w:p w14:paraId="1E562DA3" w14:textId="77777777" w:rsidR="00354EAD" w:rsidRPr="00562A2E" w:rsidRDefault="00354EAD">
            <w:pPr>
              <w:spacing w:after="0" w:line="256" w:lineRule="auto"/>
              <w:jc w:val="left"/>
              <w:rPr>
                <w:rFonts w:cs="Arial"/>
                <w:szCs w:val="22"/>
              </w:rPr>
            </w:pPr>
            <w:r w:rsidRPr="00562A2E">
              <w:rPr>
                <w:rFonts w:cs="Arial"/>
                <w:szCs w:val="22"/>
              </w:rPr>
              <w:t>Petrol – oxidation catalyst</w:t>
            </w:r>
          </w:p>
        </w:tc>
        <w:tc>
          <w:tcPr>
            <w:tcW w:w="625" w:type="dxa"/>
            <w:noWrap/>
          </w:tcPr>
          <w:p w14:paraId="6B21945D" w14:textId="77777777" w:rsidR="00354EAD" w:rsidRPr="00562A2E" w:rsidDel="00930E13" w:rsidRDefault="00354EAD">
            <w:pPr>
              <w:spacing w:after="0" w:line="256" w:lineRule="auto"/>
              <w:jc w:val="center"/>
              <w:rPr>
                <w:rFonts w:cs="Arial"/>
                <w:szCs w:val="22"/>
              </w:rPr>
            </w:pPr>
            <w:r w:rsidRPr="00562A2E">
              <w:rPr>
                <w:rFonts w:cs="Arial"/>
                <w:szCs w:val="22"/>
              </w:rPr>
              <w:t>69 300</w:t>
            </w:r>
          </w:p>
        </w:tc>
        <w:tc>
          <w:tcPr>
            <w:tcW w:w="1261" w:type="dxa"/>
            <w:noWrap/>
          </w:tcPr>
          <w:p w14:paraId="02459EF0" w14:textId="77777777" w:rsidR="00354EAD" w:rsidRPr="00562A2E" w:rsidRDefault="00354EAD">
            <w:pPr>
              <w:spacing w:after="0" w:line="256" w:lineRule="auto"/>
              <w:jc w:val="center"/>
              <w:rPr>
                <w:rFonts w:cs="Arial"/>
                <w:szCs w:val="22"/>
              </w:rPr>
            </w:pPr>
            <w:r w:rsidRPr="00562A2E">
              <w:rPr>
                <w:rFonts w:cs="Arial"/>
                <w:szCs w:val="22"/>
              </w:rPr>
              <w:t>25</w:t>
            </w:r>
          </w:p>
        </w:tc>
        <w:tc>
          <w:tcPr>
            <w:tcW w:w="1272" w:type="dxa"/>
            <w:noWrap/>
          </w:tcPr>
          <w:p w14:paraId="43EF0713" w14:textId="77777777" w:rsidR="00354EAD" w:rsidRPr="00562A2E" w:rsidRDefault="00354EAD">
            <w:pPr>
              <w:spacing w:after="0" w:line="256" w:lineRule="auto"/>
              <w:jc w:val="center"/>
              <w:rPr>
                <w:rFonts w:cs="Arial"/>
                <w:szCs w:val="22"/>
              </w:rPr>
            </w:pPr>
            <w:r w:rsidRPr="00562A2E">
              <w:rPr>
                <w:rFonts w:cs="Arial"/>
                <w:szCs w:val="22"/>
              </w:rPr>
              <w:t>8</w:t>
            </w:r>
          </w:p>
        </w:tc>
        <w:tc>
          <w:tcPr>
            <w:tcW w:w="1268" w:type="dxa"/>
            <w:noWrap/>
          </w:tcPr>
          <w:p w14:paraId="43EF2BFC" w14:textId="77777777" w:rsidR="00354EAD" w:rsidRPr="00562A2E" w:rsidRDefault="00354EAD">
            <w:pPr>
              <w:spacing w:after="0" w:line="256" w:lineRule="auto"/>
              <w:jc w:val="center"/>
              <w:rPr>
                <w:rFonts w:cs="Arial"/>
                <w:szCs w:val="22"/>
              </w:rPr>
            </w:pPr>
            <w:r w:rsidRPr="00562A2E">
              <w:rPr>
                <w:rFonts w:cs="Arial"/>
                <w:szCs w:val="22"/>
              </w:rPr>
              <w:t>0.0443</w:t>
            </w:r>
          </w:p>
        </w:tc>
        <w:tc>
          <w:tcPr>
            <w:tcW w:w="1494" w:type="dxa"/>
            <w:noWrap/>
          </w:tcPr>
          <w:p w14:paraId="49774959"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tcPr>
          <w:p w14:paraId="0045BD44"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16B4B699" w14:textId="77777777" w:rsidTr="4DA829A6">
        <w:trPr>
          <w:trHeight w:val="300"/>
        </w:trPr>
        <w:tc>
          <w:tcPr>
            <w:tcW w:w="1980" w:type="dxa"/>
            <w:noWrap/>
          </w:tcPr>
          <w:p w14:paraId="10D9F49E" w14:textId="77777777" w:rsidR="00354EAD" w:rsidRPr="00562A2E" w:rsidRDefault="00354EAD">
            <w:pPr>
              <w:spacing w:after="0" w:line="256" w:lineRule="auto"/>
              <w:jc w:val="left"/>
              <w:rPr>
                <w:rFonts w:cs="Arial"/>
                <w:szCs w:val="22"/>
              </w:rPr>
            </w:pPr>
            <w:r w:rsidRPr="00562A2E">
              <w:rPr>
                <w:rFonts w:cs="Arial"/>
                <w:szCs w:val="22"/>
              </w:rPr>
              <w:t>Petrol uncontrolled</w:t>
            </w:r>
          </w:p>
        </w:tc>
        <w:tc>
          <w:tcPr>
            <w:tcW w:w="625" w:type="dxa"/>
            <w:noWrap/>
          </w:tcPr>
          <w:p w14:paraId="148A09BB" w14:textId="77777777" w:rsidR="00354EAD" w:rsidRPr="00562A2E" w:rsidDel="00930E13" w:rsidRDefault="00354EAD">
            <w:pPr>
              <w:spacing w:after="0" w:line="256" w:lineRule="auto"/>
              <w:jc w:val="center"/>
              <w:rPr>
                <w:rFonts w:cs="Arial"/>
                <w:szCs w:val="22"/>
              </w:rPr>
            </w:pPr>
            <w:r w:rsidRPr="00562A2E">
              <w:rPr>
                <w:rFonts w:cs="Arial"/>
                <w:szCs w:val="22"/>
              </w:rPr>
              <w:t>69 300</w:t>
            </w:r>
          </w:p>
        </w:tc>
        <w:tc>
          <w:tcPr>
            <w:tcW w:w="1261" w:type="dxa"/>
            <w:noWrap/>
          </w:tcPr>
          <w:p w14:paraId="0EA3F6AD" w14:textId="77777777" w:rsidR="00354EAD" w:rsidRPr="00562A2E" w:rsidRDefault="00354EAD">
            <w:pPr>
              <w:spacing w:after="0" w:line="256" w:lineRule="auto"/>
              <w:jc w:val="center"/>
              <w:rPr>
                <w:rFonts w:cs="Arial"/>
                <w:szCs w:val="22"/>
              </w:rPr>
            </w:pPr>
            <w:r w:rsidRPr="00562A2E">
              <w:rPr>
                <w:rFonts w:cs="Arial"/>
                <w:szCs w:val="22"/>
              </w:rPr>
              <w:t>33</w:t>
            </w:r>
          </w:p>
        </w:tc>
        <w:tc>
          <w:tcPr>
            <w:tcW w:w="1272" w:type="dxa"/>
            <w:noWrap/>
          </w:tcPr>
          <w:p w14:paraId="433B092B" w14:textId="77777777" w:rsidR="00354EAD" w:rsidRPr="00562A2E" w:rsidRDefault="00354EAD">
            <w:pPr>
              <w:spacing w:after="0" w:line="256" w:lineRule="auto"/>
              <w:jc w:val="center"/>
              <w:rPr>
                <w:rFonts w:cs="Arial"/>
                <w:szCs w:val="22"/>
              </w:rPr>
            </w:pPr>
            <w:r w:rsidRPr="00562A2E">
              <w:rPr>
                <w:rFonts w:cs="Arial"/>
                <w:szCs w:val="22"/>
              </w:rPr>
              <w:t>3.2</w:t>
            </w:r>
          </w:p>
        </w:tc>
        <w:tc>
          <w:tcPr>
            <w:tcW w:w="1268" w:type="dxa"/>
            <w:noWrap/>
          </w:tcPr>
          <w:p w14:paraId="4ADB9D1B" w14:textId="77777777" w:rsidR="00354EAD" w:rsidRPr="00562A2E" w:rsidRDefault="00354EAD">
            <w:pPr>
              <w:spacing w:after="0" w:line="256" w:lineRule="auto"/>
              <w:jc w:val="center"/>
              <w:rPr>
                <w:rFonts w:cs="Arial"/>
                <w:szCs w:val="22"/>
              </w:rPr>
            </w:pPr>
            <w:r w:rsidRPr="00562A2E">
              <w:rPr>
                <w:rFonts w:cs="Arial"/>
                <w:szCs w:val="22"/>
              </w:rPr>
              <w:t>0.0443</w:t>
            </w:r>
          </w:p>
        </w:tc>
        <w:tc>
          <w:tcPr>
            <w:tcW w:w="1494" w:type="dxa"/>
            <w:noWrap/>
          </w:tcPr>
          <w:p w14:paraId="6626E2BB"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tcPr>
          <w:p w14:paraId="7CD51C89"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50EDD0CB" w14:textId="77777777" w:rsidTr="4DA829A6">
        <w:trPr>
          <w:trHeight w:val="300"/>
        </w:trPr>
        <w:tc>
          <w:tcPr>
            <w:tcW w:w="1980" w:type="dxa"/>
            <w:noWrap/>
            <w:hideMark/>
          </w:tcPr>
          <w:p w14:paraId="2DCDC4C1" w14:textId="77777777" w:rsidR="00354EAD" w:rsidRPr="00562A2E" w:rsidRDefault="00354EAD">
            <w:pPr>
              <w:spacing w:after="0" w:line="256" w:lineRule="auto"/>
              <w:jc w:val="left"/>
              <w:rPr>
                <w:rFonts w:cs="Arial"/>
                <w:szCs w:val="22"/>
              </w:rPr>
            </w:pPr>
            <w:r w:rsidRPr="00562A2E">
              <w:rPr>
                <w:rFonts w:cs="Arial"/>
                <w:szCs w:val="22"/>
              </w:rPr>
              <w:t>Refuse Derived Fuel</w:t>
            </w:r>
          </w:p>
        </w:tc>
        <w:tc>
          <w:tcPr>
            <w:tcW w:w="625" w:type="dxa"/>
            <w:noWrap/>
            <w:hideMark/>
          </w:tcPr>
          <w:p w14:paraId="4A01EA4B" w14:textId="77777777" w:rsidR="00354EAD" w:rsidRPr="00562A2E" w:rsidRDefault="00354EAD">
            <w:pPr>
              <w:spacing w:after="0" w:line="256" w:lineRule="auto"/>
              <w:jc w:val="center"/>
              <w:rPr>
                <w:rFonts w:cs="Arial"/>
                <w:szCs w:val="22"/>
              </w:rPr>
            </w:pPr>
            <w:r w:rsidRPr="00562A2E">
              <w:rPr>
                <w:rFonts w:cs="Arial"/>
                <w:szCs w:val="22"/>
              </w:rPr>
              <w:t>83 000</w:t>
            </w:r>
          </w:p>
        </w:tc>
        <w:tc>
          <w:tcPr>
            <w:tcW w:w="1261" w:type="dxa"/>
            <w:noWrap/>
            <w:hideMark/>
          </w:tcPr>
          <w:p w14:paraId="46861257" w14:textId="77777777" w:rsidR="00354EAD" w:rsidRPr="00562A2E" w:rsidRDefault="00354EAD">
            <w:pPr>
              <w:spacing w:after="0" w:line="256" w:lineRule="auto"/>
              <w:jc w:val="center"/>
              <w:rPr>
                <w:rFonts w:cs="Arial"/>
                <w:szCs w:val="22"/>
              </w:rPr>
            </w:pPr>
            <w:r w:rsidRPr="00562A2E">
              <w:rPr>
                <w:rFonts w:cs="Arial"/>
                <w:szCs w:val="22"/>
              </w:rPr>
              <w:t>N/A</w:t>
            </w:r>
          </w:p>
        </w:tc>
        <w:tc>
          <w:tcPr>
            <w:tcW w:w="1272" w:type="dxa"/>
            <w:noWrap/>
            <w:hideMark/>
          </w:tcPr>
          <w:p w14:paraId="207A7E4E" w14:textId="77777777" w:rsidR="00354EAD" w:rsidRPr="00562A2E" w:rsidRDefault="00354EAD">
            <w:pPr>
              <w:spacing w:after="0" w:line="256" w:lineRule="auto"/>
              <w:jc w:val="center"/>
              <w:rPr>
                <w:rFonts w:cs="Arial"/>
                <w:szCs w:val="22"/>
              </w:rPr>
            </w:pPr>
            <w:r w:rsidRPr="00562A2E">
              <w:rPr>
                <w:rFonts w:cs="Arial"/>
                <w:szCs w:val="22"/>
              </w:rPr>
              <w:t>N/A</w:t>
            </w:r>
          </w:p>
        </w:tc>
        <w:tc>
          <w:tcPr>
            <w:tcW w:w="1268" w:type="dxa"/>
            <w:noWrap/>
            <w:hideMark/>
          </w:tcPr>
          <w:p w14:paraId="164C42FE"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hideMark/>
          </w:tcPr>
          <w:p w14:paraId="06B2B6C9"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hideMark/>
          </w:tcPr>
          <w:p w14:paraId="111AEC74"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60AF72E8" w14:textId="77777777" w:rsidTr="4DA829A6">
        <w:trPr>
          <w:trHeight w:val="300"/>
        </w:trPr>
        <w:tc>
          <w:tcPr>
            <w:tcW w:w="1980" w:type="dxa"/>
            <w:noWrap/>
            <w:hideMark/>
          </w:tcPr>
          <w:p w14:paraId="4E6FCD7E" w14:textId="77777777" w:rsidR="00354EAD" w:rsidRPr="00562A2E" w:rsidRDefault="00354EAD">
            <w:pPr>
              <w:spacing w:after="0" w:line="256" w:lineRule="auto"/>
              <w:jc w:val="left"/>
              <w:rPr>
                <w:rFonts w:cs="Arial"/>
                <w:szCs w:val="22"/>
              </w:rPr>
            </w:pPr>
            <w:r w:rsidRPr="00562A2E">
              <w:rPr>
                <w:rFonts w:cs="Arial"/>
                <w:szCs w:val="22"/>
              </w:rPr>
              <w:t>Sawdust</w:t>
            </w:r>
          </w:p>
        </w:tc>
        <w:tc>
          <w:tcPr>
            <w:tcW w:w="625" w:type="dxa"/>
            <w:noWrap/>
            <w:hideMark/>
          </w:tcPr>
          <w:p w14:paraId="322B3B22" w14:textId="77777777" w:rsidR="00354EAD" w:rsidRPr="00562A2E" w:rsidRDefault="00354EAD">
            <w:pPr>
              <w:spacing w:after="0" w:line="256" w:lineRule="auto"/>
              <w:jc w:val="center"/>
              <w:rPr>
                <w:rFonts w:cs="Arial"/>
                <w:szCs w:val="22"/>
              </w:rPr>
            </w:pPr>
            <w:r w:rsidRPr="00562A2E">
              <w:rPr>
                <w:rFonts w:cs="Arial"/>
                <w:szCs w:val="22"/>
              </w:rPr>
              <w:t>0</w:t>
            </w:r>
          </w:p>
        </w:tc>
        <w:tc>
          <w:tcPr>
            <w:tcW w:w="1261" w:type="dxa"/>
            <w:noWrap/>
            <w:hideMark/>
          </w:tcPr>
          <w:p w14:paraId="3F885175" w14:textId="77777777" w:rsidR="00354EAD" w:rsidRPr="00562A2E" w:rsidRDefault="00354EAD">
            <w:pPr>
              <w:spacing w:after="0" w:line="256" w:lineRule="auto"/>
              <w:jc w:val="center"/>
              <w:rPr>
                <w:rFonts w:cs="Arial"/>
                <w:szCs w:val="22"/>
              </w:rPr>
            </w:pPr>
            <w:r w:rsidRPr="00562A2E">
              <w:rPr>
                <w:rFonts w:cs="Arial"/>
                <w:szCs w:val="22"/>
              </w:rPr>
              <w:t>N/A</w:t>
            </w:r>
          </w:p>
        </w:tc>
        <w:tc>
          <w:tcPr>
            <w:tcW w:w="1272" w:type="dxa"/>
            <w:noWrap/>
            <w:hideMark/>
          </w:tcPr>
          <w:p w14:paraId="6BA9C1A1" w14:textId="77777777" w:rsidR="00354EAD" w:rsidRPr="00562A2E" w:rsidRDefault="00354EAD">
            <w:pPr>
              <w:spacing w:after="0" w:line="256" w:lineRule="auto"/>
              <w:jc w:val="center"/>
              <w:rPr>
                <w:rFonts w:cs="Arial"/>
                <w:szCs w:val="22"/>
              </w:rPr>
            </w:pPr>
            <w:r w:rsidRPr="00562A2E">
              <w:rPr>
                <w:rFonts w:cs="Arial"/>
                <w:szCs w:val="22"/>
              </w:rPr>
              <w:t>N/A</w:t>
            </w:r>
          </w:p>
        </w:tc>
        <w:tc>
          <w:tcPr>
            <w:tcW w:w="1268" w:type="dxa"/>
            <w:noWrap/>
            <w:hideMark/>
          </w:tcPr>
          <w:p w14:paraId="6A762C4E"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hideMark/>
          </w:tcPr>
          <w:p w14:paraId="528E9F0D"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hideMark/>
          </w:tcPr>
          <w:p w14:paraId="44789315"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3210C889" w14:textId="77777777" w:rsidTr="4DA829A6">
        <w:trPr>
          <w:trHeight w:val="300"/>
        </w:trPr>
        <w:tc>
          <w:tcPr>
            <w:tcW w:w="1980" w:type="dxa"/>
            <w:noWrap/>
            <w:hideMark/>
          </w:tcPr>
          <w:p w14:paraId="45D805CC" w14:textId="77777777" w:rsidR="00354EAD" w:rsidRPr="00562A2E" w:rsidRDefault="00354EAD">
            <w:pPr>
              <w:spacing w:after="0" w:line="256" w:lineRule="auto"/>
              <w:jc w:val="left"/>
              <w:rPr>
                <w:rFonts w:cs="Arial"/>
                <w:szCs w:val="22"/>
              </w:rPr>
            </w:pPr>
            <w:r w:rsidRPr="00562A2E">
              <w:rPr>
                <w:rFonts w:cs="Arial"/>
                <w:szCs w:val="22"/>
              </w:rPr>
              <w:t>Waste Tyres</w:t>
            </w:r>
          </w:p>
        </w:tc>
        <w:tc>
          <w:tcPr>
            <w:tcW w:w="625" w:type="dxa"/>
            <w:noWrap/>
            <w:hideMark/>
          </w:tcPr>
          <w:p w14:paraId="0B6342F2" w14:textId="77777777" w:rsidR="00354EAD" w:rsidRPr="00562A2E" w:rsidRDefault="00354EAD">
            <w:pPr>
              <w:spacing w:after="0" w:line="256" w:lineRule="auto"/>
              <w:jc w:val="center"/>
              <w:rPr>
                <w:rFonts w:cs="Arial"/>
                <w:szCs w:val="22"/>
              </w:rPr>
            </w:pPr>
            <w:r w:rsidRPr="00562A2E">
              <w:rPr>
                <w:rFonts w:cs="Arial"/>
                <w:szCs w:val="22"/>
              </w:rPr>
              <w:t>85 000</w:t>
            </w:r>
          </w:p>
        </w:tc>
        <w:tc>
          <w:tcPr>
            <w:tcW w:w="1261" w:type="dxa"/>
            <w:noWrap/>
            <w:hideMark/>
          </w:tcPr>
          <w:p w14:paraId="7A0BFD9A" w14:textId="77777777" w:rsidR="00354EAD" w:rsidRPr="00562A2E" w:rsidRDefault="00354EAD">
            <w:pPr>
              <w:spacing w:after="0" w:line="256" w:lineRule="auto"/>
              <w:jc w:val="center"/>
              <w:rPr>
                <w:rFonts w:cs="Arial"/>
                <w:szCs w:val="22"/>
              </w:rPr>
            </w:pPr>
            <w:r w:rsidRPr="00562A2E">
              <w:rPr>
                <w:rFonts w:cs="Arial"/>
                <w:szCs w:val="22"/>
              </w:rPr>
              <w:t>N/A</w:t>
            </w:r>
          </w:p>
        </w:tc>
        <w:tc>
          <w:tcPr>
            <w:tcW w:w="1272" w:type="dxa"/>
            <w:noWrap/>
            <w:hideMark/>
          </w:tcPr>
          <w:p w14:paraId="390CE5EC" w14:textId="77777777" w:rsidR="00354EAD" w:rsidRPr="00562A2E" w:rsidRDefault="00354EAD">
            <w:pPr>
              <w:spacing w:after="0" w:line="256" w:lineRule="auto"/>
              <w:jc w:val="center"/>
              <w:rPr>
                <w:rFonts w:cs="Arial"/>
                <w:szCs w:val="22"/>
              </w:rPr>
            </w:pPr>
            <w:r w:rsidRPr="00562A2E">
              <w:rPr>
                <w:rFonts w:cs="Arial"/>
                <w:szCs w:val="22"/>
              </w:rPr>
              <w:t>N/A</w:t>
            </w:r>
          </w:p>
        </w:tc>
        <w:tc>
          <w:tcPr>
            <w:tcW w:w="1268" w:type="dxa"/>
            <w:noWrap/>
            <w:hideMark/>
          </w:tcPr>
          <w:p w14:paraId="3EDD54A5"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hideMark/>
          </w:tcPr>
          <w:p w14:paraId="4C050379" w14:textId="77777777" w:rsidR="00354EAD" w:rsidRPr="00562A2E" w:rsidRDefault="00354EAD">
            <w:pPr>
              <w:spacing w:after="0" w:line="256" w:lineRule="auto"/>
              <w:jc w:val="center"/>
              <w:rPr>
                <w:rFonts w:cs="Arial"/>
                <w:szCs w:val="22"/>
              </w:rPr>
            </w:pPr>
            <w:r w:rsidRPr="00562A2E">
              <w:rPr>
                <w:rFonts w:cs="Arial"/>
                <w:szCs w:val="22"/>
              </w:rPr>
              <w:t>N/A</w:t>
            </w:r>
          </w:p>
        </w:tc>
        <w:tc>
          <w:tcPr>
            <w:tcW w:w="1494" w:type="dxa"/>
            <w:noWrap/>
            <w:hideMark/>
          </w:tcPr>
          <w:p w14:paraId="7763285F" w14:textId="77777777" w:rsidR="00354EAD" w:rsidRPr="00562A2E" w:rsidRDefault="00354EAD">
            <w:pPr>
              <w:spacing w:after="0" w:line="256" w:lineRule="auto"/>
              <w:jc w:val="center"/>
              <w:rPr>
                <w:rFonts w:cs="Arial"/>
                <w:szCs w:val="22"/>
              </w:rPr>
            </w:pPr>
            <w:r w:rsidRPr="00562A2E">
              <w:rPr>
                <w:rFonts w:cs="Arial"/>
                <w:szCs w:val="22"/>
              </w:rPr>
              <w:t>N/A</w:t>
            </w:r>
          </w:p>
        </w:tc>
      </w:tr>
      <w:tr w:rsidR="00354EAD" w:rsidRPr="00562A2E" w14:paraId="0DD1050E" w14:textId="77777777" w:rsidTr="4DA829A6">
        <w:trPr>
          <w:trHeight w:val="290"/>
        </w:trPr>
        <w:tc>
          <w:tcPr>
            <w:tcW w:w="1980" w:type="dxa"/>
            <w:noWrap/>
            <w:hideMark/>
          </w:tcPr>
          <w:p w14:paraId="48EA0BB5" w14:textId="77777777" w:rsidR="00354EAD" w:rsidRPr="00562A2E" w:rsidRDefault="00354EAD">
            <w:pPr>
              <w:spacing w:after="0" w:line="256" w:lineRule="auto"/>
              <w:jc w:val="left"/>
              <w:rPr>
                <w:rFonts w:cs="Arial"/>
                <w:szCs w:val="22"/>
              </w:rPr>
            </w:pPr>
            <w:r w:rsidRPr="00562A2E">
              <w:rPr>
                <w:rFonts w:cs="Arial"/>
                <w:szCs w:val="22"/>
              </w:rPr>
              <w:t>Methane Rich Gas (MRG)</w:t>
            </w:r>
          </w:p>
        </w:tc>
        <w:tc>
          <w:tcPr>
            <w:tcW w:w="625" w:type="dxa"/>
            <w:noWrap/>
            <w:hideMark/>
          </w:tcPr>
          <w:p w14:paraId="55CFF3B9" w14:textId="77777777" w:rsidR="00354EAD" w:rsidRPr="00562A2E" w:rsidRDefault="00354EAD">
            <w:pPr>
              <w:spacing w:after="0" w:line="256" w:lineRule="auto"/>
              <w:jc w:val="center"/>
              <w:rPr>
                <w:rFonts w:cs="Arial"/>
                <w:szCs w:val="22"/>
              </w:rPr>
            </w:pPr>
            <w:r w:rsidRPr="00562A2E">
              <w:rPr>
                <w:rFonts w:cs="Arial"/>
                <w:szCs w:val="22"/>
              </w:rPr>
              <w:t>54 888</w:t>
            </w:r>
          </w:p>
        </w:tc>
        <w:tc>
          <w:tcPr>
            <w:tcW w:w="1261" w:type="dxa"/>
            <w:noWrap/>
            <w:hideMark/>
          </w:tcPr>
          <w:p w14:paraId="25C5D94C" w14:textId="77777777" w:rsidR="00354EAD" w:rsidRPr="00562A2E" w:rsidRDefault="00354EAD">
            <w:pPr>
              <w:spacing w:after="0" w:line="256" w:lineRule="auto"/>
              <w:jc w:val="center"/>
              <w:rPr>
                <w:rFonts w:cs="Arial"/>
                <w:szCs w:val="22"/>
              </w:rPr>
            </w:pPr>
            <w:r w:rsidRPr="00562A2E">
              <w:rPr>
                <w:rFonts w:cs="Arial"/>
                <w:szCs w:val="22"/>
              </w:rPr>
              <w:t>92</w:t>
            </w:r>
          </w:p>
        </w:tc>
        <w:tc>
          <w:tcPr>
            <w:tcW w:w="1272" w:type="dxa"/>
            <w:noWrap/>
            <w:hideMark/>
          </w:tcPr>
          <w:p w14:paraId="322E1153" w14:textId="77777777" w:rsidR="00354EAD" w:rsidRPr="00562A2E" w:rsidRDefault="00354EAD">
            <w:pPr>
              <w:spacing w:after="0" w:line="256" w:lineRule="auto"/>
              <w:jc w:val="center"/>
              <w:rPr>
                <w:rFonts w:cs="Arial"/>
                <w:szCs w:val="22"/>
              </w:rPr>
            </w:pPr>
            <w:r w:rsidRPr="00562A2E">
              <w:rPr>
                <w:rFonts w:cs="Arial"/>
                <w:szCs w:val="22"/>
              </w:rPr>
              <w:t>3</w:t>
            </w:r>
          </w:p>
        </w:tc>
        <w:tc>
          <w:tcPr>
            <w:tcW w:w="1268" w:type="dxa"/>
            <w:noWrap/>
            <w:hideMark/>
          </w:tcPr>
          <w:p w14:paraId="2C5B7964" w14:textId="77777777" w:rsidR="00354EAD" w:rsidRPr="00562A2E" w:rsidRDefault="00354EAD">
            <w:pPr>
              <w:spacing w:after="0" w:line="256" w:lineRule="auto"/>
              <w:jc w:val="center"/>
              <w:rPr>
                <w:rFonts w:cs="Arial"/>
                <w:szCs w:val="22"/>
              </w:rPr>
            </w:pPr>
            <w:r w:rsidRPr="00562A2E">
              <w:rPr>
                <w:rFonts w:cs="Arial"/>
                <w:szCs w:val="22"/>
              </w:rPr>
              <w:t>0.048</w:t>
            </w:r>
          </w:p>
        </w:tc>
        <w:tc>
          <w:tcPr>
            <w:tcW w:w="1494" w:type="dxa"/>
            <w:noWrap/>
            <w:hideMark/>
          </w:tcPr>
          <w:p w14:paraId="4C4CBBCE" w14:textId="77777777" w:rsidR="00354EAD" w:rsidRPr="00562A2E" w:rsidRDefault="00354EAD">
            <w:pPr>
              <w:spacing w:after="0" w:line="256" w:lineRule="auto"/>
              <w:jc w:val="center"/>
              <w:rPr>
                <w:rFonts w:cs="Arial"/>
                <w:szCs w:val="22"/>
              </w:rPr>
            </w:pPr>
            <w:r w:rsidRPr="00562A2E">
              <w:rPr>
                <w:rFonts w:cs="Arial"/>
                <w:szCs w:val="22"/>
              </w:rPr>
              <w:t>0.0465</w:t>
            </w:r>
          </w:p>
        </w:tc>
        <w:tc>
          <w:tcPr>
            <w:tcW w:w="1494" w:type="dxa"/>
            <w:noWrap/>
            <w:hideMark/>
          </w:tcPr>
          <w:p w14:paraId="36CDBCCE" w14:textId="77777777" w:rsidR="00354EAD" w:rsidRPr="00562A2E" w:rsidRDefault="00354EAD">
            <w:pPr>
              <w:spacing w:after="0" w:line="256" w:lineRule="auto"/>
              <w:jc w:val="center"/>
              <w:rPr>
                <w:rFonts w:cs="Arial"/>
                <w:szCs w:val="22"/>
              </w:rPr>
            </w:pPr>
            <w:r w:rsidRPr="00562A2E">
              <w:rPr>
                <w:rFonts w:cs="Arial"/>
                <w:szCs w:val="22"/>
              </w:rPr>
              <w:t>0.0504</w:t>
            </w:r>
          </w:p>
        </w:tc>
      </w:tr>
    </w:tbl>
    <w:p w14:paraId="4536988A" w14:textId="60891779" w:rsidR="00D565E0" w:rsidRPr="00A8207A" w:rsidRDefault="00354EAD" w:rsidP="4DA829A6">
      <w:r w:rsidRPr="4DA829A6">
        <w:t xml:space="preserve">* The current emission factors and net calorific values contained in Schedule 1 of the Carbon Tax Act are applicable where the blocks in the table are blank.  </w:t>
      </w:r>
    </w:p>
    <w:p w14:paraId="04D8032A" w14:textId="77777777" w:rsidR="00354EAD" w:rsidRPr="00A8207A" w:rsidRDefault="00354EAD" w:rsidP="00354EAD">
      <w:pPr>
        <w:rPr>
          <w:b/>
        </w:rPr>
      </w:pPr>
      <w:r w:rsidRPr="00A8207A">
        <w:rPr>
          <w:b/>
        </w:rPr>
        <w:t>IV. Effective date</w:t>
      </w:r>
    </w:p>
    <w:p w14:paraId="6DFE0BFE" w14:textId="352483B5" w:rsidR="00354EAD" w:rsidRPr="00A8207A" w:rsidRDefault="6D387B70" w:rsidP="00354EAD">
      <w:pPr>
        <w:rPr>
          <w:lang w:val="en-US"/>
        </w:rPr>
      </w:pPr>
      <w:r w:rsidRPr="5FEEF3AA">
        <w:rPr>
          <w:lang w:val="en-US"/>
        </w:rPr>
        <w:t xml:space="preserve">The proposed amendments </w:t>
      </w:r>
      <w:r w:rsidR="0819BF69" w:rsidRPr="5FEEF3AA">
        <w:rPr>
          <w:lang w:val="en-US"/>
        </w:rPr>
        <w:t xml:space="preserve">are deemed to have </w:t>
      </w:r>
      <w:r w:rsidRPr="5FEEF3AA">
        <w:rPr>
          <w:lang w:val="en-US"/>
        </w:rPr>
        <w:t>come into operation on 1 January 2024.</w:t>
      </w:r>
    </w:p>
    <w:p w14:paraId="52345F1F" w14:textId="77777777" w:rsidR="00354EAD" w:rsidRPr="00354EAD" w:rsidRDefault="00354EAD" w:rsidP="00354EAD">
      <w:pPr>
        <w:rPr>
          <w:highlight w:val="green"/>
        </w:rPr>
      </w:pPr>
    </w:p>
    <w:p w14:paraId="1F998196" w14:textId="4BE7839E" w:rsidR="00354EAD" w:rsidRPr="005641A9" w:rsidRDefault="00354EAD" w:rsidP="009709FD">
      <w:pPr>
        <w:pStyle w:val="Heading3"/>
      </w:pPr>
      <w:bookmarkStart w:id="363" w:name="_Toc198158771"/>
      <w:r w:rsidRPr="005641A9">
        <w:t>INCLUDING DEFAULT EMISSION FACTORS FOR ADDITIONAL FUGITIVE EMISSIONS SOURCE CATEGORIES</w:t>
      </w:r>
      <w:bookmarkEnd w:id="363"/>
    </w:p>
    <w:p w14:paraId="50D62AA3" w14:textId="04ED0A79" w:rsidR="00354EAD" w:rsidRPr="00AE612D" w:rsidRDefault="00354EAD" w:rsidP="00354EAD">
      <w:pPr>
        <w:rPr>
          <w:lang w:val="en-US"/>
        </w:rPr>
      </w:pPr>
      <w:r w:rsidRPr="00AE612D">
        <w:t>[</w:t>
      </w:r>
      <w:r w:rsidRPr="00DB01F5">
        <w:t>Applicable provision</w:t>
      </w:r>
      <w:r w:rsidR="00621E2F">
        <w:t>s</w:t>
      </w:r>
      <w:r w:rsidRPr="00DB01F5">
        <w:t xml:space="preserve">: Schedule 1 </w:t>
      </w:r>
      <w:r w:rsidR="000423DD" w:rsidRPr="000423DD">
        <w:t xml:space="preserve">and Schedule 2 </w:t>
      </w:r>
      <w:r w:rsidRPr="00DB01F5">
        <w:t>of the Carbon Tax Act 15 of 2019 (“the Carbon Tax Act”)</w:t>
      </w:r>
      <w:r w:rsidRPr="00DB01F5">
        <w:rPr>
          <w:lang w:val="en-US"/>
        </w:rPr>
        <w:t>]</w:t>
      </w:r>
      <w:r>
        <w:t>]</w:t>
      </w:r>
    </w:p>
    <w:p w14:paraId="432E9D23" w14:textId="77777777" w:rsidR="00354EAD" w:rsidRPr="00F21980" w:rsidRDefault="00354EAD" w:rsidP="00354EAD">
      <w:pPr>
        <w:rPr>
          <w:b/>
        </w:rPr>
      </w:pPr>
      <w:r w:rsidRPr="00FC0786">
        <w:rPr>
          <w:b/>
        </w:rPr>
        <w:t>I. Background</w:t>
      </w:r>
    </w:p>
    <w:p w14:paraId="6E4F0D19" w14:textId="77777777" w:rsidR="00354EAD" w:rsidRPr="004430D5" w:rsidRDefault="00354EAD" w:rsidP="4DA829A6">
      <w:r w:rsidRPr="4DA829A6">
        <w:t xml:space="preserve">The Carbon Tax Act contains Schedule 1 sets out the default emission factors for the calculation of fuel combustion (stationary and non-stationary), fugitive and industrial process greenhouse gas emissions. The emission factors and net caloric values are used to calculate the emission factors and total emissions for a company for the different activities under Section 4 of the Carbon tax Act.  </w:t>
      </w:r>
    </w:p>
    <w:p w14:paraId="0D61DFD0" w14:textId="3F59AEC7" w:rsidR="00500545" w:rsidRDefault="00354EAD" w:rsidP="00354EAD">
      <w:r w:rsidRPr="4DA829A6">
        <w:t xml:space="preserve">In October 2022, the Department of Forestry Fisheries and the Environment (DFFE) gazetted the Amended </w:t>
      </w:r>
      <w:r w:rsidRPr="4DA829A6">
        <w:rPr>
          <w:i/>
          <w:iCs/>
        </w:rPr>
        <w:t>Methodological Guideline for Quantification of Greenhouse Gas Emissions</w:t>
      </w:r>
      <w:r w:rsidRPr="4DA829A6">
        <w:t xml:space="preserve"> (Gazette No 47257 dated 7 October 2022). Schedule 1 of the Act is aligned with the emission factor tables contained in Annexures A, B and C of the Methodological Guidelines for Quantification of Greenhouse Gas Emissions.  The updated guideline contained a new table B3 on Default Emission Factors for fugitive emissions from coal mining, oil and gas operations based on the 2019 Intergovernmental Panel on Climate Change (IPCC) refinements study on emission factors. </w:t>
      </w:r>
    </w:p>
    <w:p w14:paraId="1396CF4B" w14:textId="6E92EFD7" w:rsidR="00354EAD" w:rsidRPr="00F21980" w:rsidRDefault="00354EAD" w:rsidP="00354EAD">
      <w:pPr>
        <w:rPr>
          <w:b/>
        </w:rPr>
      </w:pPr>
      <w:r w:rsidRPr="00FC0786">
        <w:rPr>
          <w:b/>
        </w:rPr>
        <w:t>II. Reasons for change</w:t>
      </w:r>
    </w:p>
    <w:p w14:paraId="2321BA61" w14:textId="3D5744F1" w:rsidR="005641A9" w:rsidRPr="004430D5" w:rsidRDefault="00354EAD" w:rsidP="4DA829A6">
      <w:pPr>
        <w:rPr>
          <w:rFonts w:eastAsia="Calibri" w:cs="Arial"/>
        </w:rPr>
      </w:pPr>
      <w:r w:rsidRPr="4DA829A6">
        <w:rPr>
          <w:rFonts w:eastAsia="Calibri" w:cs="Arial"/>
        </w:rPr>
        <w:t>The Methodological Guidelines included additional default emission factors for fugitive emissions from coal mining, oil and gas operations. In Budget 2023, amendments were proposed to Schedule 1 to include new tables on the country specific CO2 emissions and fugitive emissions factors. The tables which were included in the Taxation Laws Amendment Bill of 2023 were withdrawn after public consultation on the TLAB to allow for further consultations with DFFE.  To ensure alignment between the Carbon Tax Act and the methodological guidelines, changes to the Schedule 1 fugitive emissions tables</w:t>
      </w:r>
      <w:r w:rsidR="00657FDE" w:rsidRPr="00657FDE">
        <w:rPr>
          <w:rFonts w:eastAsia="Calibri"/>
        </w:rPr>
        <w:t xml:space="preserve"> </w:t>
      </w:r>
      <w:r w:rsidR="00657FDE" w:rsidRPr="00657FDE">
        <w:rPr>
          <w:rFonts w:eastAsia="Calibri" w:cs="Arial"/>
        </w:rPr>
        <w:t xml:space="preserve">and to Schedule 2 </w:t>
      </w:r>
      <w:r w:rsidRPr="4DA829A6">
        <w:rPr>
          <w:rFonts w:eastAsia="Calibri" w:cs="Arial"/>
        </w:rPr>
        <w:t xml:space="preserve"> are necessary to include the new fugitive emission factors</w:t>
      </w:r>
      <w:r w:rsidR="008D3F87" w:rsidRPr="008D3F87">
        <w:rPr>
          <w:rFonts w:eastAsia="Calibri"/>
        </w:rPr>
        <w:t xml:space="preserve"> </w:t>
      </w:r>
      <w:r w:rsidR="008D3F87" w:rsidRPr="008D3F87">
        <w:rPr>
          <w:rFonts w:eastAsia="Calibri" w:cs="Arial"/>
        </w:rPr>
        <w:t>and activities</w:t>
      </w:r>
      <w:r w:rsidRPr="4DA829A6">
        <w:rPr>
          <w:rFonts w:eastAsia="Calibri" w:cs="Arial"/>
        </w:rPr>
        <w:t xml:space="preserve">. </w:t>
      </w:r>
    </w:p>
    <w:p w14:paraId="2AEF93C9" w14:textId="77777777" w:rsidR="00354EAD" w:rsidRPr="004430D5" w:rsidRDefault="00354EAD" w:rsidP="00354EAD">
      <w:pPr>
        <w:rPr>
          <w:b/>
        </w:rPr>
      </w:pPr>
      <w:r w:rsidRPr="00FC0786">
        <w:rPr>
          <w:b/>
        </w:rPr>
        <w:t>III. Proposal</w:t>
      </w:r>
    </w:p>
    <w:p w14:paraId="37D4C3F0" w14:textId="5F3B012E" w:rsidR="008D3F87" w:rsidRDefault="00354EAD" w:rsidP="00354EAD">
      <w:pPr>
        <w:pStyle w:val="ListParagraph"/>
        <w:numPr>
          <w:ilvl w:val="0"/>
          <w:numId w:val="45"/>
        </w:numPr>
        <w:autoSpaceDE w:val="0"/>
        <w:autoSpaceDN w:val="0"/>
        <w:adjustRightInd w:val="0"/>
        <w:spacing w:after="0" w:line="276" w:lineRule="auto"/>
      </w:pPr>
      <w:r w:rsidRPr="004430D5">
        <w:t xml:space="preserve">It is proposed that the fugitive emissions table in Schedule 1 of the Carbon Tax Act is updated to add the following activities and emissions factors for the relevant emission source categories based on the 2019 refinements to the 2006 Intergovernmental Panel on Climate Change Guidelines for National Greenhouse Gas Inventories. </w:t>
      </w:r>
    </w:p>
    <w:p w14:paraId="204A17EF" w14:textId="77777777" w:rsidR="008D3F87" w:rsidRDefault="008D3F87" w:rsidP="00354EAD">
      <w:pPr>
        <w:autoSpaceDE w:val="0"/>
        <w:autoSpaceDN w:val="0"/>
        <w:adjustRightInd w:val="0"/>
        <w:spacing w:after="0" w:line="276" w:lineRule="auto"/>
      </w:pPr>
    </w:p>
    <w:p w14:paraId="13779AF5" w14:textId="77777777" w:rsidR="00354EAD" w:rsidRDefault="6D387B70" w:rsidP="00354EAD">
      <w:pPr>
        <w:autoSpaceDE w:val="0"/>
        <w:autoSpaceDN w:val="0"/>
        <w:adjustRightInd w:val="0"/>
        <w:spacing w:after="0" w:line="276" w:lineRule="auto"/>
        <w:rPr>
          <w:b/>
          <w:bCs/>
          <w:lang w:val="en-GB"/>
        </w:rPr>
      </w:pPr>
      <w:r w:rsidRPr="5FEEF3AA">
        <w:rPr>
          <w:b/>
          <w:bCs/>
          <w:lang w:val="en-GB"/>
        </w:rPr>
        <w:t xml:space="preserve">Table 1: Proposed Changes to Schedule 1 Fugitive Emission Factors </w:t>
      </w:r>
    </w:p>
    <w:p w14:paraId="6E806013" w14:textId="77777777" w:rsidR="00354EAD" w:rsidRPr="004430D5" w:rsidRDefault="00354EAD" w:rsidP="00354EAD">
      <w:pPr>
        <w:autoSpaceDE w:val="0"/>
        <w:autoSpaceDN w:val="0"/>
        <w:adjustRightInd w:val="0"/>
        <w:spacing w:after="0" w:line="276" w:lineRule="auto"/>
        <w:rPr>
          <w:b/>
          <w:bCs/>
          <w:lang w:val="en-GB"/>
        </w:rPr>
      </w:pPr>
    </w:p>
    <w:tbl>
      <w:tblPr>
        <w:tblStyle w:val="TableGrid"/>
        <w:tblW w:w="0" w:type="auto"/>
        <w:tblLook w:val="04A0" w:firstRow="1" w:lastRow="0" w:firstColumn="1" w:lastColumn="0" w:noHBand="0" w:noVBand="1"/>
      </w:tblPr>
      <w:tblGrid>
        <w:gridCol w:w="1435"/>
        <w:gridCol w:w="4140"/>
        <w:gridCol w:w="990"/>
        <w:gridCol w:w="1256"/>
        <w:gridCol w:w="1260"/>
      </w:tblGrid>
      <w:tr w:rsidR="00354EAD" w:rsidRPr="004430D5" w14:paraId="6BEA81C2" w14:textId="77777777" w:rsidTr="4DA829A6">
        <w:tc>
          <w:tcPr>
            <w:tcW w:w="1435" w:type="dxa"/>
          </w:tcPr>
          <w:p w14:paraId="4DF2A626" w14:textId="77777777" w:rsidR="00354EAD" w:rsidRPr="004430D5" w:rsidRDefault="00354EAD">
            <w:pPr>
              <w:autoSpaceDE w:val="0"/>
              <w:autoSpaceDN w:val="0"/>
              <w:adjustRightInd w:val="0"/>
              <w:spacing w:after="0" w:line="276" w:lineRule="auto"/>
              <w:rPr>
                <w:b/>
                <w:bCs/>
              </w:rPr>
            </w:pPr>
            <w:r w:rsidRPr="004430D5">
              <w:rPr>
                <w:b/>
                <w:bCs/>
              </w:rPr>
              <w:t>IPCC CODE</w:t>
            </w:r>
          </w:p>
        </w:tc>
        <w:tc>
          <w:tcPr>
            <w:tcW w:w="4140" w:type="dxa"/>
          </w:tcPr>
          <w:p w14:paraId="70DCD359" w14:textId="77777777" w:rsidR="00354EAD" w:rsidRPr="004430D5" w:rsidRDefault="00354EAD">
            <w:pPr>
              <w:autoSpaceDE w:val="0"/>
              <w:autoSpaceDN w:val="0"/>
              <w:adjustRightInd w:val="0"/>
              <w:spacing w:after="0" w:line="276" w:lineRule="auto"/>
              <w:rPr>
                <w:b/>
                <w:bCs/>
              </w:rPr>
            </w:pPr>
            <w:r w:rsidRPr="004430D5">
              <w:rPr>
                <w:b/>
                <w:bCs/>
              </w:rPr>
              <w:t xml:space="preserve">SOURCE CATEGORY ACTIVITY </w:t>
            </w:r>
          </w:p>
        </w:tc>
        <w:tc>
          <w:tcPr>
            <w:tcW w:w="3420" w:type="dxa"/>
            <w:gridSpan w:val="3"/>
          </w:tcPr>
          <w:p w14:paraId="62A4EB7A" w14:textId="77777777" w:rsidR="00354EAD" w:rsidRPr="004430D5" w:rsidRDefault="00354EAD">
            <w:pPr>
              <w:autoSpaceDE w:val="0"/>
              <w:autoSpaceDN w:val="0"/>
              <w:adjustRightInd w:val="0"/>
              <w:spacing w:after="0" w:line="276" w:lineRule="auto"/>
              <w:rPr>
                <w:b/>
                <w:bCs/>
              </w:rPr>
            </w:pPr>
            <w:r w:rsidRPr="004430D5">
              <w:rPr>
                <w:b/>
                <w:bCs/>
              </w:rPr>
              <w:t xml:space="preserve">FUGITIVE EMISSION FACTORS </w:t>
            </w:r>
          </w:p>
        </w:tc>
      </w:tr>
      <w:tr w:rsidR="00354EAD" w:rsidRPr="004430D5" w14:paraId="6ADFA539" w14:textId="77777777" w:rsidTr="4DA829A6">
        <w:tc>
          <w:tcPr>
            <w:tcW w:w="1435" w:type="dxa"/>
          </w:tcPr>
          <w:p w14:paraId="1E80D289" w14:textId="77777777" w:rsidR="00354EAD" w:rsidRPr="004430D5" w:rsidRDefault="00354EAD">
            <w:pPr>
              <w:autoSpaceDE w:val="0"/>
              <w:autoSpaceDN w:val="0"/>
              <w:adjustRightInd w:val="0"/>
              <w:spacing w:after="0" w:line="276" w:lineRule="auto"/>
              <w:rPr>
                <w:b/>
                <w:bCs/>
              </w:rPr>
            </w:pPr>
          </w:p>
        </w:tc>
        <w:tc>
          <w:tcPr>
            <w:tcW w:w="4140" w:type="dxa"/>
          </w:tcPr>
          <w:p w14:paraId="4F198A57" w14:textId="77777777" w:rsidR="00354EAD" w:rsidRPr="004430D5" w:rsidRDefault="00354EAD">
            <w:pPr>
              <w:autoSpaceDE w:val="0"/>
              <w:autoSpaceDN w:val="0"/>
              <w:adjustRightInd w:val="0"/>
              <w:spacing w:after="0" w:line="276" w:lineRule="auto"/>
              <w:rPr>
                <w:b/>
                <w:bCs/>
              </w:rPr>
            </w:pPr>
          </w:p>
        </w:tc>
        <w:tc>
          <w:tcPr>
            <w:tcW w:w="990" w:type="dxa"/>
          </w:tcPr>
          <w:p w14:paraId="21DD0AC4" w14:textId="77777777" w:rsidR="00354EAD" w:rsidRPr="004430D5" w:rsidRDefault="00354EAD">
            <w:pPr>
              <w:autoSpaceDE w:val="0"/>
              <w:autoSpaceDN w:val="0"/>
              <w:adjustRightInd w:val="0"/>
              <w:spacing w:after="0" w:line="276" w:lineRule="auto"/>
              <w:rPr>
                <w:b/>
                <w:bCs/>
              </w:rPr>
            </w:pPr>
            <w:r w:rsidRPr="004430D5">
              <w:rPr>
                <w:b/>
                <w:bCs/>
              </w:rPr>
              <w:t>CO</w:t>
            </w:r>
            <w:r w:rsidRPr="004430D5">
              <w:rPr>
                <w:b/>
                <w:bCs/>
                <w:vertAlign w:val="subscript"/>
              </w:rPr>
              <w:t>2</w:t>
            </w:r>
          </w:p>
        </w:tc>
        <w:tc>
          <w:tcPr>
            <w:tcW w:w="1170" w:type="dxa"/>
          </w:tcPr>
          <w:p w14:paraId="37F2CEE8" w14:textId="77777777" w:rsidR="00354EAD" w:rsidRPr="004430D5" w:rsidRDefault="00354EAD">
            <w:pPr>
              <w:autoSpaceDE w:val="0"/>
              <w:autoSpaceDN w:val="0"/>
              <w:adjustRightInd w:val="0"/>
              <w:spacing w:after="0" w:line="276" w:lineRule="auto"/>
              <w:rPr>
                <w:b/>
                <w:bCs/>
              </w:rPr>
            </w:pPr>
            <w:r w:rsidRPr="004430D5">
              <w:rPr>
                <w:b/>
                <w:bCs/>
              </w:rPr>
              <w:t>CH</w:t>
            </w:r>
            <w:r w:rsidRPr="004430D5">
              <w:rPr>
                <w:b/>
                <w:bCs/>
                <w:vertAlign w:val="subscript"/>
              </w:rPr>
              <w:t>4</w:t>
            </w:r>
          </w:p>
        </w:tc>
        <w:tc>
          <w:tcPr>
            <w:tcW w:w="1260" w:type="dxa"/>
          </w:tcPr>
          <w:p w14:paraId="78F85B9E" w14:textId="77777777" w:rsidR="00354EAD" w:rsidRPr="004430D5" w:rsidRDefault="00354EAD">
            <w:pPr>
              <w:autoSpaceDE w:val="0"/>
              <w:autoSpaceDN w:val="0"/>
              <w:adjustRightInd w:val="0"/>
              <w:spacing w:after="0" w:line="276" w:lineRule="auto"/>
              <w:rPr>
                <w:b/>
                <w:bCs/>
              </w:rPr>
            </w:pPr>
            <w:r w:rsidRPr="004430D5">
              <w:rPr>
                <w:b/>
                <w:bCs/>
              </w:rPr>
              <w:t>N</w:t>
            </w:r>
            <w:r w:rsidRPr="004430D5">
              <w:rPr>
                <w:b/>
                <w:bCs/>
                <w:vertAlign w:val="subscript"/>
              </w:rPr>
              <w:t>2</w:t>
            </w:r>
            <w:r w:rsidRPr="004430D5">
              <w:rPr>
                <w:b/>
                <w:bCs/>
              </w:rPr>
              <w:t>O</w:t>
            </w:r>
          </w:p>
        </w:tc>
      </w:tr>
      <w:tr w:rsidR="00354EAD" w:rsidRPr="004430D5" w14:paraId="66A87D5E" w14:textId="77777777" w:rsidTr="4DA829A6">
        <w:tc>
          <w:tcPr>
            <w:tcW w:w="1435" w:type="dxa"/>
          </w:tcPr>
          <w:p w14:paraId="20D25A0B" w14:textId="77777777" w:rsidR="00354EAD" w:rsidRPr="004430D5" w:rsidRDefault="00354EAD">
            <w:pPr>
              <w:autoSpaceDE w:val="0"/>
              <w:autoSpaceDN w:val="0"/>
              <w:adjustRightInd w:val="0"/>
              <w:spacing w:after="0" w:line="276" w:lineRule="auto"/>
              <w:rPr>
                <w:b/>
                <w:bCs/>
              </w:rPr>
            </w:pPr>
            <w:r w:rsidRPr="004430D5">
              <w:rPr>
                <w:b/>
                <w:bCs/>
              </w:rPr>
              <w:t>1B1</w:t>
            </w:r>
          </w:p>
        </w:tc>
        <w:tc>
          <w:tcPr>
            <w:tcW w:w="4140" w:type="dxa"/>
          </w:tcPr>
          <w:p w14:paraId="40D525D9" w14:textId="77777777" w:rsidR="00354EAD" w:rsidRPr="004430D5" w:rsidRDefault="00354EAD">
            <w:pPr>
              <w:autoSpaceDE w:val="0"/>
              <w:autoSpaceDN w:val="0"/>
              <w:adjustRightInd w:val="0"/>
              <w:spacing w:after="0" w:line="276" w:lineRule="auto"/>
              <w:rPr>
                <w:b/>
                <w:bCs/>
              </w:rPr>
            </w:pPr>
            <w:r w:rsidRPr="004430D5">
              <w:rPr>
                <w:b/>
                <w:bCs/>
              </w:rPr>
              <w:t>Solid Fuels (M</w:t>
            </w:r>
            <w:r w:rsidRPr="004430D5">
              <w:rPr>
                <w:b/>
                <w:bCs/>
                <w:vertAlign w:val="superscript"/>
              </w:rPr>
              <w:t>3</w:t>
            </w:r>
            <w:r w:rsidRPr="004430D5">
              <w:rPr>
                <w:b/>
                <w:bCs/>
              </w:rPr>
              <w:t>/</w:t>
            </w:r>
            <w:proofErr w:type="spellStart"/>
            <w:r w:rsidRPr="004430D5">
              <w:rPr>
                <w:b/>
                <w:bCs/>
              </w:rPr>
              <w:t>tonne</w:t>
            </w:r>
            <w:proofErr w:type="spellEnd"/>
            <w:r w:rsidRPr="004430D5">
              <w:rPr>
                <w:b/>
                <w:bCs/>
              </w:rPr>
              <w:t xml:space="preserve">) </w:t>
            </w:r>
          </w:p>
        </w:tc>
        <w:tc>
          <w:tcPr>
            <w:tcW w:w="990" w:type="dxa"/>
          </w:tcPr>
          <w:p w14:paraId="4C19C51B" w14:textId="77777777" w:rsidR="00354EAD" w:rsidRPr="004430D5" w:rsidRDefault="00354EAD">
            <w:pPr>
              <w:autoSpaceDE w:val="0"/>
              <w:autoSpaceDN w:val="0"/>
              <w:adjustRightInd w:val="0"/>
              <w:spacing w:after="0" w:line="276" w:lineRule="auto"/>
              <w:rPr>
                <w:b/>
                <w:bCs/>
              </w:rPr>
            </w:pPr>
          </w:p>
        </w:tc>
        <w:tc>
          <w:tcPr>
            <w:tcW w:w="1170" w:type="dxa"/>
          </w:tcPr>
          <w:p w14:paraId="13AB7D65" w14:textId="77777777" w:rsidR="00354EAD" w:rsidRPr="004430D5" w:rsidRDefault="00354EAD">
            <w:pPr>
              <w:autoSpaceDE w:val="0"/>
              <w:autoSpaceDN w:val="0"/>
              <w:adjustRightInd w:val="0"/>
              <w:spacing w:after="0" w:line="276" w:lineRule="auto"/>
              <w:rPr>
                <w:b/>
                <w:bCs/>
              </w:rPr>
            </w:pPr>
          </w:p>
        </w:tc>
        <w:tc>
          <w:tcPr>
            <w:tcW w:w="1260" w:type="dxa"/>
          </w:tcPr>
          <w:p w14:paraId="34F64457" w14:textId="77777777" w:rsidR="00354EAD" w:rsidRPr="004430D5" w:rsidRDefault="00354EAD">
            <w:pPr>
              <w:autoSpaceDE w:val="0"/>
              <w:autoSpaceDN w:val="0"/>
              <w:adjustRightInd w:val="0"/>
              <w:spacing w:after="0" w:line="276" w:lineRule="auto"/>
              <w:rPr>
                <w:b/>
                <w:bCs/>
              </w:rPr>
            </w:pPr>
          </w:p>
        </w:tc>
      </w:tr>
      <w:tr w:rsidR="00354EAD" w:rsidRPr="004430D5" w14:paraId="1433D17A" w14:textId="77777777" w:rsidTr="4DA829A6">
        <w:tc>
          <w:tcPr>
            <w:tcW w:w="1435" w:type="dxa"/>
            <w:shd w:val="clear" w:color="auto" w:fill="auto"/>
          </w:tcPr>
          <w:p w14:paraId="68DE6F17" w14:textId="77777777" w:rsidR="00354EAD" w:rsidRPr="004430D5" w:rsidRDefault="00354EAD">
            <w:pPr>
              <w:autoSpaceDE w:val="0"/>
              <w:autoSpaceDN w:val="0"/>
              <w:adjustRightInd w:val="0"/>
              <w:spacing w:after="0" w:line="276" w:lineRule="auto"/>
            </w:pPr>
            <w:r w:rsidRPr="004430D5">
              <w:t>1B1cii</w:t>
            </w:r>
          </w:p>
        </w:tc>
        <w:tc>
          <w:tcPr>
            <w:tcW w:w="4140" w:type="dxa"/>
            <w:shd w:val="clear" w:color="auto" w:fill="auto"/>
          </w:tcPr>
          <w:p w14:paraId="3858AD6F" w14:textId="77777777" w:rsidR="00354EAD" w:rsidRPr="004430D5" w:rsidRDefault="00354EAD">
            <w:pPr>
              <w:autoSpaceDE w:val="0"/>
              <w:autoSpaceDN w:val="0"/>
              <w:adjustRightInd w:val="0"/>
              <w:spacing w:after="0" w:line="276" w:lineRule="auto"/>
            </w:pPr>
            <w:r w:rsidRPr="004430D5">
              <w:t>Charcoal production (per charcoal produced (</w:t>
            </w:r>
            <w:proofErr w:type="spellStart"/>
            <w:r w:rsidRPr="004430D5">
              <w:t>tonne</w:t>
            </w:r>
            <w:proofErr w:type="spellEnd"/>
            <w:r w:rsidRPr="004430D5">
              <w:t xml:space="preserve"> GHG/</w:t>
            </w:r>
            <w:proofErr w:type="spellStart"/>
            <w:r w:rsidRPr="004430D5">
              <w:t>tonne</w:t>
            </w:r>
            <w:proofErr w:type="spellEnd"/>
            <w:r w:rsidRPr="004430D5">
              <w:t xml:space="preserve"> charcoal </w:t>
            </w:r>
          </w:p>
        </w:tc>
        <w:tc>
          <w:tcPr>
            <w:tcW w:w="990" w:type="dxa"/>
            <w:shd w:val="clear" w:color="auto" w:fill="auto"/>
          </w:tcPr>
          <w:p w14:paraId="3D023A44" w14:textId="77777777" w:rsidR="00354EAD" w:rsidRPr="004430D5" w:rsidRDefault="00354EAD">
            <w:pPr>
              <w:autoSpaceDE w:val="0"/>
              <w:autoSpaceDN w:val="0"/>
              <w:adjustRightInd w:val="0"/>
              <w:spacing w:after="0" w:line="276" w:lineRule="auto"/>
            </w:pPr>
            <w:r w:rsidRPr="004430D5">
              <w:t xml:space="preserve">0 </w:t>
            </w:r>
          </w:p>
          <w:p w14:paraId="19820C5C" w14:textId="77777777" w:rsidR="00354EAD" w:rsidRPr="004430D5" w:rsidRDefault="00354EAD">
            <w:pPr>
              <w:autoSpaceDE w:val="0"/>
              <w:autoSpaceDN w:val="0"/>
              <w:adjustRightInd w:val="0"/>
              <w:spacing w:after="0" w:line="276" w:lineRule="auto"/>
            </w:pPr>
          </w:p>
        </w:tc>
        <w:tc>
          <w:tcPr>
            <w:tcW w:w="1170" w:type="dxa"/>
            <w:shd w:val="clear" w:color="auto" w:fill="auto"/>
          </w:tcPr>
          <w:p w14:paraId="2D20EE1B" w14:textId="77777777" w:rsidR="00354EAD" w:rsidRPr="004430D5" w:rsidRDefault="00354EAD">
            <w:pPr>
              <w:autoSpaceDE w:val="0"/>
              <w:autoSpaceDN w:val="0"/>
              <w:adjustRightInd w:val="0"/>
              <w:spacing w:after="0" w:line="276" w:lineRule="auto"/>
            </w:pPr>
            <w:r w:rsidRPr="004430D5">
              <w:t>0.0000403</w:t>
            </w:r>
          </w:p>
          <w:p w14:paraId="635B3CA0" w14:textId="77777777" w:rsidR="00354EAD" w:rsidRPr="004430D5" w:rsidRDefault="00354EAD">
            <w:pPr>
              <w:autoSpaceDE w:val="0"/>
              <w:autoSpaceDN w:val="0"/>
              <w:adjustRightInd w:val="0"/>
              <w:spacing w:after="0" w:line="276" w:lineRule="auto"/>
            </w:pPr>
          </w:p>
        </w:tc>
        <w:tc>
          <w:tcPr>
            <w:tcW w:w="1260" w:type="dxa"/>
            <w:shd w:val="clear" w:color="auto" w:fill="auto"/>
          </w:tcPr>
          <w:p w14:paraId="3E31B685" w14:textId="77777777" w:rsidR="00354EAD" w:rsidRPr="004430D5" w:rsidRDefault="00354EAD">
            <w:pPr>
              <w:autoSpaceDE w:val="0"/>
              <w:autoSpaceDN w:val="0"/>
              <w:adjustRightInd w:val="0"/>
              <w:spacing w:after="0" w:line="276" w:lineRule="auto"/>
            </w:pPr>
            <w:r w:rsidRPr="004430D5">
              <w:t>8*10</w:t>
            </w:r>
            <w:r w:rsidRPr="004430D5">
              <w:rPr>
                <w:vertAlign w:val="superscript"/>
              </w:rPr>
              <w:t xml:space="preserve">-8 </w:t>
            </w:r>
          </w:p>
        </w:tc>
      </w:tr>
      <w:tr w:rsidR="00354EAD" w:rsidRPr="004430D5" w14:paraId="2375A367" w14:textId="77777777" w:rsidTr="4DA829A6">
        <w:tc>
          <w:tcPr>
            <w:tcW w:w="1435" w:type="dxa"/>
          </w:tcPr>
          <w:p w14:paraId="22F801E6" w14:textId="77777777" w:rsidR="00354EAD" w:rsidRPr="004430D5" w:rsidRDefault="00354EAD">
            <w:pPr>
              <w:autoSpaceDE w:val="0"/>
              <w:autoSpaceDN w:val="0"/>
              <w:adjustRightInd w:val="0"/>
              <w:spacing w:after="0" w:line="276" w:lineRule="auto"/>
            </w:pPr>
            <w:r w:rsidRPr="004430D5">
              <w:t>1B1Ciii</w:t>
            </w:r>
          </w:p>
        </w:tc>
        <w:tc>
          <w:tcPr>
            <w:tcW w:w="4140" w:type="dxa"/>
          </w:tcPr>
          <w:p w14:paraId="1F6DA076" w14:textId="77777777" w:rsidR="00354EAD" w:rsidRPr="004430D5" w:rsidRDefault="00354EAD">
            <w:pPr>
              <w:autoSpaceDE w:val="0"/>
              <w:autoSpaceDN w:val="0"/>
              <w:adjustRightInd w:val="0"/>
              <w:spacing w:after="0" w:line="276" w:lineRule="auto"/>
            </w:pPr>
            <w:r w:rsidRPr="004430D5">
              <w:t>Biochar production (per biochar produced) (</w:t>
            </w:r>
            <w:proofErr w:type="spellStart"/>
            <w:r w:rsidRPr="004430D5">
              <w:t>tonne</w:t>
            </w:r>
            <w:proofErr w:type="spellEnd"/>
            <w:r w:rsidRPr="004430D5">
              <w:t xml:space="preserve"> GHG/</w:t>
            </w:r>
            <w:proofErr w:type="spellStart"/>
            <w:r w:rsidRPr="004430D5">
              <w:t>tonne</w:t>
            </w:r>
            <w:proofErr w:type="spellEnd"/>
            <w:r w:rsidRPr="004430D5">
              <w:t xml:space="preserve"> biochar)</w:t>
            </w:r>
          </w:p>
        </w:tc>
        <w:tc>
          <w:tcPr>
            <w:tcW w:w="990" w:type="dxa"/>
          </w:tcPr>
          <w:p w14:paraId="4BB1826B" w14:textId="77777777" w:rsidR="00354EAD" w:rsidRPr="004430D5" w:rsidRDefault="00354EAD">
            <w:pPr>
              <w:autoSpaceDE w:val="0"/>
              <w:autoSpaceDN w:val="0"/>
              <w:adjustRightInd w:val="0"/>
              <w:spacing w:after="0" w:line="276" w:lineRule="auto"/>
            </w:pPr>
            <w:r w:rsidRPr="004430D5">
              <w:t xml:space="preserve">0 </w:t>
            </w:r>
          </w:p>
          <w:p w14:paraId="73E51B82" w14:textId="77777777" w:rsidR="00354EAD" w:rsidRPr="004430D5" w:rsidRDefault="00354EAD">
            <w:pPr>
              <w:autoSpaceDE w:val="0"/>
              <w:autoSpaceDN w:val="0"/>
              <w:adjustRightInd w:val="0"/>
              <w:spacing w:after="0" w:line="276" w:lineRule="auto"/>
            </w:pPr>
          </w:p>
          <w:p w14:paraId="375D45DC" w14:textId="77777777" w:rsidR="00354EAD" w:rsidRPr="004430D5" w:rsidRDefault="00354EAD">
            <w:pPr>
              <w:autoSpaceDE w:val="0"/>
              <w:autoSpaceDN w:val="0"/>
              <w:adjustRightInd w:val="0"/>
              <w:spacing w:after="0" w:line="276" w:lineRule="auto"/>
            </w:pPr>
          </w:p>
        </w:tc>
        <w:tc>
          <w:tcPr>
            <w:tcW w:w="1170" w:type="dxa"/>
          </w:tcPr>
          <w:p w14:paraId="104DD7AD" w14:textId="77777777" w:rsidR="00354EAD" w:rsidRPr="004430D5" w:rsidRDefault="00354EAD">
            <w:pPr>
              <w:autoSpaceDE w:val="0"/>
              <w:autoSpaceDN w:val="0"/>
              <w:adjustRightInd w:val="0"/>
              <w:spacing w:after="0" w:line="276" w:lineRule="auto"/>
            </w:pPr>
            <w:r w:rsidRPr="004430D5">
              <w:t>0.00003</w:t>
            </w:r>
          </w:p>
          <w:p w14:paraId="1557B7A8" w14:textId="77777777" w:rsidR="00354EAD" w:rsidRPr="004430D5" w:rsidRDefault="00354EAD">
            <w:pPr>
              <w:autoSpaceDE w:val="0"/>
              <w:autoSpaceDN w:val="0"/>
              <w:adjustRightInd w:val="0"/>
              <w:spacing w:after="0" w:line="276" w:lineRule="auto"/>
            </w:pPr>
          </w:p>
        </w:tc>
        <w:tc>
          <w:tcPr>
            <w:tcW w:w="1260" w:type="dxa"/>
          </w:tcPr>
          <w:p w14:paraId="612D5729" w14:textId="77777777" w:rsidR="00354EAD" w:rsidRPr="004430D5" w:rsidRDefault="00354EAD">
            <w:pPr>
              <w:autoSpaceDE w:val="0"/>
              <w:autoSpaceDN w:val="0"/>
              <w:adjustRightInd w:val="0"/>
              <w:spacing w:after="0" w:line="276" w:lineRule="auto"/>
            </w:pPr>
            <w:r w:rsidRPr="004430D5">
              <w:t>ND</w:t>
            </w:r>
          </w:p>
        </w:tc>
      </w:tr>
      <w:tr w:rsidR="00354EAD" w:rsidRPr="004430D5" w14:paraId="5837A9FA" w14:textId="77777777" w:rsidTr="4DA829A6">
        <w:tc>
          <w:tcPr>
            <w:tcW w:w="1435" w:type="dxa"/>
          </w:tcPr>
          <w:p w14:paraId="730A6248" w14:textId="77777777" w:rsidR="00354EAD" w:rsidRPr="004430D5" w:rsidRDefault="00354EAD">
            <w:pPr>
              <w:autoSpaceDE w:val="0"/>
              <w:autoSpaceDN w:val="0"/>
              <w:adjustRightInd w:val="0"/>
              <w:spacing w:after="0" w:line="276" w:lineRule="auto"/>
            </w:pPr>
            <w:r w:rsidRPr="004430D5">
              <w:t>1B1ci</w:t>
            </w:r>
          </w:p>
        </w:tc>
        <w:tc>
          <w:tcPr>
            <w:tcW w:w="4140" w:type="dxa"/>
          </w:tcPr>
          <w:p w14:paraId="70696960" w14:textId="77777777" w:rsidR="00354EAD" w:rsidRPr="004430D5" w:rsidRDefault="00354EAD">
            <w:pPr>
              <w:autoSpaceDE w:val="0"/>
              <w:autoSpaceDN w:val="0"/>
              <w:adjustRightInd w:val="0"/>
              <w:spacing w:after="0" w:line="276" w:lineRule="auto"/>
            </w:pPr>
            <w:r w:rsidRPr="004430D5">
              <w:t>Coke production (per coke produced) (</w:t>
            </w:r>
            <w:proofErr w:type="spellStart"/>
            <w:r w:rsidRPr="004430D5">
              <w:t>tonne</w:t>
            </w:r>
            <w:proofErr w:type="spellEnd"/>
            <w:r w:rsidRPr="004430D5">
              <w:t xml:space="preserve"> GHG/</w:t>
            </w:r>
            <w:proofErr w:type="spellStart"/>
            <w:r w:rsidRPr="004430D5">
              <w:t>tonne</w:t>
            </w:r>
            <w:proofErr w:type="spellEnd"/>
            <w:r w:rsidRPr="004430D5">
              <w:t xml:space="preserve"> coke) </w:t>
            </w:r>
          </w:p>
        </w:tc>
        <w:tc>
          <w:tcPr>
            <w:tcW w:w="990" w:type="dxa"/>
          </w:tcPr>
          <w:p w14:paraId="16FC8695" w14:textId="77777777" w:rsidR="00354EAD" w:rsidRPr="004430D5" w:rsidRDefault="00354EAD">
            <w:pPr>
              <w:autoSpaceDE w:val="0"/>
              <w:autoSpaceDN w:val="0"/>
              <w:adjustRightInd w:val="0"/>
              <w:spacing w:after="0" w:line="276" w:lineRule="auto"/>
            </w:pPr>
            <w:r w:rsidRPr="004430D5">
              <w:t>ND</w:t>
            </w:r>
          </w:p>
        </w:tc>
        <w:tc>
          <w:tcPr>
            <w:tcW w:w="1170" w:type="dxa"/>
          </w:tcPr>
          <w:p w14:paraId="70C3BB99" w14:textId="77777777" w:rsidR="00354EAD" w:rsidRPr="004430D5" w:rsidRDefault="00354EAD">
            <w:pPr>
              <w:autoSpaceDE w:val="0"/>
              <w:autoSpaceDN w:val="0"/>
              <w:adjustRightInd w:val="0"/>
              <w:spacing w:after="0" w:line="276" w:lineRule="auto"/>
            </w:pPr>
            <w:r w:rsidRPr="004430D5">
              <w:t>4.9*10</w:t>
            </w:r>
            <w:r w:rsidRPr="004430D5">
              <w:rPr>
                <w:vertAlign w:val="superscript"/>
              </w:rPr>
              <w:t xml:space="preserve">-8 </w:t>
            </w:r>
          </w:p>
        </w:tc>
        <w:tc>
          <w:tcPr>
            <w:tcW w:w="1260" w:type="dxa"/>
          </w:tcPr>
          <w:p w14:paraId="2000C2A3" w14:textId="77777777" w:rsidR="00354EAD" w:rsidRPr="004430D5" w:rsidRDefault="00354EAD">
            <w:pPr>
              <w:autoSpaceDE w:val="0"/>
              <w:autoSpaceDN w:val="0"/>
              <w:adjustRightInd w:val="0"/>
              <w:spacing w:after="0" w:line="276" w:lineRule="auto"/>
            </w:pPr>
            <w:r w:rsidRPr="004430D5">
              <w:t>ND</w:t>
            </w:r>
          </w:p>
        </w:tc>
      </w:tr>
      <w:tr w:rsidR="00354EAD" w:rsidRPr="004430D5" w14:paraId="7571F2E8" w14:textId="77777777" w:rsidTr="4DA829A6">
        <w:tc>
          <w:tcPr>
            <w:tcW w:w="1435" w:type="dxa"/>
          </w:tcPr>
          <w:p w14:paraId="6A80AF96" w14:textId="77777777" w:rsidR="00354EAD" w:rsidRPr="004430D5" w:rsidRDefault="00354EAD">
            <w:pPr>
              <w:autoSpaceDE w:val="0"/>
              <w:autoSpaceDN w:val="0"/>
              <w:adjustRightInd w:val="0"/>
              <w:spacing w:after="0" w:line="276" w:lineRule="auto"/>
              <w:rPr>
                <w:b/>
                <w:bCs/>
              </w:rPr>
            </w:pPr>
            <w:r w:rsidRPr="004430D5">
              <w:rPr>
                <w:b/>
                <w:bCs/>
              </w:rPr>
              <w:t>1B1civ</w:t>
            </w:r>
          </w:p>
        </w:tc>
        <w:tc>
          <w:tcPr>
            <w:tcW w:w="4140" w:type="dxa"/>
          </w:tcPr>
          <w:p w14:paraId="65DD108A" w14:textId="77777777" w:rsidR="00354EAD" w:rsidRPr="004430D5" w:rsidRDefault="00354EAD">
            <w:pPr>
              <w:autoSpaceDE w:val="0"/>
              <w:autoSpaceDN w:val="0"/>
              <w:adjustRightInd w:val="0"/>
              <w:spacing w:after="0" w:line="276" w:lineRule="auto"/>
              <w:rPr>
                <w:b/>
                <w:bCs/>
              </w:rPr>
            </w:pPr>
            <w:r w:rsidRPr="004430D5">
              <w:rPr>
                <w:b/>
                <w:bCs/>
              </w:rPr>
              <w:t>Coal to liquids (</w:t>
            </w:r>
            <w:proofErr w:type="spellStart"/>
            <w:r w:rsidRPr="004430D5">
              <w:rPr>
                <w:b/>
                <w:bCs/>
              </w:rPr>
              <w:t>tonne</w:t>
            </w:r>
            <w:proofErr w:type="spellEnd"/>
            <w:r w:rsidRPr="004430D5">
              <w:rPr>
                <w:b/>
                <w:bCs/>
              </w:rPr>
              <w:t xml:space="preserve"> GHG/TJ total output)</w:t>
            </w:r>
          </w:p>
        </w:tc>
        <w:tc>
          <w:tcPr>
            <w:tcW w:w="990" w:type="dxa"/>
          </w:tcPr>
          <w:p w14:paraId="6CD0726B" w14:textId="77777777" w:rsidR="00354EAD" w:rsidRPr="004430D5" w:rsidRDefault="00354EAD">
            <w:pPr>
              <w:autoSpaceDE w:val="0"/>
              <w:autoSpaceDN w:val="0"/>
              <w:adjustRightInd w:val="0"/>
              <w:spacing w:after="0" w:line="276" w:lineRule="auto"/>
              <w:rPr>
                <w:b/>
                <w:bCs/>
              </w:rPr>
            </w:pPr>
          </w:p>
        </w:tc>
        <w:tc>
          <w:tcPr>
            <w:tcW w:w="1170" w:type="dxa"/>
          </w:tcPr>
          <w:p w14:paraId="13C26F7B" w14:textId="77777777" w:rsidR="00354EAD" w:rsidRPr="004430D5" w:rsidRDefault="00354EAD">
            <w:pPr>
              <w:autoSpaceDE w:val="0"/>
              <w:autoSpaceDN w:val="0"/>
              <w:adjustRightInd w:val="0"/>
              <w:spacing w:after="0" w:line="276" w:lineRule="auto"/>
              <w:rPr>
                <w:b/>
                <w:bCs/>
              </w:rPr>
            </w:pPr>
          </w:p>
        </w:tc>
        <w:tc>
          <w:tcPr>
            <w:tcW w:w="1260" w:type="dxa"/>
          </w:tcPr>
          <w:p w14:paraId="253B77DC" w14:textId="77777777" w:rsidR="00354EAD" w:rsidRPr="004430D5" w:rsidRDefault="00354EAD">
            <w:pPr>
              <w:autoSpaceDE w:val="0"/>
              <w:autoSpaceDN w:val="0"/>
              <w:adjustRightInd w:val="0"/>
              <w:spacing w:after="0" w:line="276" w:lineRule="auto"/>
              <w:rPr>
                <w:b/>
                <w:bCs/>
              </w:rPr>
            </w:pPr>
          </w:p>
        </w:tc>
      </w:tr>
      <w:tr w:rsidR="00354EAD" w:rsidRPr="004430D5" w14:paraId="7B50793D" w14:textId="77777777" w:rsidTr="4DA829A6">
        <w:tc>
          <w:tcPr>
            <w:tcW w:w="1435" w:type="dxa"/>
          </w:tcPr>
          <w:p w14:paraId="2F80B321" w14:textId="77777777" w:rsidR="00354EAD" w:rsidRPr="004430D5" w:rsidRDefault="00354EAD">
            <w:pPr>
              <w:autoSpaceDE w:val="0"/>
              <w:autoSpaceDN w:val="0"/>
              <w:adjustRightInd w:val="0"/>
              <w:spacing w:after="0" w:line="276" w:lineRule="auto"/>
            </w:pPr>
            <w:r w:rsidRPr="004430D5">
              <w:t>1B1civ</w:t>
            </w:r>
          </w:p>
        </w:tc>
        <w:tc>
          <w:tcPr>
            <w:tcW w:w="4140" w:type="dxa"/>
          </w:tcPr>
          <w:p w14:paraId="7764D4C6" w14:textId="77777777" w:rsidR="00354EAD" w:rsidRPr="004430D5" w:rsidRDefault="00354EAD">
            <w:pPr>
              <w:autoSpaceDE w:val="0"/>
              <w:autoSpaceDN w:val="0"/>
              <w:adjustRightInd w:val="0"/>
              <w:spacing w:after="0" w:line="276" w:lineRule="auto"/>
            </w:pPr>
            <w:r w:rsidRPr="004430D5">
              <w:t>Coal to liquids – syngas</w:t>
            </w:r>
          </w:p>
        </w:tc>
        <w:tc>
          <w:tcPr>
            <w:tcW w:w="990" w:type="dxa"/>
          </w:tcPr>
          <w:p w14:paraId="72439D52" w14:textId="77777777" w:rsidR="00354EAD" w:rsidRPr="004430D5" w:rsidRDefault="00354EAD">
            <w:pPr>
              <w:autoSpaceDE w:val="0"/>
              <w:autoSpaceDN w:val="0"/>
              <w:adjustRightInd w:val="0"/>
              <w:spacing w:after="0" w:line="276" w:lineRule="auto"/>
            </w:pPr>
            <w:r w:rsidRPr="004430D5">
              <w:t>55</w:t>
            </w:r>
          </w:p>
        </w:tc>
        <w:tc>
          <w:tcPr>
            <w:tcW w:w="1170" w:type="dxa"/>
          </w:tcPr>
          <w:p w14:paraId="26F75A7C" w14:textId="77777777" w:rsidR="00354EAD" w:rsidRPr="004430D5" w:rsidRDefault="00354EAD">
            <w:pPr>
              <w:autoSpaceDE w:val="0"/>
              <w:autoSpaceDN w:val="0"/>
              <w:adjustRightInd w:val="0"/>
              <w:spacing w:after="0" w:line="276" w:lineRule="auto"/>
            </w:pPr>
            <w:r w:rsidRPr="004430D5">
              <w:t>0.0061</w:t>
            </w:r>
          </w:p>
        </w:tc>
        <w:tc>
          <w:tcPr>
            <w:tcW w:w="1260" w:type="dxa"/>
          </w:tcPr>
          <w:p w14:paraId="7A571F16" w14:textId="77777777" w:rsidR="00354EAD" w:rsidRPr="004430D5" w:rsidRDefault="00354EAD">
            <w:pPr>
              <w:autoSpaceDE w:val="0"/>
              <w:autoSpaceDN w:val="0"/>
              <w:adjustRightInd w:val="0"/>
              <w:spacing w:after="0" w:line="276" w:lineRule="auto"/>
            </w:pPr>
            <w:r w:rsidRPr="004430D5">
              <w:t>0</w:t>
            </w:r>
          </w:p>
        </w:tc>
      </w:tr>
      <w:tr w:rsidR="00354EAD" w:rsidRPr="004430D5" w14:paraId="20B1140E" w14:textId="77777777" w:rsidTr="4DA829A6">
        <w:tc>
          <w:tcPr>
            <w:tcW w:w="1435" w:type="dxa"/>
          </w:tcPr>
          <w:p w14:paraId="594808E1" w14:textId="77777777" w:rsidR="00354EAD" w:rsidRPr="004430D5" w:rsidRDefault="00354EAD">
            <w:pPr>
              <w:autoSpaceDE w:val="0"/>
              <w:autoSpaceDN w:val="0"/>
              <w:adjustRightInd w:val="0"/>
              <w:spacing w:after="0" w:line="276" w:lineRule="auto"/>
            </w:pPr>
            <w:r w:rsidRPr="004430D5">
              <w:t>1B1civ</w:t>
            </w:r>
          </w:p>
        </w:tc>
        <w:tc>
          <w:tcPr>
            <w:tcW w:w="4140" w:type="dxa"/>
          </w:tcPr>
          <w:p w14:paraId="3B8972FC" w14:textId="77777777" w:rsidR="00354EAD" w:rsidRPr="004430D5" w:rsidRDefault="00354EAD">
            <w:pPr>
              <w:autoSpaceDE w:val="0"/>
              <w:autoSpaceDN w:val="0"/>
              <w:adjustRightInd w:val="0"/>
              <w:spacing w:after="0" w:line="276" w:lineRule="auto"/>
            </w:pPr>
            <w:r w:rsidRPr="004430D5">
              <w:t>Coal to liquids – syngas H</w:t>
            </w:r>
            <w:r w:rsidRPr="004430D5">
              <w:rPr>
                <w:vertAlign w:val="subscript"/>
              </w:rPr>
              <w:t>2</w:t>
            </w:r>
          </w:p>
        </w:tc>
        <w:tc>
          <w:tcPr>
            <w:tcW w:w="990" w:type="dxa"/>
          </w:tcPr>
          <w:p w14:paraId="230CFFD2" w14:textId="77777777" w:rsidR="00354EAD" w:rsidRPr="004430D5" w:rsidRDefault="00354EAD">
            <w:pPr>
              <w:autoSpaceDE w:val="0"/>
              <w:autoSpaceDN w:val="0"/>
              <w:adjustRightInd w:val="0"/>
              <w:spacing w:after="0" w:line="276" w:lineRule="auto"/>
            </w:pPr>
            <w:r w:rsidRPr="004430D5">
              <w:t>55</w:t>
            </w:r>
          </w:p>
        </w:tc>
        <w:tc>
          <w:tcPr>
            <w:tcW w:w="1170" w:type="dxa"/>
          </w:tcPr>
          <w:p w14:paraId="44BEDFB3" w14:textId="77777777" w:rsidR="00354EAD" w:rsidRPr="004430D5" w:rsidRDefault="00354EAD">
            <w:pPr>
              <w:autoSpaceDE w:val="0"/>
              <w:autoSpaceDN w:val="0"/>
              <w:adjustRightInd w:val="0"/>
              <w:spacing w:after="0" w:line="276" w:lineRule="auto"/>
            </w:pPr>
            <w:r w:rsidRPr="004430D5">
              <w:t>0.0061</w:t>
            </w:r>
          </w:p>
        </w:tc>
        <w:tc>
          <w:tcPr>
            <w:tcW w:w="1260" w:type="dxa"/>
          </w:tcPr>
          <w:p w14:paraId="6998A9A5" w14:textId="77777777" w:rsidR="00354EAD" w:rsidRPr="004430D5" w:rsidRDefault="00354EAD">
            <w:pPr>
              <w:autoSpaceDE w:val="0"/>
              <w:autoSpaceDN w:val="0"/>
              <w:adjustRightInd w:val="0"/>
              <w:spacing w:after="0" w:line="276" w:lineRule="auto"/>
            </w:pPr>
            <w:r w:rsidRPr="004430D5">
              <w:t>0</w:t>
            </w:r>
          </w:p>
        </w:tc>
      </w:tr>
      <w:tr w:rsidR="00354EAD" w:rsidRPr="004430D5" w14:paraId="48A70C00" w14:textId="77777777" w:rsidTr="4DA829A6">
        <w:tc>
          <w:tcPr>
            <w:tcW w:w="1435" w:type="dxa"/>
          </w:tcPr>
          <w:p w14:paraId="445B3341" w14:textId="77777777" w:rsidR="00354EAD" w:rsidRPr="004430D5" w:rsidRDefault="00354EAD">
            <w:pPr>
              <w:autoSpaceDE w:val="0"/>
              <w:autoSpaceDN w:val="0"/>
              <w:adjustRightInd w:val="0"/>
              <w:spacing w:after="0" w:line="276" w:lineRule="auto"/>
            </w:pPr>
            <w:r w:rsidRPr="004430D5">
              <w:t>1B1civ</w:t>
            </w:r>
          </w:p>
        </w:tc>
        <w:tc>
          <w:tcPr>
            <w:tcW w:w="4140" w:type="dxa"/>
          </w:tcPr>
          <w:p w14:paraId="79CA1A1A" w14:textId="77777777" w:rsidR="00354EAD" w:rsidRPr="004430D5" w:rsidRDefault="00354EAD">
            <w:pPr>
              <w:autoSpaceDE w:val="0"/>
              <w:autoSpaceDN w:val="0"/>
              <w:adjustRightInd w:val="0"/>
              <w:spacing w:after="0" w:line="276" w:lineRule="auto"/>
            </w:pPr>
            <w:r w:rsidRPr="004430D5">
              <w:t xml:space="preserve">Coal to liquids – SNG (synthetic natural gas) </w:t>
            </w:r>
          </w:p>
        </w:tc>
        <w:tc>
          <w:tcPr>
            <w:tcW w:w="990" w:type="dxa"/>
          </w:tcPr>
          <w:p w14:paraId="59586150" w14:textId="77777777" w:rsidR="00354EAD" w:rsidRPr="004430D5" w:rsidRDefault="00354EAD">
            <w:pPr>
              <w:autoSpaceDE w:val="0"/>
              <w:autoSpaceDN w:val="0"/>
              <w:adjustRightInd w:val="0"/>
              <w:spacing w:after="0" w:line="276" w:lineRule="auto"/>
            </w:pPr>
            <w:r w:rsidRPr="004430D5">
              <w:t>78</w:t>
            </w:r>
          </w:p>
        </w:tc>
        <w:tc>
          <w:tcPr>
            <w:tcW w:w="1170" w:type="dxa"/>
          </w:tcPr>
          <w:p w14:paraId="2E9A1C4B" w14:textId="77777777" w:rsidR="00354EAD" w:rsidRPr="004430D5" w:rsidRDefault="00354EAD">
            <w:pPr>
              <w:autoSpaceDE w:val="0"/>
              <w:autoSpaceDN w:val="0"/>
              <w:adjustRightInd w:val="0"/>
              <w:spacing w:after="0" w:line="276" w:lineRule="auto"/>
            </w:pPr>
            <w:r w:rsidRPr="004430D5">
              <w:t>0.0061</w:t>
            </w:r>
          </w:p>
        </w:tc>
        <w:tc>
          <w:tcPr>
            <w:tcW w:w="1260" w:type="dxa"/>
          </w:tcPr>
          <w:p w14:paraId="693C481A" w14:textId="77777777" w:rsidR="00354EAD" w:rsidRPr="004430D5" w:rsidRDefault="00354EAD">
            <w:pPr>
              <w:autoSpaceDE w:val="0"/>
              <w:autoSpaceDN w:val="0"/>
              <w:adjustRightInd w:val="0"/>
              <w:spacing w:after="0" w:line="276" w:lineRule="auto"/>
            </w:pPr>
            <w:r w:rsidRPr="004430D5">
              <w:t>0</w:t>
            </w:r>
          </w:p>
        </w:tc>
      </w:tr>
      <w:tr w:rsidR="00354EAD" w:rsidRPr="004430D5" w14:paraId="4AAFBA0F" w14:textId="77777777" w:rsidTr="4DA829A6">
        <w:tc>
          <w:tcPr>
            <w:tcW w:w="1435" w:type="dxa"/>
          </w:tcPr>
          <w:p w14:paraId="4B842DD2" w14:textId="77777777" w:rsidR="00354EAD" w:rsidRPr="004430D5" w:rsidRDefault="00354EAD">
            <w:pPr>
              <w:autoSpaceDE w:val="0"/>
              <w:autoSpaceDN w:val="0"/>
              <w:adjustRightInd w:val="0"/>
              <w:spacing w:after="0" w:line="276" w:lineRule="auto"/>
            </w:pPr>
            <w:r w:rsidRPr="004430D5">
              <w:t>1B1civ</w:t>
            </w:r>
          </w:p>
        </w:tc>
        <w:tc>
          <w:tcPr>
            <w:tcW w:w="4140" w:type="dxa"/>
          </w:tcPr>
          <w:p w14:paraId="28DEB89E" w14:textId="77777777" w:rsidR="00354EAD" w:rsidRPr="004430D5" w:rsidRDefault="00354EAD">
            <w:pPr>
              <w:autoSpaceDE w:val="0"/>
              <w:autoSpaceDN w:val="0"/>
              <w:adjustRightInd w:val="0"/>
              <w:spacing w:after="0" w:line="276" w:lineRule="auto"/>
            </w:pPr>
            <w:r w:rsidRPr="004430D5">
              <w:t>Gas to liquids (</w:t>
            </w:r>
            <w:proofErr w:type="spellStart"/>
            <w:r w:rsidRPr="004430D5">
              <w:t>tonne</w:t>
            </w:r>
            <w:proofErr w:type="spellEnd"/>
            <w:r w:rsidRPr="004430D5">
              <w:t xml:space="preserve"> GHG/TJ natural gas input)</w:t>
            </w:r>
          </w:p>
        </w:tc>
        <w:tc>
          <w:tcPr>
            <w:tcW w:w="990" w:type="dxa"/>
          </w:tcPr>
          <w:p w14:paraId="035D4B63" w14:textId="77777777" w:rsidR="00354EAD" w:rsidRPr="004430D5" w:rsidRDefault="00354EAD">
            <w:pPr>
              <w:autoSpaceDE w:val="0"/>
              <w:autoSpaceDN w:val="0"/>
              <w:adjustRightInd w:val="0"/>
              <w:spacing w:after="0" w:line="276" w:lineRule="auto"/>
            </w:pPr>
            <w:r w:rsidRPr="004430D5">
              <w:t>12.73</w:t>
            </w:r>
          </w:p>
        </w:tc>
        <w:tc>
          <w:tcPr>
            <w:tcW w:w="1170" w:type="dxa"/>
          </w:tcPr>
          <w:p w14:paraId="2D21BB1B" w14:textId="77777777" w:rsidR="00354EAD" w:rsidRPr="004430D5" w:rsidRDefault="00354EAD">
            <w:pPr>
              <w:autoSpaceDE w:val="0"/>
              <w:autoSpaceDN w:val="0"/>
              <w:adjustRightInd w:val="0"/>
              <w:spacing w:after="0" w:line="276" w:lineRule="auto"/>
            </w:pPr>
            <w:r w:rsidRPr="004430D5">
              <w:t>ND</w:t>
            </w:r>
          </w:p>
        </w:tc>
        <w:tc>
          <w:tcPr>
            <w:tcW w:w="1260" w:type="dxa"/>
          </w:tcPr>
          <w:p w14:paraId="0213BFBF" w14:textId="77777777" w:rsidR="00354EAD" w:rsidRPr="004430D5" w:rsidRDefault="00354EAD">
            <w:pPr>
              <w:autoSpaceDE w:val="0"/>
              <w:autoSpaceDN w:val="0"/>
              <w:adjustRightInd w:val="0"/>
              <w:spacing w:after="0" w:line="276" w:lineRule="auto"/>
            </w:pPr>
            <w:r w:rsidRPr="004430D5">
              <w:t>ND</w:t>
            </w:r>
          </w:p>
        </w:tc>
      </w:tr>
      <w:tr w:rsidR="00354EAD" w:rsidRPr="004430D5" w14:paraId="31FCA9C3" w14:textId="77777777" w:rsidTr="4DA829A6">
        <w:tc>
          <w:tcPr>
            <w:tcW w:w="1435" w:type="dxa"/>
          </w:tcPr>
          <w:p w14:paraId="5281A9B7" w14:textId="77777777" w:rsidR="00354EAD" w:rsidRPr="004430D5" w:rsidRDefault="00354EAD">
            <w:pPr>
              <w:autoSpaceDE w:val="0"/>
              <w:autoSpaceDN w:val="0"/>
              <w:adjustRightInd w:val="0"/>
              <w:spacing w:after="0" w:line="276" w:lineRule="auto"/>
              <w:rPr>
                <w:b/>
                <w:bCs/>
              </w:rPr>
            </w:pPr>
          </w:p>
        </w:tc>
        <w:tc>
          <w:tcPr>
            <w:tcW w:w="4140" w:type="dxa"/>
          </w:tcPr>
          <w:p w14:paraId="5358C146" w14:textId="77777777" w:rsidR="00354EAD" w:rsidRPr="004430D5" w:rsidRDefault="00354EAD">
            <w:pPr>
              <w:autoSpaceDE w:val="0"/>
              <w:autoSpaceDN w:val="0"/>
              <w:adjustRightInd w:val="0"/>
              <w:spacing w:after="0" w:line="276" w:lineRule="auto"/>
              <w:rPr>
                <w:b/>
                <w:bCs/>
              </w:rPr>
            </w:pPr>
            <w:r w:rsidRPr="004430D5">
              <w:rPr>
                <w:b/>
                <w:bCs/>
              </w:rPr>
              <w:t>Oil transport (</w:t>
            </w:r>
            <w:proofErr w:type="spellStart"/>
            <w:r w:rsidRPr="004430D5">
              <w:rPr>
                <w:b/>
                <w:bCs/>
              </w:rPr>
              <w:t>tonne</w:t>
            </w:r>
            <w:proofErr w:type="spellEnd"/>
            <w:r w:rsidRPr="004430D5">
              <w:rPr>
                <w:b/>
                <w:bCs/>
              </w:rPr>
              <w:t>/10</w:t>
            </w:r>
            <w:r w:rsidRPr="004430D5">
              <w:rPr>
                <w:b/>
                <w:bCs/>
                <w:vertAlign w:val="superscript"/>
              </w:rPr>
              <w:t>3</w:t>
            </w:r>
            <w:r w:rsidRPr="004430D5">
              <w:rPr>
                <w:b/>
                <w:bCs/>
              </w:rPr>
              <w:t>M</w:t>
            </w:r>
            <w:r w:rsidRPr="004430D5">
              <w:rPr>
                <w:b/>
                <w:bCs/>
                <w:vertAlign w:val="superscript"/>
              </w:rPr>
              <w:t>3</w:t>
            </w:r>
            <w:r w:rsidRPr="004430D5">
              <w:rPr>
                <w:b/>
                <w:bCs/>
              </w:rPr>
              <w:t xml:space="preserve"> oil loaded onto tanker ships) </w:t>
            </w:r>
          </w:p>
        </w:tc>
        <w:tc>
          <w:tcPr>
            <w:tcW w:w="990" w:type="dxa"/>
          </w:tcPr>
          <w:p w14:paraId="0EFB7492" w14:textId="77777777" w:rsidR="00354EAD" w:rsidRPr="004430D5" w:rsidRDefault="00354EAD">
            <w:pPr>
              <w:autoSpaceDE w:val="0"/>
              <w:autoSpaceDN w:val="0"/>
              <w:adjustRightInd w:val="0"/>
              <w:spacing w:after="0" w:line="276" w:lineRule="auto"/>
              <w:rPr>
                <w:b/>
                <w:bCs/>
              </w:rPr>
            </w:pPr>
          </w:p>
        </w:tc>
        <w:tc>
          <w:tcPr>
            <w:tcW w:w="1170" w:type="dxa"/>
          </w:tcPr>
          <w:p w14:paraId="5FB3CC38" w14:textId="77777777" w:rsidR="00354EAD" w:rsidRPr="004430D5" w:rsidRDefault="00354EAD">
            <w:pPr>
              <w:autoSpaceDE w:val="0"/>
              <w:autoSpaceDN w:val="0"/>
              <w:adjustRightInd w:val="0"/>
              <w:spacing w:after="0" w:line="276" w:lineRule="auto"/>
              <w:rPr>
                <w:b/>
                <w:bCs/>
              </w:rPr>
            </w:pPr>
          </w:p>
        </w:tc>
        <w:tc>
          <w:tcPr>
            <w:tcW w:w="1260" w:type="dxa"/>
          </w:tcPr>
          <w:p w14:paraId="0FAE6F9E" w14:textId="77777777" w:rsidR="00354EAD" w:rsidRPr="004430D5" w:rsidRDefault="00354EAD">
            <w:pPr>
              <w:autoSpaceDE w:val="0"/>
              <w:autoSpaceDN w:val="0"/>
              <w:adjustRightInd w:val="0"/>
              <w:spacing w:after="0" w:line="276" w:lineRule="auto"/>
              <w:rPr>
                <w:b/>
                <w:bCs/>
              </w:rPr>
            </w:pPr>
          </w:p>
        </w:tc>
      </w:tr>
      <w:tr w:rsidR="00354EAD" w:rsidRPr="004430D5" w14:paraId="29E8DE2A" w14:textId="77777777" w:rsidTr="4DA829A6">
        <w:tc>
          <w:tcPr>
            <w:tcW w:w="1435" w:type="dxa"/>
            <w:shd w:val="clear" w:color="auto" w:fill="auto"/>
          </w:tcPr>
          <w:p w14:paraId="45095B81" w14:textId="77777777" w:rsidR="00354EAD" w:rsidRPr="004430D5" w:rsidRDefault="00354EAD">
            <w:pPr>
              <w:autoSpaceDE w:val="0"/>
              <w:autoSpaceDN w:val="0"/>
              <w:adjustRightInd w:val="0"/>
              <w:spacing w:after="0" w:line="276" w:lineRule="auto"/>
            </w:pPr>
            <w:r w:rsidRPr="004430D5">
              <w:t>1B2ai</w:t>
            </w:r>
          </w:p>
        </w:tc>
        <w:tc>
          <w:tcPr>
            <w:tcW w:w="4140" w:type="dxa"/>
            <w:shd w:val="clear" w:color="auto" w:fill="auto"/>
          </w:tcPr>
          <w:p w14:paraId="4105739A" w14:textId="77777777" w:rsidR="00354EAD" w:rsidRPr="004430D5" w:rsidRDefault="00354EAD">
            <w:pPr>
              <w:autoSpaceDE w:val="0"/>
              <w:autoSpaceDN w:val="0"/>
              <w:adjustRightInd w:val="0"/>
              <w:spacing w:after="0" w:line="276" w:lineRule="auto"/>
            </w:pPr>
            <w:r w:rsidRPr="004430D5">
              <w:t>Loading offshore production on tanker ships – without VRU – All</w:t>
            </w:r>
          </w:p>
        </w:tc>
        <w:tc>
          <w:tcPr>
            <w:tcW w:w="990" w:type="dxa"/>
            <w:shd w:val="clear" w:color="auto" w:fill="auto"/>
          </w:tcPr>
          <w:p w14:paraId="0930B5C3" w14:textId="77777777" w:rsidR="00354EAD" w:rsidRPr="004430D5" w:rsidRDefault="00354EAD">
            <w:pPr>
              <w:autoSpaceDE w:val="0"/>
              <w:autoSpaceDN w:val="0"/>
              <w:adjustRightInd w:val="0"/>
              <w:spacing w:after="0" w:line="276" w:lineRule="auto"/>
            </w:pPr>
            <w:r w:rsidRPr="004430D5">
              <w:t>ND</w:t>
            </w:r>
          </w:p>
        </w:tc>
        <w:tc>
          <w:tcPr>
            <w:tcW w:w="1170" w:type="dxa"/>
            <w:shd w:val="clear" w:color="auto" w:fill="auto"/>
          </w:tcPr>
          <w:p w14:paraId="2CB9B303" w14:textId="77777777" w:rsidR="00354EAD" w:rsidRPr="004430D5" w:rsidRDefault="00354EAD">
            <w:pPr>
              <w:autoSpaceDE w:val="0"/>
              <w:autoSpaceDN w:val="0"/>
              <w:adjustRightInd w:val="0"/>
              <w:spacing w:after="0" w:line="276" w:lineRule="auto"/>
            </w:pPr>
            <w:r w:rsidRPr="004430D5">
              <w:t>0.065</w:t>
            </w:r>
          </w:p>
        </w:tc>
        <w:tc>
          <w:tcPr>
            <w:tcW w:w="1260" w:type="dxa"/>
            <w:shd w:val="clear" w:color="auto" w:fill="auto"/>
          </w:tcPr>
          <w:p w14:paraId="6B154444" w14:textId="77777777" w:rsidR="00354EAD" w:rsidRPr="004430D5" w:rsidRDefault="00354EAD">
            <w:pPr>
              <w:autoSpaceDE w:val="0"/>
              <w:autoSpaceDN w:val="0"/>
              <w:adjustRightInd w:val="0"/>
              <w:spacing w:after="0" w:line="276" w:lineRule="auto"/>
            </w:pPr>
            <w:r w:rsidRPr="004430D5">
              <w:t>ND</w:t>
            </w:r>
          </w:p>
        </w:tc>
      </w:tr>
      <w:tr w:rsidR="00354EAD" w:rsidRPr="004430D5" w14:paraId="4D3657A6" w14:textId="77777777" w:rsidTr="4DA829A6">
        <w:tc>
          <w:tcPr>
            <w:tcW w:w="1435" w:type="dxa"/>
            <w:shd w:val="clear" w:color="auto" w:fill="auto"/>
          </w:tcPr>
          <w:p w14:paraId="659FB5AA" w14:textId="77777777" w:rsidR="00354EAD" w:rsidRPr="004430D5" w:rsidRDefault="00354EAD">
            <w:pPr>
              <w:autoSpaceDE w:val="0"/>
              <w:autoSpaceDN w:val="0"/>
              <w:adjustRightInd w:val="0"/>
              <w:spacing w:after="0" w:line="276" w:lineRule="auto"/>
            </w:pPr>
            <w:r w:rsidRPr="004430D5">
              <w:t>1B2ai</w:t>
            </w:r>
          </w:p>
        </w:tc>
        <w:tc>
          <w:tcPr>
            <w:tcW w:w="4140" w:type="dxa"/>
            <w:shd w:val="clear" w:color="auto" w:fill="auto"/>
          </w:tcPr>
          <w:p w14:paraId="3B0934BE" w14:textId="77777777" w:rsidR="00354EAD" w:rsidRPr="004430D5" w:rsidRDefault="00354EAD">
            <w:pPr>
              <w:autoSpaceDE w:val="0"/>
              <w:autoSpaceDN w:val="0"/>
              <w:adjustRightInd w:val="0"/>
              <w:spacing w:after="0" w:line="276" w:lineRule="auto"/>
            </w:pPr>
            <w:r w:rsidRPr="004430D5">
              <w:t>Loading offshore production on tanker ships – with VRU – All</w:t>
            </w:r>
          </w:p>
        </w:tc>
        <w:tc>
          <w:tcPr>
            <w:tcW w:w="990" w:type="dxa"/>
            <w:shd w:val="clear" w:color="auto" w:fill="auto"/>
          </w:tcPr>
          <w:p w14:paraId="6B392BC5" w14:textId="77777777" w:rsidR="00354EAD" w:rsidRPr="004430D5" w:rsidRDefault="00354EAD">
            <w:pPr>
              <w:autoSpaceDE w:val="0"/>
              <w:autoSpaceDN w:val="0"/>
              <w:adjustRightInd w:val="0"/>
              <w:spacing w:after="0" w:line="276" w:lineRule="auto"/>
            </w:pPr>
            <w:r w:rsidRPr="004430D5">
              <w:t>ND</w:t>
            </w:r>
          </w:p>
        </w:tc>
        <w:tc>
          <w:tcPr>
            <w:tcW w:w="1170" w:type="dxa"/>
            <w:shd w:val="clear" w:color="auto" w:fill="auto"/>
          </w:tcPr>
          <w:p w14:paraId="0B51211A" w14:textId="77777777" w:rsidR="00354EAD" w:rsidRPr="004430D5" w:rsidRDefault="00354EAD">
            <w:pPr>
              <w:autoSpaceDE w:val="0"/>
              <w:autoSpaceDN w:val="0"/>
              <w:adjustRightInd w:val="0"/>
              <w:spacing w:after="0" w:line="276" w:lineRule="auto"/>
            </w:pPr>
            <w:r w:rsidRPr="004430D5">
              <w:t>0.040</w:t>
            </w:r>
          </w:p>
        </w:tc>
        <w:tc>
          <w:tcPr>
            <w:tcW w:w="1260" w:type="dxa"/>
            <w:shd w:val="clear" w:color="auto" w:fill="auto"/>
          </w:tcPr>
          <w:p w14:paraId="426F91BA" w14:textId="77777777" w:rsidR="00354EAD" w:rsidRPr="004430D5" w:rsidRDefault="00354EAD">
            <w:pPr>
              <w:autoSpaceDE w:val="0"/>
              <w:autoSpaceDN w:val="0"/>
              <w:adjustRightInd w:val="0"/>
              <w:spacing w:after="0" w:line="276" w:lineRule="auto"/>
            </w:pPr>
            <w:r w:rsidRPr="004430D5">
              <w:t>ND</w:t>
            </w:r>
          </w:p>
        </w:tc>
      </w:tr>
      <w:tr w:rsidR="00354EAD" w:rsidRPr="004430D5" w14:paraId="12ED7A13" w14:textId="77777777" w:rsidTr="4DA829A6">
        <w:tc>
          <w:tcPr>
            <w:tcW w:w="1435" w:type="dxa"/>
          </w:tcPr>
          <w:p w14:paraId="38CD554B" w14:textId="77777777" w:rsidR="00354EAD" w:rsidRPr="004430D5" w:rsidRDefault="00354EAD">
            <w:pPr>
              <w:autoSpaceDE w:val="0"/>
              <w:autoSpaceDN w:val="0"/>
              <w:adjustRightInd w:val="0"/>
              <w:spacing w:after="0" w:line="276" w:lineRule="auto"/>
            </w:pPr>
            <w:r w:rsidRPr="004430D5">
              <w:t>1B2a</w:t>
            </w:r>
          </w:p>
        </w:tc>
        <w:tc>
          <w:tcPr>
            <w:tcW w:w="4140" w:type="dxa"/>
          </w:tcPr>
          <w:p w14:paraId="384DFDDB" w14:textId="77777777" w:rsidR="00354EAD" w:rsidRPr="004430D5" w:rsidRDefault="00354EAD">
            <w:pPr>
              <w:autoSpaceDE w:val="0"/>
              <w:autoSpaceDN w:val="0"/>
              <w:adjustRightInd w:val="0"/>
              <w:spacing w:after="0" w:line="276" w:lineRule="auto"/>
            </w:pPr>
            <w:r w:rsidRPr="4DA829A6">
              <w:rPr>
                <w:lang w:val="en-ZA"/>
              </w:rPr>
              <w:t>Oil refining (tonne/10</w:t>
            </w:r>
            <w:r w:rsidRPr="4DA829A6">
              <w:rPr>
                <w:vertAlign w:val="superscript"/>
                <w:lang w:val="en-ZA"/>
              </w:rPr>
              <w:t>3</w:t>
            </w:r>
            <w:r w:rsidRPr="4DA829A6">
              <w:rPr>
                <w:lang w:val="en-ZA"/>
              </w:rPr>
              <w:t>M</w:t>
            </w:r>
            <w:r w:rsidRPr="4DA829A6">
              <w:rPr>
                <w:vertAlign w:val="superscript"/>
                <w:lang w:val="en-ZA"/>
              </w:rPr>
              <w:t xml:space="preserve">3 </w:t>
            </w:r>
            <w:r w:rsidRPr="4DA829A6">
              <w:rPr>
                <w:lang w:val="en-ZA"/>
              </w:rPr>
              <w:t xml:space="preserve"> oil refined) </w:t>
            </w:r>
          </w:p>
        </w:tc>
        <w:tc>
          <w:tcPr>
            <w:tcW w:w="990" w:type="dxa"/>
          </w:tcPr>
          <w:p w14:paraId="23108BB5" w14:textId="77777777" w:rsidR="00354EAD" w:rsidRPr="004430D5" w:rsidRDefault="00354EAD">
            <w:pPr>
              <w:autoSpaceDE w:val="0"/>
              <w:autoSpaceDN w:val="0"/>
              <w:adjustRightInd w:val="0"/>
              <w:spacing w:after="0" w:line="276" w:lineRule="auto"/>
            </w:pPr>
          </w:p>
        </w:tc>
        <w:tc>
          <w:tcPr>
            <w:tcW w:w="1170" w:type="dxa"/>
          </w:tcPr>
          <w:p w14:paraId="4CCC6DBA" w14:textId="77777777" w:rsidR="00354EAD" w:rsidRPr="004430D5" w:rsidRDefault="00354EAD">
            <w:pPr>
              <w:autoSpaceDE w:val="0"/>
              <w:autoSpaceDN w:val="0"/>
              <w:adjustRightInd w:val="0"/>
              <w:spacing w:after="0" w:line="276" w:lineRule="auto"/>
            </w:pPr>
          </w:p>
        </w:tc>
        <w:tc>
          <w:tcPr>
            <w:tcW w:w="1260" w:type="dxa"/>
          </w:tcPr>
          <w:p w14:paraId="599A63A4" w14:textId="77777777" w:rsidR="00354EAD" w:rsidRPr="004430D5" w:rsidRDefault="00354EAD">
            <w:pPr>
              <w:autoSpaceDE w:val="0"/>
              <w:autoSpaceDN w:val="0"/>
              <w:adjustRightInd w:val="0"/>
              <w:spacing w:after="0" w:line="276" w:lineRule="auto"/>
            </w:pPr>
          </w:p>
        </w:tc>
      </w:tr>
      <w:tr w:rsidR="00354EAD" w:rsidRPr="004430D5" w14:paraId="41E4F62A" w14:textId="77777777" w:rsidTr="4DA829A6">
        <w:tc>
          <w:tcPr>
            <w:tcW w:w="1435" w:type="dxa"/>
            <w:shd w:val="clear" w:color="auto" w:fill="auto"/>
          </w:tcPr>
          <w:p w14:paraId="3B70E92B" w14:textId="77777777" w:rsidR="00354EAD" w:rsidRPr="004430D5" w:rsidRDefault="00354EAD">
            <w:pPr>
              <w:autoSpaceDE w:val="0"/>
              <w:autoSpaceDN w:val="0"/>
              <w:adjustRightInd w:val="0"/>
              <w:spacing w:after="0" w:line="276" w:lineRule="auto"/>
            </w:pPr>
            <w:r w:rsidRPr="004430D5">
              <w:t>1B2aiii4</w:t>
            </w:r>
          </w:p>
        </w:tc>
        <w:tc>
          <w:tcPr>
            <w:tcW w:w="4140" w:type="dxa"/>
            <w:shd w:val="clear" w:color="auto" w:fill="auto"/>
          </w:tcPr>
          <w:p w14:paraId="75ADEE49" w14:textId="77777777" w:rsidR="00354EAD" w:rsidRPr="004430D5" w:rsidRDefault="00354EAD">
            <w:pPr>
              <w:autoSpaceDE w:val="0"/>
              <w:autoSpaceDN w:val="0"/>
              <w:adjustRightInd w:val="0"/>
              <w:spacing w:after="0" w:line="276" w:lineRule="auto"/>
            </w:pPr>
            <w:r w:rsidRPr="4DA829A6">
              <w:rPr>
                <w:lang w:val="en-ZA"/>
              </w:rPr>
              <w:t xml:space="preserve">All (the factors include fugitive equipment leaks, flaring, storage of crude oil, handling and calcination) </w:t>
            </w:r>
          </w:p>
          <w:p w14:paraId="2C9B544A" w14:textId="77777777" w:rsidR="00354EAD" w:rsidRPr="004430D5" w:rsidRDefault="00354EAD">
            <w:pPr>
              <w:autoSpaceDE w:val="0"/>
              <w:autoSpaceDN w:val="0"/>
              <w:adjustRightInd w:val="0"/>
              <w:spacing w:after="0" w:line="276" w:lineRule="auto"/>
            </w:pPr>
          </w:p>
        </w:tc>
        <w:tc>
          <w:tcPr>
            <w:tcW w:w="990" w:type="dxa"/>
            <w:shd w:val="clear" w:color="auto" w:fill="auto"/>
          </w:tcPr>
          <w:p w14:paraId="5DFD78C4" w14:textId="77777777" w:rsidR="00354EAD" w:rsidRPr="004430D5" w:rsidRDefault="00354EAD">
            <w:pPr>
              <w:autoSpaceDE w:val="0"/>
              <w:autoSpaceDN w:val="0"/>
              <w:adjustRightInd w:val="0"/>
              <w:spacing w:after="0" w:line="276" w:lineRule="auto"/>
            </w:pPr>
            <w:r w:rsidRPr="004430D5">
              <w:t>5.85</w:t>
            </w:r>
          </w:p>
        </w:tc>
        <w:tc>
          <w:tcPr>
            <w:tcW w:w="1170" w:type="dxa"/>
            <w:shd w:val="clear" w:color="auto" w:fill="auto"/>
          </w:tcPr>
          <w:p w14:paraId="600EE7E5" w14:textId="77777777" w:rsidR="00354EAD" w:rsidRPr="004430D5" w:rsidRDefault="00354EAD">
            <w:pPr>
              <w:autoSpaceDE w:val="0"/>
              <w:autoSpaceDN w:val="0"/>
              <w:adjustRightInd w:val="0"/>
              <w:spacing w:after="0" w:line="276" w:lineRule="auto"/>
            </w:pPr>
            <w:r w:rsidRPr="004430D5">
              <w:t>2.6*10</w:t>
            </w:r>
            <w:r w:rsidRPr="004430D5">
              <w:rPr>
                <w:vertAlign w:val="superscript"/>
              </w:rPr>
              <w:t xml:space="preserve">-6 </w:t>
            </w:r>
            <w:r w:rsidRPr="004430D5">
              <w:t>to 4.1*10</w:t>
            </w:r>
            <w:r w:rsidRPr="004430D5">
              <w:rPr>
                <w:vertAlign w:val="superscript"/>
              </w:rPr>
              <w:t>-5</w:t>
            </w:r>
            <w:r w:rsidRPr="004430D5">
              <w:t xml:space="preserve"> </w:t>
            </w:r>
          </w:p>
        </w:tc>
        <w:tc>
          <w:tcPr>
            <w:tcW w:w="1260" w:type="dxa"/>
            <w:shd w:val="clear" w:color="auto" w:fill="auto"/>
          </w:tcPr>
          <w:p w14:paraId="36E31D39" w14:textId="77777777" w:rsidR="00354EAD" w:rsidRPr="004430D5" w:rsidRDefault="00354EAD">
            <w:pPr>
              <w:autoSpaceDE w:val="0"/>
              <w:autoSpaceDN w:val="0"/>
              <w:adjustRightInd w:val="0"/>
              <w:spacing w:after="0" w:line="276" w:lineRule="auto"/>
            </w:pPr>
            <w:r w:rsidRPr="004430D5">
              <w:t>8.77*10</w:t>
            </w:r>
            <w:r w:rsidRPr="004430D5">
              <w:rPr>
                <w:vertAlign w:val="superscript"/>
              </w:rPr>
              <w:t>-5</w:t>
            </w:r>
          </w:p>
        </w:tc>
      </w:tr>
    </w:tbl>
    <w:p w14:paraId="4DCEE5A3" w14:textId="77777777" w:rsidR="004D5114" w:rsidRDefault="004D5114" w:rsidP="00354EAD">
      <w:pPr>
        <w:rPr>
          <w:b/>
        </w:rPr>
      </w:pPr>
    </w:p>
    <w:p w14:paraId="53BF7DFF" w14:textId="77777777" w:rsidR="009C59F4" w:rsidRDefault="009C59F4" w:rsidP="009C59F4">
      <w:pPr>
        <w:pStyle w:val="ListParagraph"/>
        <w:numPr>
          <w:ilvl w:val="0"/>
          <w:numId w:val="45"/>
        </w:numPr>
        <w:autoSpaceDE w:val="0"/>
        <w:autoSpaceDN w:val="0"/>
        <w:adjustRightInd w:val="0"/>
        <w:spacing w:after="0" w:line="276" w:lineRule="auto"/>
      </w:pPr>
      <w:r w:rsidRPr="009C59F4">
        <w:t xml:space="preserve">To provide further clarification on the inclusion of new fugitive emissions activities, it is proposed that Schedule 2 of the Carbon Tax Act is amended to insert new activities in relation to IPCC code for 1B1civ: Coal to Liquids and Gas to Liquids. Schedule 2 contains fugitive emissions activities, and the allowances related to the activities. The insertion of the Coal to Liquids and Gas to Liquids activities will give clarity to taxpayers on the allowances that are applicable to these activities.  </w:t>
      </w:r>
    </w:p>
    <w:p w14:paraId="5BD20B3F" w14:textId="77777777" w:rsidR="00190CB6" w:rsidRDefault="00190CB6" w:rsidP="00155FA9">
      <w:pPr>
        <w:autoSpaceDE w:val="0"/>
        <w:autoSpaceDN w:val="0"/>
        <w:adjustRightInd w:val="0"/>
        <w:spacing w:after="0" w:line="276" w:lineRule="auto"/>
      </w:pPr>
    </w:p>
    <w:p w14:paraId="2D7CABEC" w14:textId="77777777" w:rsidR="00190CB6" w:rsidRPr="00190CB6" w:rsidRDefault="00190CB6" w:rsidP="00155FA9">
      <w:pPr>
        <w:autoSpaceDE w:val="0"/>
        <w:autoSpaceDN w:val="0"/>
        <w:adjustRightInd w:val="0"/>
        <w:spacing w:after="0" w:line="276" w:lineRule="auto"/>
        <w:rPr>
          <w:b/>
          <w:bCs/>
          <w:lang w:val="en-GB"/>
        </w:rPr>
      </w:pPr>
      <w:r w:rsidRPr="00190CB6">
        <w:rPr>
          <w:b/>
          <w:bCs/>
          <w:lang w:val="en-GB"/>
        </w:rPr>
        <w:t xml:space="preserve">Table 2: Proposed changes to Schedule 2 Fugitive Emissions Activities </w:t>
      </w:r>
    </w:p>
    <w:p w14:paraId="41A3EE45" w14:textId="77777777" w:rsidR="00190CB6" w:rsidRDefault="00190CB6" w:rsidP="00190CB6">
      <w:pPr>
        <w:autoSpaceDE w:val="0"/>
        <w:autoSpaceDN w:val="0"/>
        <w:adjustRightInd w:val="0"/>
        <w:spacing w:after="0" w:line="276" w:lineRule="auto"/>
        <w:ind w:left="360"/>
      </w:pPr>
    </w:p>
    <w:tbl>
      <w:tblPr>
        <w:tblStyle w:val="TableGrid"/>
        <w:tblW w:w="9789" w:type="dxa"/>
        <w:tblLook w:val="04A0" w:firstRow="1" w:lastRow="0" w:firstColumn="1" w:lastColumn="0" w:noHBand="0" w:noVBand="1"/>
      </w:tblPr>
      <w:tblGrid>
        <w:gridCol w:w="912"/>
        <w:gridCol w:w="1746"/>
        <w:gridCol w:w="706"/>
        <w:gridCol w:w="800"/>
        <w:gridCol w:w="767"/>
        <w:gridCol w:w="800"/>
        <w:gridCol w:w="800"/>
        <w:gridCol w:w="900"/>
        <w:gridCol w:w="756"/>
        <w:gridCol w:w="756"/>
        <w:gridCol w:w="846"/>
      </w:tblGrid>
      <w:tr w:rsidR="00D4261C" w:rsidRPr="00D4261C" w14:paraId="3157132B" w14:textId="77777777" w:rsidTr="00155FA9">
        <w:trPr>
          <w:trHeight w:val="700"/>
        </w:trPr>
        <w:tc>
          <w:tcPr>
            <w:tcW w:w="915" w:type="dxa"/>
          </w:tcPr>
          <w:p w14:paraId="44A22AF6" w14:textId="77777777" w:rsidR="00D4261C" w:rsidRPr="00D4261C" w:rsidRDefault="00D4261C" w:rsidP="00D4261C">
            <w:pPr>
              <w:spacing w:line="360" w:lineRule="auto"/>
              <w:rPr>
                <w:rFonts w:eastAsia="Calibri"/>
              </w:rPr>
            </w:pPr>
            <w:r w:rsidRPr="00D4261C">
              <w:rPr>
                <w:rFonts w:eastAsia="Calibri"/>
              </w:rPr>
              <w:t>1B1civ</w:t>
            </w:r>
          </w:p>
        </w:tc>
        <w:tc>
          <w:tcPr>
            <w:tcW w:w="1774" w:type="dxa"/>
          </w:tcPr>
          <w:p w14:paraId="1C56FA55" w14:textId="79EC5729" w:rsidR="00D4261C" w:rsidRPr="00D4261C" w:rsidRDefault="00D4261C" w:rsidP="00461B01">
            <w:pPr>
              <w:autoSpaceDE w:val="0"/>
              <w:autoSpaceDN w:val="0"/>
              <w:adjustRightInd w:val="0"/>
              <w:spacing w:after="0" w:line="276" w:lineRule="auto"/>
              <w:rPr>
                <w:rFonts w:eastAsia="Calibri"/>
              </w:rPr>
            </w:pPr>
            <w:r w:rsidRPr="00D4261C">
              <w:t>Coal</w:t>
            </w:r>
            <w:r w:rsidR="00461B01">
              <w:t xml:space="preserve"> </w:t>
            </w:r>
            <w:r w:rsidRPr="00D4261C">
              <w:t>to liquids</w:t>
            </w:r>
          </w:p>
        </w:tc>
        <w:tc>
          <w:tcPr>
            <w:tcW w:w="457" w:type="dxa"/>
          </w:tcPr>
          <w:p w14:paraId="4FCE55FC" w14:textId="77777777" w:rsidR="00D4261C" w:rsidRPr="00D4261C" w:rsidRDefault="00D4261C" w:rsidP="00D4261C">
            <w:pPr>
              <w:spacing w:line="360" w:lineRule="auto"/>
              <w:rPr>
                <w:rFonts w:eastAsia="Calibri"/>
              </w:rPr>
            </w:pPr>
          </w:p>
        </w:tc>
        <w:tc>
          <w:tcPr>
            <w:tcW w:w="823" w:type="dxa"/>
          </w:tcPr>
          <w:p w14:paraId="39C58CD9" w14:textId="77777777" w:rsidR="00D4261C" w:rsidRPr="00D4261C" w:rsidRDefault="00D4261C" w:rsidP="00D4261C">
            <w:pPr>
              <w:spacing w:line="360" w:lineRule="auto"/>
              <w:rPr>
                <w:rFonts w:eastAsia="Calibri"/>
              </w:rPr>
            </w:pPr>
          </w:p>
        </w:tc>
        <w:tc>
          <w:tcPr>
            <w:tcW w:w="796" w:type="dxa"/>
          </w:tcPr>
          <w:p w14:paraId="6AB934AD" w14:textId="77777777" w:rsidR="00D4261C" w:rsidRPr="00D4261C" w:rsidRDefault="00D4261C" w:rsidP="00D4261C">
            <w:pPr>
              <w:spacing w:line="360" w:lineRule="auto"/>
              <w:rPr>
                <w:rFonts w:eastAsia="Calibri"/>
              </w:rPr>
            </w:pPr>
          </w:p>
        </w:tc>
        <w:tc>
          <w:tcPr>
            <w:tcW w:w="823" w:type="dxa"/>
          </w:tcPr>
          <w:p w14:paraId="5E26B480" w14:textId="77777777" w:rsidR="00D4261C" w:rsidRPr="00D4261C" w:rsidRDefault="00D4261C" w:rsidP="00D4261C">
            <w:pPr>
              <w:spacing w:line="360" w:lineRule="auto"/>
              <w:rPr>
                <w:rFonts w:eastAsia="Calibri"/>
              </w:rPr>
            </w:pPr>
          </w:p>
        </w:tc>
        <w:tc>
          <w:tcPr>
            <w:tcW w:w="823" w:type="dxa"/>
          </w:tcPr>
          <w:p w14:paraId="0DE782AC" w14:textId="77777777" w:rsidR="00D4261C" w:rsidRPr="00D4261C" w:rsidRDefault="00D4261C" w:rsidP="00D4261C">
            <w:pPr>
              <w:spacing w:line="360" w:lineRule="auto"/>
              <w:rPr>
                <w:rFonts w:eastAsia="Calibri"/>
              </w:rPr>
            </w:pPr>
          </w:p>
        </w:tc>
        <w:tc>
          <w:tcPr>
            <w:tcW w:w="938" w:type="dxa"/>
          </w:tcPr>
          <w:p w14:paraId="058CB0BE" w14:textId="77777777" w:rsidR="00D4261C" w:rsidRPr="00D4261C" w:rsidRDefault="00D4261C" w:rsidP="00D4261C">
            <w:pPr>
              <w:spacing w:line="360" w:lineRule="auto"/>
              <w:rPr>
                <w:rFonts w:eastAsia="Calibri"/>
              </w:rPr>
            </w:pPr>
          </w:p>
        </w:tc>
        <w:tc>
          <w:tcPr>
            <w:tcW w:w="784" w:type="dxa"/>
          </w:tcPr>
          <w:p w14:paraId="01651B9B" w14:textId="77777777" w:rsidR="00D4261C" w:rsidRPr="00D4261C" w:rsidRDefault="00D4261C" w:rsidP="00D4261C">
            <w:pPr>
              <w:spacing w:line="360" w:lineRule="auto"/>
              <w:rPr>
                <w:rFonts w:eastAsia="Calibri"/>
              </w:rPr>
            </w:pPr>
          </w:p>
        </w:tc>
        <w:tc>
          <w:tcPr>
            <w:tcW w:w="784" w:type="dxa"/>
          </w:tcPr>
          <w:p w14:paraId="1EE0ADBA" w14:textId="77777777" w:rsidR="00D4261C" w:rsidRPr="00D4261C" w:rsidRDefault="00D4261C" w:rsidP="00D4261C">
            <w:pPr>
              <w:spacing w:line="360" w:lineRule="auto"/>
              <w:rPr>
                <w:rFonts w:eastAsia="Calibri"/>
              </w:rPr>
            </w:pPr>
          </w:p>
        </w:tc>
        <w:tc>
          <w:tcPr>
            <w:tcW w:w="872" w:type="dxa"/>
          </w:tcPr>
          <w:p w14:paraId="2C7576B0" w14:textId="77777777" w:rsidR="00D4261C" w:rsidRPr="00D4261C" w:rsidRDefault="00D4261C" w:rsidP="00D4261C">
            <w:pPr>
              <w:spacing w:line="360" w:lineRule="auto"/>
              <w:rPr>
                <w:rFonts w:eastAsia="Calibri"/>
              </w:rPr>
            </w:pPr>
          </w:p>
        </w:tc>
      </w:tr>
      <w:tr w:rsidR="00D4261C" w:rsidRPr="00D4261C" w14:paraId="63382EFF" w14:textId="77777777" w:rsidTr="00155FA9">
        <w:trPr>
          <w:trHeight w:val="945"/>
        </w:trPr>
        <w:tc>
          <w:tcPr>
            <w:tcW w:w="915" w:type="dxa"/>
          </w:tcPr>
          <w:p w14:paraId="748736EA" w14:textId="77777777" w:rsidR="00D4261C" w:rsidRPr="00D4261C" w:rsidRDefault="00D4261C" w:rsidP="00D4261C">
            <w:pPr>
              <w:spacing w:line="360" w:lineRule="auto"/>
              <w:rPr>
                <w:rFonts w:eastAsia="Calibri"/>
              </w:rPr>
            </w:pPr>
            <w:r w:rsidRPr="00D4261C">
              <w:rPr>
                <w:rFonts w:eastAsia="Calibri"/>
              </w:rPr>
              <w:t>1B1civ</w:t>
            </w:r>
          </w:p>
        </w:tc>
        <w:tc>
          <w:tcPr>
            <w:tcW w:w="1774" w:type="dxa"/>
          </w:tcPr>
          <w:p w14:paraId="0252B2D9" w14:textId="55E5F8CC" w:rsidR="00D4261C" w:rsidRPr="00D4261C" w:rsidRDefault="00D4261C" w:rsidP="00F55FB4">
            <w:pPr>
              <w:autoSpaceDE w:val="0"/>
              <w:autoSpaceDN w:val="0"/>
              <w:adjustRightInd w:val="0"/>
              <w:spacing w:after="0" w:line="276" w:lineRule="auto"/>
              <w:rPr>
                <w:rFonts w:eastAsia="Calibri"/>
              </w:rPr>
            </w:pPr>
            <w:r w:rsidRPr="00D4261C">
              <w:t>Coal</w:t>
            </w:r>
            <w:r w:rsidR="00F55FB4">
              <w:t xml:space="preserve"> </w:t>
            </w:r>
            <w:r w:rsidRPr="00D4261C">
              <w:t>to liquids – syngas</w:t>
            </w:r>
          </w:p>
        </w:tc>
        <w:tc>
          <w:tcPr>
            <w:tcW w:w="457" w:type="dxa"/>
          </w:tcPr>
          <w:p w14:paraId="39A3E60E" w14:textId="77777777" w:rsidR="00D4261C" w:rsidRPr="00D4261C" w:rsidRDefault="00D4261C" w:rsidP="00D4261C">
            <w:pPr>
              <w:spacing w:line="360" w:lineRule="auto"/>
              <w:rPr>
                <w:rFonts w:eastAsia="Calibri"/>
              </w:rPr>
            </w:pPr>
            <w:r w:rsidRPr="00D4261C">
              <w:rPr>
                <w:rFonts w:eastAsia="Calibri"/>
              </w:rPr>
              <w:t>none</w:t>
            </w:r>
          </w:p>
        </w:tc>
        <w:tc>
          <w:tcPr>
            <w:tcW w:w="823" w:type="dxa"/>
          </w:tcPr>
          <w:p w14:paraId="5FBD7BE8" w14:textId="77777777" w:rsidR="00D4261C" w:rsidRPr="00D4261C" w:rsidRDefault="00D4261C" w:rsidP="00D4261C">
            <w:pPr>
              <w:spacing w:line="360" w:lineRule="auto"/>
              <w:rPr>
                <w:rFonts w:eastAsia="Calibri"/>
              </w:rPr>
            </w:pPr>
            <w:r w:rsidRPr="00D4261C">
              <w:rPr>
                <w:rFonts w:eastAsia="Calibri"/>
              </w:rPr>
              <w:t>60</w:t>
            </w:r>
          </w:p>
        </w:tc>
        <w:tc>
          <w:tcPr>
            <w:tcW w:w="796" w:type="dxa"/>
          </w:tcPr>
          <w:p w14:paraId="03475571" w14:textId="77777777" w:rsidR="00D4261C" w:rsidRPr="00D4261C" w:rsidRDefault="00D4261C" w:rsidP="00D4261C">
            <w:pPr>
              <w:spacing w:line="360" w:lineRule="auto"/>
              <w:rPr>
                <w:rFonts w:eastAsia="Calibri"/>
              </w:rPr>
            </w:pPr>
            <w:r w:rsidRPr="00D4261C">
              <w:rPr>
                <w:rFonts w:eastAsia="Calibri"/>
              </w:rPr>
              <w:t>0</w:t>
            </w:r>
          </w:p>
        </w:tc>
        <w:tc>
          <w:tcPr>
            <w:tcW w:w="823" w:type="dxa"/>
          </w:tcPr>
          <w:p w14:paraId="62A58194" w14:textId="77777777" w:rsidR="00D4261C" w:rsidRPr="00D4261C" w:rsidRDefault="00D4261C" w:rsidP="00D4261C">
            <w:pPr>
              <w:spacing w:line="360" w:lineRule="auto"/>
              <w:rPr>
                <w:rFonts w:eastAsia="Calibri"/>
              </w:rPr>
            </w:pPr>
            <w:r w:rsidRPr="00D4261C">
              <w:rPr>
                <w:rFonts w:eastAsia="Calibri"/>
              </w:rPr>
              <w:t>10</w:t>
            </w:r>
          </w:p>
        </w:tc>
        <w:tc>
          <w:tcPr>
            <w:tcW w:w="823" w:type="dxa"/>
          </w:tcPr>
          <w:p w14:paraId="0268E715" w14:textId="77777777" w:rsidR="00D4261C" w:rsidRPr="00D4261C" w:rsidRDefault="00D4261C" w:rsidP="00D4261C">
            <w:pPr>
              <w:spacing w:line="360" w:lineRule="auto"/>
              <w:rPr>
                <w:rFonts w:eastAsia="Calibri"/>
              </w:rPr>
            </w:pPr>
            <w:r w:rsidRPr="00D4261C">
              <w:rPr>
                <w:rFonts w:eastAsia="Calibri"/>
              </w:rPr>
              <w:t>10</w:t>
            </w:r>
          </w:p>
        </w:tc>
        <w:tc>
          <w:tcPr>
            <w:tcW w:w="938" w:type="dxa"/>
          </w:tcPr>
          <w:p w14:paraId="0D75D2B8"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7C219843"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2FDB34C2" w14:textId="77777777" w:rsidR="00D4261C" w:rsidRPr="00D4261C" w:rsidRDefault="00D4261C" w:rsidP="00D4261C">
            <w:pPr>
              <w:spacing w:line="360" w:lineRule="auto"/>
              <w:rPr>
                <w:rFonts w:eastAsia="Calibri"/>
              </w:rPr>
            </w:pPr>
            <w:r w:rsidRPr="00D4261C">
              <w:rPr>
                <w:rFonts w:eastAsia="Calibri"/>
              </w:rPr>
              <w:t>5</w:t>
            </w:r>
          </w:p>
        </w:tc>
        <w:tc>
          <w:tcPr>
            <w:tcW w:w="872" w:type="dxa"/>
          </w:tcPr>
          <w:p w14:paraId="0783B80B" w14:textId="77777777" w:rsidR="00D4261C" w:rsidRPr="00D4261C" w:rsidRDefault="00D4261C" w:rsidP="00D4261C">
            <w:pPr>
              <w:spacing w:line="360" w:lineRule="auto"/>
              <w:rPr>
                <w:rFonts w:eastAsia="Calibri"/>
              </w:rPr>
            </w:pPr>
            <w:r w:rsidRPr="00D4261C">
              <w:rPr>
                <w:rFonts w:eastAsia="Calibri"/>
              </w:rPr>
              <w:t>95</w:t>
            </w:r>
          </w:p>
        </w:tc>
      </w:tr>
      <w:tr w:rsidR="00D4261C" w:rsidRPr="00D4261C" w14:paraId="26DBF309" w14:textId="77777777" w:rsidTr="00155FA9">
        <w:trPr>
          <w:trHeight w:val="945"/>
        </w:trPr>
        <w:tc>
          <w:tcPr>
            <w:tcW w:w="915" w:type="dxa"/>
          </w:tcPr>
          <w:p w14:paraId="7D6FE4E5" w14:textId="77777777" w:rsidR="00D4261C" w:rsidRPr="00D4261C" w:rsidRDefault="00D4261C" w:rsidP="00D4261C">
            <w:pPr>
              <w:spacing w:line="360" w:lineRule="auto"/>
              <w:rPr>
                <w:rFonts w:eastAsia="Calibri"/>
              </w:rPr>
            </w:pPr>
            <w:r w:rsidRPr="00D4261C">
              <w:rPr>
                <w:rFonts w:eastAsia="Calibri"/>
              </w:rPr>
              <w:t>1B1civ</w:t>
            </w:r>
          </w:p>
        </w:tc>
        <w:tc>
          <w:tcPr>
            <w:tcW w:w="1774" w:type="dxa"/>
          </w:tcPr>
          <w:p w14:paraId="48AD137C" w14:textId="77777777" w:rsidR="00D4261C" w:rsidRPr="00D4261C" w:rsidRDefault="00D4261C" w:rsidP="00CA5402">
            <w:pPr>
              <w:autoSpaceDE w:val="0"/>
              <w:autoSpaceDN w:val="0"/>
              <w:adjustRightInd w:val="0"/>
              <w:spacing w:after="0" w:line="276" w:lineRule="auto"/>
              <w:rPr>
                <w:rFonts w:eastAsia="Calibri"/>
              </w:rPr>
            </w:pPr>
            <w:r w:rsidRPr="00D4261C">
              <w:t>Coal to liquids – syngas(H2)</w:t>
            </w:r>
          </w:p>
        </w:tc>
        <w:tc>
          <w:tcPr>
            <w:tcW w:w="457" w:type="dxa"/>
          </w:tcPr>
          <w:p w14:paraId="32D16446" w14:textId="77777777" w:rsidR="00D4261C" w:rsidRPr="00D4261C" w:rsidRDefault="00D4261C" w:rsidP="00D4261C">
            <w:pPr>
              <w:spacing w:line="360" w:lineRule="auto"/>
              <w:rPr>
                <w:rFonts w:eastAsia="Calibri"/>
              </w:rPr>
            </w:pPr>
            <w:r w:rsidRPr="00D4261C">
              <w:rPr>
                <w:rFonts w:eastAsia="Calibri"/>
              </w:rPr>
              <w:t>none</w:t>
            </w:r>
          </w:p>
        </w:tc>
        <w:tc>
          <w:tcPr>
            <w:tcW w:w="823" w:type="dxa"/>
          </w:tcPr>
          <w:p w14:paraId="26009E4F" w14:textId="77777777" w:rsidR="00D4261C" w:rsidRPr="00D4261C" w:rsidRDefault="00D4261C" w:rsidP="00D4261C">
            <w:pPr>
              <w:spacing w:line="360" w:lineRule="auto"/>
              <w:rPr>
                <w:rFonts w:eastAsia="Calibri"/>
              </w:rPr>
            </w:pPr>
            <w:r w:rsidRPr="00D4261C">
              <w:rPr>
                <w:rFonts w:eastAsia="Calibri"/>
              </w:rPr>
              <w:t>60</w:t>
            </w:r>
          </w:p>
        </w:tc>
        <w:tc>
          <w:tcPr>
            <w:tcW w:w="796" w:type="dxa"/>
          </w:tcPr>
          <w:p w14:paraId="00C5FE1E" w14:textId="77777777" w:rsidR="00D4261C" w:rsidRPr="00D4261C" w:rsidRDefault="00D4261C" w:rsidP="00D4261C">
            <w:pPr>
              <w:spacing w:line="360" w:lineRule="auto"/>
              <w:rPr>
                <w:rFonts w:eastAsia="Calibri"/>
              </w:rPr>
            </w:pPr>
            <w:r w:rsidRPr="00D4261C">
              <w:rPr>
                <w:rFonts w:eastAsia="Calibri"/>
              </w:rPr>
              <w:t>0</w:t>
            </w:r>
          </w:p>
        </w:tc>
        <w:tc>
          <w:tcPr>
            <w:tcW w:w="823" w:type="dxa"/>
          </w:tcPr>
          <w:p w14:paraId="46B267F7" w14:textId="77777777" w:rsidR="00D4261C" w:rsidRPr="00D4261C" w:rsidRDefault="00D4261C" w:rsidP="00D4261C">
            <w:pPr>
              <w:spacing w:line="360" w:lineRule="auto"/>
              <w:rPr>
                <w:rFonts w:eastAsia="Calibri"/>
              </w:rPr>
            </w:pPr>
            <w:r w:rsidRPr="00D4261C">
              <w:rPr>
                <w:rFonts w:eastAsia="Calibri"/>
              </w:rPr>
              <w:t>10</w:t>
            </w:r>
          </w:p>
        </w:tc>
        <w:tc>
          <w:tcPr>
            <w:tcW w:w="823" w:type="dxa"/>
          </w:tcPr>
          <w:p w14:paraId="454B48DF" w14:textId="77777777" w:rsidR="00D4261C" w:rsidRPr="00D4261C" w:rsidRDefault="00D4261C" w:rsidP="00D4261C">
            <w:pPr>
              <w:spacing w:line="360" w:lineRule="auto"/>
              <w:rPr>
                <w:rFonts w:eastAsia="Calibri"/>
              </w:rPr>
            </w:pPr>
            <w:r w:rsidRPr="00D4261C">
              <w:rPr>
                <w:rFonts w:eastAsia="Calibri"/>
              </w:rPr>
              <w:t>10</w:t>
            </w:r>
          </w:p>
        </w:tc>
        <w:tc>
          <w:tcPr>
            <w:tcW w:w="938" w:type="dxa"/>
          </w:tcPr>
          <w:p w14:paraId="743765A8"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0C43C549"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1EF440B0" w14:textId="77777777" w:rsidR="00D4261C" w:rsidRPr="00D4261C" w:rsidRDefault="00D4261C" w:rsidP="00D4261C">
            <w:pPr>
              <w:spacing w:line="360" w:lineRule="auto"/>
              <w:rPr>
                <w:rFonts w:eastAsia="Calibri"/>
              </w:rPr>
            </w:pPr>
            <w:r w:rsidRPr="00D4261C">
              <w:rPr>
                <w:rFonts w:eastAsia="Calibri"/>
              </w:rPr>
              <w:t>5</w:t>
            </w:r>
          </w:p>
        </w:tc>
        <w:tc>
          <w:tcPr>
            <w:tcW w:w="872" w:type="dxa"/>
          </w:tcPr>
          <w:p w14:paraId="1B625823" w14:textId="77777777" w:rsidR="00D4261C" w:rsidRPr="00D4261C" w:rsidRDefault="00D4261C" w:rsidP="00D4261C">
            <w:pPr>
              <w:spacing w:line="360" w:lineRule="auto"/>
              <w:rPr>
                <w:rFonts w:eastAsia="Calibri"/>
              </w:rPr>
            </w:pPr>
            <w:r w:rsidRPr="00D4261C">
              <w:rPr>
                <w:rFonts w:eastAsia="Calibri"/>
              </w:rPr>
              <w:t>95</w:t>
            </w:r>
          </w:p>
        </w:tc>
      </w:tr>
      <w:tr w:rsidR="00D4261C" w:rsidRPr="00D4261C" w14:paraId="29246C3A" w14:textId="77777777" w:rsidTr="00155FA9">
        <w:trPr>
          <w:trHeight w:val="1680"/>
        </w:trPr>
        <w:tc>
          <w:tcPr>
            <w:tcW w:w="915" w:type="dxa"/>
          </w:tcPr>
          <w:p w14:paraId="5F075C36" w14:textId="77777777" w:rsidR="00D4261C" w:rsidRPr="00D4261C" w:rsidRDefault="00D4261C" w:rsidP="00D4261C">
            <w:pPr>
              <w:spacing w:line="360" w:lineRule="auto"/>
              <w:rPr>
                <w:rFonts w:eastAsia="Calibri"/>
              </w:rPr>
            </w:pPr>
            <w:r w:rsidRPr="00D4261C">
              <w:rPr>
                <w:rFonts w:eastAsia="Calibri"/>
              </w:rPr>
              <w:t>1B1civ</w:t>
            </w:r>
          </w:p>
        </w:tc>
        <w:tc>
          <w:tcPr>
            <w:tcW w:w="1774" w:type="dxa"/>
          </w:tcPr>
          <w:p w14:paraId="38696972" w14:textId="77777777" w:rsidR="00D4261C" w:rsidRPr="00D4261C" w:rsidRDefault="00D4261C" w:rsidP="00CA5402">
            <w:pPr>
              <w:autoSpaceDE w:val="0"/>
              <w:autoSpaceDN w:val="0"/>
              <w:adjustRightInd w:val="0"/>
              <w:spacing w:after="0" w:line="276" w:lineRule="auto"/>
              <w:rPr>
                <w:rFonts w:eastAsia="Calibri"/>
              </w:rPr>
            </w:pPr>
            <w:r w:rsidRPr="00D4261C">
              <w:t>Coal to liquids – SNG (synthetic natural gas)</w:t>
            </w:r>
          </w:p>
        </w:tc>
        <w:tc>
          <w:tcPr>
            <w:tcW w:w="457" w:type="dxa"/>
          </w:tcPr>
          <w:p w14:paraId="3EFF0E7C" w14:textId="77777777" w:rsidR="00D4261C" w:rsidRPr="00D4261C" w:rsidRDefault="00D4261C" w:rsidP="00D4261C">
            <w:pPr>
              <w:spacing w:line="360" w:lineRule="auto"/>
              <w:rPr>
                <w:rFonts w:eastAsia="Calibri"/>
              </w:rPr>
            </w:pPr>
            <w:r w:rsidRPr="00D4261C">
              <w:rPr>
                <w:rFonts w:eastAsia="Calibri"/>
              </w:rPr>
              <w:t>none</w:t>
            </w:r>
          </w:p>
        </w:tc>
        <w:tc>
          <w:tcPr>
            <w:tcW w:w="823" w:type="dxa"/>
          </w:tcPr>
          <w:p w14:paraId="59DB7D3E" w14:textId="77777777" w:rsidR="00D4261C" w:rsidRPr="00D4261C" w:rsidRDefault="00D4261C" w:rsidP="00D4261C">
            <w:pPr>
              <w:spacing w:line="360" w:lineRule="auto"/>
              <w:rPr>
                <w:rFonts w:eastAsia="Calibri"/>
              </w:rPr>
            </w:pPr>
            <w:r w:rsidRPr="00D4261C">
              <w:rPr>
                <w:rFonts w:eastAsia="Calibri"/>
              </w:rPr>
              <w:t>60</w:t>
            </w:r>
          </w:p>
        </w:tc>
        <w:tc>
          <w:tcPr>
            <w:tcW w:w="796" w:type="dxa"/>
          </w:tcPr>
          <w:p w14:paraId="54609754" w14:textId="77777777" w:rsidR="00D4261C" w:rsidRPr="00D4261C" w:rsidRDefault="00D4261C" w:rsidP="00D4261C">
            <w:pPr>
              <w:spacing w:line="360" w:lineRule="auto"/>
              <w:rPr>
                <w:rFonts w:eastAsia="Calibri"/>
              </w:rPr>
            </w:pPr>
            <w:r w:rsidRPr="00D4261C">
              <w:rPr>
                <w:rFonts w:eastAsia="Calibri"/>
              </w:rPr>
              <w:t>0</w:t>
            </w:r>
          </w:p>
        </w:tc>
        <w:tc>
          <w:tcPr>
            <w:tcW w:w="823" w:type="dxa"/>
          </w:tcPr>
          <w:p w14:paraId="189A4942" w14:textId="77777777" w:rsidR="00D4261C" w:rsidRPr="00D4261C" w:rsidRDefault="00D4261C" w:rsidP="00D4261C">
            <w:pPr>
              <w:spacing w:line="360" w:lineRule="auto"/>
              <w:rPr>
                <w:rFonts w:eastAsia="Calibri"/>
              </w:rPr>
            </w:pPr>
            <w:r w:rsidRPr="00D4261C">
              <w:rPr>
                <w:rFonts w:eastAsia="Calibri"/>
              </w:rPr>
              <w:t>10</w:t>
            </w:r>
          </w:p>
        </w:tc>
        <w:tc>
          <w:tcPr>
            <w:tcW w:w="823" w:type="dxa"/>
          </w:tcPr>
          <w:p w14:paraId="71F93759" w14:textId="77777777" w:rsidR="00D4261C" w:rsidRPr="00D4261C" w:rsidRDefault="00D4261C" w:rsidP="00D4261C">
            <w:pPr>
              <w:spacing w:line="360" w:lineRule="auto"/>
              <w:rPr>
                <w:rFonts w:eastAsia="Calibri"/>
              </w:rPr>
            </w:pPr>
            <w:r w:rsidRPr="00D4261C">
              <w:rPr>
                <w:rFonts w:eastAsia="Calibri"/>
              </w:rPr>
              <w:t>10</w:t>
            </w:r>
          </w:p>
        </w:tc>
        <w:tc>
          <w:tcPr>
            <w:tcW w:w="938" w:type="dxa"/>
          </w:tcPr>
          <w:p w14:paraId="00CD5163"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5FB806C6"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31E8C288" w14:textId="77777777" w:rsidR="00D4261C" w:rsidRPr="00D4261C" w:rsidRDefault="00D4261C" w:rsidP="00D4261C">
            <w:pPr>
              <w:spacing w:line="360" w:lineRule="auto"/>
              <w:rPr>
                <w:rFonts w:eastAsia="Calibri"/>
              </w:rPr>
            </w:pPr>
            <w:r w:rsidRPr="00D4261C">
              <w:rPr>
                <w:rFonts w:eastAsia="Calibri"/>
              </w:rPr>
              <w:t>5</w:t>
            </w:r>
          </w:p>
        </w:tc>
        <w:tc>
          <w:tcPr>
            <w:tcW w:w="872" w:type="dxa"/>
          </w:tcPr>
          <w:p w14:paraId="497BB03A" w14:textId="77777777" w:rsidR="00D4261C" w:rsidRPr="00D4261C" w:rsidRDefault="00D4261C" w:rsidP="00D4261C">
            <w:pPr>
              <w:spacing w:line="360" w:lineRule="auto"/>
              <w:rPr>
                <w:rFonts w:eastAsia="Calibri"/>
              </w:rPr>
            </w:pPr>
            <w:r w:rsidRPr="00D4261C">
              <w:rPr>
                <w:rFonts w:eastAsia="Calibri"/>
              </w:rPr>
              <w:t>95</w:t>
            </w:r>
          </w:p>
        </w:tc>
      </w:tr>
      <w:tr w:rsidR="00D4261C" w:rsidRPr="00D4261C" w14:paraId="46136843" w14:textId="77777777" w:rsidTr="00155FA9">
        <w:trPr>
          <w:trHeight w:val="1680"/>
        </w:trPr>
        <w:tc>
          <w:tcPr>
            <w:tcW w:w="915" w:type="dxa"/>
          </w:tcPr>
          <w:p w14:paraId="7558A7A9" w14:textId="77777777" w:rsidR="00D4261C" w:rsidRPr="00D4261C" w:rsidRDefault="00D4261C" w:rsidP="00D4261C">
            <w:pPr>
              <w:spacing w:line="360" w:lineRule="auto"/>
              <w:rPr>
                <w:rFonts w:eastAsia="Calibri"/>
              </w:rPr>
            </w:pPr>
            <w:r w:rsidRPr="00D4261C">
              <w:rPr>
                <w:rFonts w:eastAsia="Calibri"/>
              </w:rPr>
              <w:t>1B1civ</w:t>
            </w:r>
          </w:p>
        </w:tc>
        <w:tc>
          <w:tcPr>
            <w:tcW w:w="1774" w:type="dxa"/>
          </w:tcPr>
          <w:p w14:paraId="6525003E" w14:textId="676FAF6C" w:rsidR="00D4261C" w:rsidRPr="00D4261C" w:rsidRDefault="00D4261C" w:rsidP="00175A4A">
            <w:pPr>
              <w:autoSpaceDE w:val="0"/>
              <w:autoSpaceDN w:val="0"/>
              <w:adjustRightInd w:val="0"/>
              <w:spacing w:after="0" w:line="276" w:lineRule="auto"/>
              <w:jc w:val="left"/>
              <w:rPr>
                <w:rFonts w:eastAsia="Calibri"/>
              </w:rPr>
            </w:pPr>
            <w:r w:rsidRPr="00D4261C">
              <w:t>Gas to liquids (</w:t>
            </w:r>
            <w:proofErr w:type="spellStart"/>
            <w:r w:rsidRPr="00D4261C">
              <w:t>Tonne</w:t>
            </w:r>
            <w:proofErr w:type="spellEnd"/>
            <w:r w:rsidRPr="00D4261C">
              <w:t xml:space="preserve"> Ghg/</w:t>
            </w:r>
            <w:proofErr w:type="spellStart"/>
            <w:r w:rsidRPr="00D4261C">
              <w:t>Tj</w:t>
            </w:r>
            <w:proofErr w:type="spellEnd"/>
            <w:r w:rsidRPr="00D4261C">
              <w:t xml:space="preserve"> Natural</w:t>
            </w:r>
            <w:r w:rsidR="00155FA9">
              <w:t xml:space="preserve"> </w:t>
            </w:r>
            <w:r w:rsidRPr="00D4261C">
              <w:t>Gas Input)</w:t>
            </w:r>
          </w:p>
        </w:tc>
        <w:tc>
          <w:tcPr>
            <w:tcW w:w="457" w:type="dxa"/>
          </w:tcPr>
          <w:p w14:paraId="5787427C" w14:textId="77777777" w:rsidR="00D4261C" w:rsidRPr="00D4261C" w:rsidRDefault="00D4261C" w:rsidP="00D4261C">
            <w:pPr>
              <w:spacing w:line="360" w:lineRule="auto"/>
              <w:rPr>
                <w:rFonts w:eastAsia="Calibri"/>
              </w:rPr>
            </w:pPr>
            <w:r w:rsidRPr="00D4261C">
              <w:rPr>
                <w:rFonts w:eastAsia="Calibri"/>
              </w:rPr>
              <w:t>none</w:t>
            </w:r>
          </w:p>
        </w:tc>
        <w:tc>
          <w:tcPr>
            <w:tcW w:w="823" w:type="dxa"/>
          </w:tcPr>
          <w:p w14:paraId="7B0E6177" w14:textId="77777777" w:rsidR="00D4261C" w:rsidRPr="00D4261C" w:rsidRDefault="00D4261C" w:rsidP="00D4261C">
            <w:pPr>
              <w:spacing w:line="360" w:lineRule="auto"/>
              <w:rPr>
                <w:rFonts w:eastAsia="Calibri"/>
              </w:rPr>
            </w:pPr>
            <w:r w:rsidRPr="00D4261C">
              <w:rPr>
                <w:rFonts w:eastAsia="Calibri"/>
              </w:rPr>
              <w:t>60</w:t>
            </w:r>
          </w:p>
        </w:tc>
        <w:tc>
          <w:tcPr>
            <w:tcW w:w="796" w:type="dxa"/>
          </w:tcPr>
          <w:p w14:paraId="71BE0AF0" w14:textId="77777777" w:rsidR="00D4261C" w:rsidRPr="00D4261C" w:rsidRDefault="00D4261C" w:rsidP="00D4261C">
            <w:pPr>
              <w:spacing w:line="360" w:lineRule="auto"/>
              <w:rPr>
                <w:rFonts w:eastAsia="Calibri"/>
              </w:rPr>
            </w:pPr>
            <w:r w:rsidRPr="00D4261C">
              <w:rPr>
                <w:rFonts w:eastAsia="Calibri"/>
              </w:rPr>
              <w:t>0</w:t>
            </w:r>
          </w:p>
        </w:tc>
        <w:tc>
          <w:tcPr>
            <w:tcW w:w="823" w:type="dxa"/>
          </w:tcPr>
          <w:p w14:paraId="22B68B01" w14:textId="77777777" w:rsidR="00D4261C" w:rsidRPr="00D4261C" w:rsidRDefault="00D4261C" w:rsidP="00D4261C">
            <w:pPr>
              <w:spacing w:line="360" w:lineRule="auto"/>
              <w:rPr>
                <w:rFonts w:eastAsia="Calibri"/>
              </w:rPr>
            </w:pPr>
            <w:r w:rsidRPr="00D4261C">
              <w:rPr>
                <w:rFonts w:eastAsia="Calibri"/>
              </w:rPr>
              <w:t>10</w:t>
            </w:r>
          </w:p>
        </w:tc>
        <w:tc>
          <w:tcPr>
            <w:tcW w:w="823" w:type="dxa"/>
          </w:tcPr>
          <w:p w14:paraId="4FFF7BE8" w14:textId="77777777" w:rsidR="00D4261C" w:rsidRPr="00D4261C" w:rsidRDefault="00D4261C" w:rsidP="00D4261C">
            <w:pPr>
              <w:spacing w:line="360" w:lineRule="auto"/>
              <w:rPr>
                <w:rFonts w:eastAsia="Calibri"/>
              </w:rPr>
            </w:pPr>
            <w:r w:rsidRPr="00D4261C">
              <w:rPr>
                <w:rFonts w:eastAsia="Calibri"/>
              </w:rPr>
              <w:t>10</w:t>
            </w:r>
          </w:p>
        </w:tc>
        <w:tc>
          <w:tcPr>
            <w:tcW w:w="938" w:type="dxa"/>
          </w:tcPr>
          <w:p w14:paraId="17414541"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3E0A9D83" w14:textId="77777777" w:rsidR="00D4261C" w:rsidRPr="00D4261C" w:rsidRDefault="00D4261C" w:rsidP="00D4261C">
            <w:pPr>
              <w:spacing w:line="360" w:lineRule="auto"/>
              <w:rPr>
                <w:rFonts w:eastAsia="Calibri"/>
              </w:rPr>
            </w:pPr>
            <w:r w:rsidRPr="00D4261C">
              <w:rPr>
                <w:rFonts w:eastAsia="Calibri"/>
              </w:rPr>
              <w:t>5</w:t>
            </w:r>
          </w:p>
        </w:tc>
        <w:tc>
          <w:tcPr>
            <w:tcW w:w="784" w:type="dxa"/>
          </w:tcPr>
          <w:p w14:paraId="38498EB2" w14:textId="77777777" w:rsidR="00D4261C" w:rsidRPr="00D4261C" w:rsidRDefault="00D4261C" w:rsidP="00D4261C">
            <w:pPr>
              <w:spacing w:line="360" w:lineRule="auto"/>
              <w:rPr>
                <w:rFonts w:eastAsia="Calibri"/>
              </w:rPr>
            </w:pPr>
            <w:r w:rsidRPr="00D4261C">
              <w:rPr>
                <w:rFonts w:eastAsia="Calibri"/>
              </w:rPr>
              <w:t>5</w:t>
            </w:r>
          </w:p>
        </w:tc>
        <w:tc>
          <w:tcPr>
            <w:tcW w:w="872" w:type="dxa"/>
          </w:tcPr>
          <w:p w14:paraId="78F40FE9" w14:textId="77777777" w:rsidR="00D4261C" w:rsidRPr="00D4261C" w:rsidRDefault="00D4261C" w:rsidP="00D4261C">
            <w:pPr>
              <w:spacing w:line="360" w:lineRule="auto"/>
              <w:rPr>
                <w:rFonts w:eastAsia="Calibri"/>
              </w:rPr>
            </w:pPr>
            <w:r w:rsidRPr="00D4261C">
              <w:rPr>
                <w:rFonts w:eastAsia="Calibri"/>
              </w:rPr>
              <w:t>95</w:t>
            </w:r>
          </w:p>
        </w:tc>
      </w:tr>
    </w:tbl>
    <w:p w14:paraId="55E2FB20" w14:textId="77777777" w:rsidR="009C59F4" w:rsidRDefault="009C59F4" w:rsidP="00354EAD">
      <w:pPr>
        <w:rPr>
          <w:b/>
        </w:rPr>
      </w:pPr>
    </w:p>
    <w:p w14:paraId="4EE746A7" w14:textId="16080C5C" w:rsidR="00354EAD" w:rsidRPr="00F21980" w:rsidRDefault="00354EAD" w:rsidP="00354EAD">
      <w:pPr>
        <w:rPr>
          <w:b/>
        </w:rPr>
      </w:pPr>
      <w:r w:rsidRPr="00FC0786">
        <w:rPr>
          <w:b/>
        </w:rPr>
        <w:t>IV. Effective date</w:t>
      </w:r>
    </w:p>
    <w:p w14:paraId="2EDC92A0" w14:textId="54DD76AB" w:rsidR="005E29F8" w:rsidRDefault="6D387B70" w:rsidP="00354EAD">
      <w:r>
        <w:t xml:space="preserve">The proposed amendments </w:t>
      </w:r>
      <w:r w:rsidR="561F0DE8">
        <w:t>are deemed to have</w:t>
      </w:r>
      <w:r>
        <w:t xml:space="preserve"> come into operation on 1 January 2024.</w:t>
      </w:r>
    </w:p>
    <w:p w14:paraId="42A9A903" w14:textId="77777777" w:rsidR="00824441" w:rsidRDefault="00824441" w:rsidP="00354EAD"/>
    <w:p w14:paraId="00C254AA" w14:textId="77777777" w:rsidR="009B1A6A" w:rsidRDefault="009B1A6A" w:rsidP="00354EAD"/>
    <w:p w14:paraId="6B8691A5" w14:textId="77777777" w:rsidR="00FA7AA4" w:rsidRDefault="00FA7AA4" w:rsidP="00354EAD"/>
    <w:p w14:paraId="042F1E2D" w14:textId="77777777" w:rsidR="00FA7AA4" w:rsidRDefault="00FA7AA4" w:rsidP="00354EAD"/>
    <w:p w14:paraId="4AA24EBE" w14:textId="77777777" w:rsidR="00FA7AA4" w:rsidRDefault="00FA7AA4" w:rsidP="00354EAD"/>
    <w:p w14:paraId="3BCF0788" w14:textId="77777777" w:rsidR="00FA7AA4" w:rsidRDefault="00FA7AA4" w:rsidP="00354EAD"/>
    <w:p w14:paraId="6D9EF9AA" w14:textId="77777777" w:rsidR="00FA7AA4" w:rsidRDefault="00FA7AA4" w:rsidP="00354EAD"/>
    <w:p w14:paraId="415E9A9B" w14:textId="77777777" w:rsidR="009B1A6A" w:rsidRPr="00824441" w:rsidRDefault="009B1A6A" w:rsidP="00354EAD"/>
    <w:p w14:paraId="35599977" w14:textId="5E1399C2" w:rsidR="00354EAD" w:rsidRPr="005641A9" w:rsidRDefault="00354EAD" w:rsidP="009709FD">
      <w:pPr>
        <w:pStyle w:val="Heading3"/>
      </w:pPr>
      <w:bookmarkStart w:id="364" w:name="_Toc198158772"/>
      <w:r w:rsidRPr="005641A9">
        <w:t>RENEWABLE ENERGY PREMIUM DEDUCTION</w:t>
      </w:r>
      <w:bookmarkEnd w:id="364"/>
    </w:p>
    <w:p w14:paraId="20B2C750" w14:textId="77777777" w:rsidR="00354EAD" w:rsidRPr="00AE612D" w:rsidRDefault="00354EAD" w:rsidP="00354EAD">
      <w:pPr>
        <w:rPr>
          <w:lang w:val="en-US"/>
        </w:rPr>
      </w:pPr>
      <w:r w:rsidRPr="00AE612D">
        <w:t>[</w:t>
      </w:r>
      <w:r w:rsidRPr="00D15EA2">
        <w:t xml:space="preserve">Applicable provision: </w:t>
      </w:r>
      <w:r w:rsidRPr="00562A2E">
        <w:rPr>
          <w:lang w:val="en-US"/>
        </w:rPr>
        <w:t>Section 6 of the Carbon Tax Act 15 of 2019 (“the Carbon Tax Act”)</w:t>
      </w:r>
      <w:r>
        <w:t>]</w:t>
      </w:r>
    </w:p>
    <w:p w14:paraId="0594FAA5" w14:textId="77777777" w:rsidR="00354EAD" w:rsidRPr="00F21980" w:rsidRDefault="00354EAD" w:rsidP="00354EAD">
      <w:pPr>
        <w:rPr>
          <w:b/>
        </w:rPr>
      </w:pPr>
      <w:r w:rsidRPr="00FC0786">
        <w:rPr>
          <w:b/>
        </w:rPr>
        <w:t>I. Background</w:t>
      </w:r>
    </w:p>
    <w:p w14:paraId="3F60305B" w14:textId="77777777" w:rsidR="00354EAD" w:rsidRPr="00562A2E" w:rsidRDefault="00354EAD" w:rsidP="4DA829A6">
      <w:r w:rsidRPr="4DA829A6">
        <w:t xml:space="preserve">In terms of section 6(2) of the Carbon Tax Act, electricity generators including state-owned entities (Eskom) can claim the renewable energy premium deduction in respect of renewable energy purchased during the tax period in terms of the power purchase agreements concluded as part of the Renewable Energy Independent Power Producers Procurement Programme.  </w:t>
      </w:r>
    </w:p>
    <w:p w14:paraId="682BF789" w14:textId="77777777" w:rsidR="00354EAD" w:rsidRPr="00562A2E" w:rsidRDefault="00354EAD" w:rsidP="00354EAD">
      <w:r w:rsidRPr="4DA829A6">
        <w:t>However, Eskom is undergoing a process of separating it into three companies (namely, generation, transmission and distribution) in accordance with the document titled Road Map for Eskom in a Reformed Electricity Supply Industry issued by the Department of Public Enterprises in 2019.</w:t>
      </w:r>
    </w:p>
    <w:p w14:paraId="79C432DC" w14:textId="77777777" w:rsidR="00354EAD" w:rsidRPr="00562A2E" w:rsidRDefault="00354EAD" w:rsidP="00354EAD">
      <w:r w:rsidRPr="4DA829A6">
        <w:t xml:space="preserve">Due to the restructuring of the electricity sector and separation of the generation, transmission and distribution functions, the power purchase agreements concluded as part of the Renewable Energy Independent Power Producers Procurement Programme will be transferred to the National Transmission Company of South Africa (NTCSA) when it commences operations. NTCSA has been established as wholly owned subsidiary of Eskom. </w:t>
      </w:r>
    </w:p>
    <w:p w14:paraId="76E017EE" w14:textId="77777777" w:rsidR="00354EAD" w:rsidRPr="00562A2E" w:rsidRDefault="00354EAD" w:rsidP="00354EAD">
      <w:r w:rsidRPr="00562A2E">
        <w:t xml:space="preserve">However, the carbon tax liability arising from greenhouse gas emissions in category 1A1a will remain with the generation function of the state-owned entity. </w:t>
      </w:r>
    </w:p>
    <w:p w14:paraId="0E0308F7" w14:textId="77777777" w:rsidR="00354EAD" w:rsidRPr="00F21980" w:rsidRDefault="00354EAD" w:rsidP="00354EAD">
      <w:pPr>
        <w:rPr>
          <w:b/>
        </w:rPr>
      </w:pPr>
      <w:r w:rsidRPr="00FC0786">
        <w:rPr>
          <w:b/>
        </w:rPr>
        <w:t>II. Reasons for change</w:t>
      </w:r>
    </w:p>
    <w:p w14:paraId="257B96D1" w14:textId="77777777" w:rsidR="00354EAD" w:rsidRPr="00562A2E" w:rsidRDefault="00354EAD" w:rsidP="4DA829A6">
      <w:pPr>
        <w:rPr>
          <w:rFonts w:eastAsia="Calibri" w:cs="Arial"/>
        </w:rPr>
      </w:pPr>
      <w:r w:rsidRPr="4DA829A6">
        <w:rPr>
          <w:rFonts w:eastAsia="Calibri" w:cs="Arial"/>
        </w:rPr>
        <w:t xml:space="preserve">In December 2021, approval was granted to Eskom in terms of sections 54(2)(c) and 54(2)(d) of the PFMA for the operationalisation of the NTCSA through the proposed disposal of Eskom’s transmission business to the NTCSA. As the generation, transmission and distribution functions of Eskom are separated, the power purchase agreements will be transferred to the NTCSA when it commences operations. To provide certainty to Eskom, a technical clarification is necessary to ensure that the relevant electricity purchases made under the power purchase agreements ceded to the NTCSA are eligible for the deduction against their carbon tax liability until 31 December 2025. </w:t>
      </w:r>
    </w:p>
    <w:p w14:paraId="1155946A" w14:textId="77777777" w:rsidR="00354EAD" w:rsidRPr="00DB01F5" w:rsidRDefault="00354EAD" w:rsidP="00354EAD">
      <w:pPr>
        <w:rPr>
          <w:b/>
        </w:rPr>
      </w:pPr>
      <w:r w:rsidRPr="00FC0786">
        <w:rPr>
          <w:b/>
        </w:rPr>
        <w:t>III. Proposal</w:t>
      </w:r>
    </w:p>
    <w:p w14:paraId="1B2B5ABC" w14:textId="77777777" w:rsidR="00354EAD" w:rsidRDefault="00354EAD" w:rsidP="4DA829A6">
      <w:pPr>
        <w:autoSpaceDE w:val="0"/>
        <w:autoSpaceDN w:val="0"/>
        <w:adjustRightInd w:val="0"/>
        <w:spacing w:after="0" w:line="276" w:lineRule="auto"/>
      </w:pPr>
      <w:r w:rsidRPr="4DA829A6">
        <w:t xml:space="preserve">Based on the operationalisation of the NTCSA, it is proposed that Section 6 of the Carbon Tax Act is amended to allow electricity purchases under power purchase agreements ceded to the NTCSA to be eligible for the renewable energy premium deduction.  </w:t>
      </w:r>
    </w:p>
    <w:p w14:paraId="6944A8EC" w14:textId="77777777" w:rsidR="00354EAD" w:rsidRPr="00DB01F5" w:rsidRDefault="00354EAD" w:rsidP="00354EAD">
      <w:pPr>
        <w:autoSpaceDE w:val="0"/>
        <w:autoSpaceDN w:val="0"/>
        <w:adjustRightInd w:val="0"/>
        <w:spacing w:after="0" w:line="276" w:lineRule="auto"/>
      </w:pPr>
    </w:p>
    <w:p w14:paraId="0A1162A5" w14:textId="77777777" w:rsidR="00354EAD" w:rsidRPr="00F21980" w:rsidRDefault="00354EAD" w:rsidP="00354EAD">
      <w:pPr>
        <w:rPr>
          <w:b/>
        </w:rPr>
      </w:pPr>
      <w:r w:rsidRPr="00FC0786">
        <w:rPr>
          <w:b/>
        </w:rPr>
        <w:t>IV. Effective date</w:t>
      </w:r>
    </w:p>
    <w:p w14:paraId="2D9DE1F5" w14:textId="4F1E55A3" w:rsidR="00500545" w:rsidRDefault="6D387B70" w:rsidP="00FC0786">
      <w:r>
        <w:t xml:space="preserve">The proposed amendments </w:t>
      </w:r>
      <w:r w:rsidR="5564CBE2">
        <w:t xml:space="preserve">are deemed to have </w:t>
      </w:r>
      <w:r>
        <w:t>come into operation on 1 January 2024</w:t>
      </w:r>
    </w:p>
    <w:p w14:paraId="41BE2CEF" w14:textId="77777777" w:rsidR="00D4274C" w:rsidRDefault="00D4274C" w:rsidP="00FC0786"/>
    <w:p w14:paraId="0F04AC1D" w14:textId="77777777" w:rsidR="00D4274C" w:rsidRDefault="00D4274C" w:rsidP="00FC0786"/>
    <w:p w14:paraId="2C22846B" w14:textId="77777777" w:rsidR="00D4274C" w:rsidRPr="004D5114" w:rsidRDefault="00D4274C" w:rsidP="00FC0786"/>
    <w:p w14:paraId="64A78710" w14:textId="3E878B9F" w:rsidR="00B6712B" w:rsidRPr="003177DB" w:rsidRDefault="00B6712B" w:rsidP="002D5681">
      <w:pPr>
        <w:pStyle w:val="Heading2"/>
      </w:pPr>
      <w:bookmarkStart w:id="365" w:name="_Toc46433564"/>
      <w:bookmarkStart w:id="366" w:name="_Toc198158773"/>
      <w:r>
        <w:t>CLAUSE BY CLAUSE</w:t>
      </w:r>
      <w:bookmarkEnd w:id="365"/>
      <w:bookmarkEnd w:id="366"/>
      <w:r w:rsidR="004A4C9F">
        <w:t xml:space="preserve">  </w:t>
      </w:r>
    </w:p>
    <w:p w14:paraId="02884017" w14:textId="77777777" w:rsidR="002D0F50" w:rsidRPr="00BA1CD0" w:rsidRDefault="002D0F50" w:rsidP="002D0F50">
      <w:pPr>
        <w:jc w:val="center"/>
      </w:pPr>
      <w:r w:rsidRPr="00BA1CD0">
        <w:rPr>
          <w:b/>
          <w:bCs/>
          <w:lang w:val="en-US"/>
        </w:rPr>
        <w:t>CLAUSE 1</w:t>
      </w:r>
    </w:p>
    <w:p w14:paraId="2D985F1D" w14:textId="77777777" w:rsidR="002D0F50" w:rsidRPr="002D0F50" w:rsidRDefault="5A208F90" w:rsidP="002D0F50">
      <w:pPr>
        <w:rPr>
          <w:rFonts w:eastAsia="Arial"/>
        </w:rPr>
      </w:pPr>
      <w:bookmarkStart w:id="367" w:name="_Hlk120275167"/>
      <w:r w:rsidRPr="5FEEF3AA">
        <w:rPr>
          <w:rFonts w:eastAsia="Arial"/>
        </w:rPr>
        <w:t xml:space="preserve">Income Tax Act: Amendments to section 1(1)  </w:t>
      </w:r>
    </w:p>
    <w:p w14:paraId="322FA219" w14:textId="2C1CABB9" w:rsidR="7431660F" w:rsidRDefault="7431660F" w:rsidP="5FEEF3AA">
      <w:pPr>
        <w:rPr>
          <w:rStyle w:val="Hyperlink"/>
          <w:rFonts w:eastAsia="Arial" w:cs="Arial"/>
          <w:szCs w:val="22"/>
          <w:lang w:val="en-US"/>
        </w:rPr>
      </w:pPr>
      <w:r w:rsidRPr="5FEEF3AA">
        <w:rPr>
          <w:rFonts w:eastAsia="Arial"/>
        </w:rPr>
        <w:t>Subclause (1)</w:t>
      </w:r>
      <w:r w:rsidRPr="00D259EF">
        <w:rPr>
          <w:rFonts w:eastAsia="Arial"/>
          <w:i/>
          <w:iCs/>
        </w:rPr>
        <w:t>(</w:t>
      </w:r>
      <w:r w:rsidRPr="5FEEF3AA">
        <w:rPr>
          <w:rFonts w:eastAsia="Arial"/>
          <w:i/>
          <w:iCs/>
        </w:rPr>
        <w:t>a</w:t>
      </w:r>
      <w:r w:rsidRPr="00D259EF">
        <w:rPr>
          <w:rFonts w:eastAsia="Arial"/>
          <w:i/>
          <w:iCs/>
        </w:rPr>
        <w:t>)</w:t>
      </w:r>
      <w:r w:rsidR="2100B502" w:rsidRPr="5FEEF3AA">
        <w:rPr>
          <w:rFonts w:eastAsia="Arial"/>
          <w:i/>
          <w:iCs/>
        </w:rPr>
        <w:t xml:space="preserve"> </w:t>
      </w:r>
      <w:r w:rsidR="2100B502" w:rsidRPr="00D259EF">
        <w:rPr>
          <w:rFonts w:eastAsia="Arial"/>
        </w:rPr>
        <w:t>and</w:t>
      </w:r>
      <w:r w:rsidR="2100B502" w:rsidRPr="5FEEF3AA">
        <w:rPr>
          <w:rFonts w:eastAsia="Arial"/>
          <w:i/>
          <w:iCs/>
        </w:rPr>
        <w:t xml:space="preserve"> </w:t>
      </w:r>
      <w:r w:rsidR="2100B502" w:rsidRPr="00D259EF">
        <w:rPr>
          <w:rFonts w:eastAsia="Arial"/>
          <w:i/>
          <w:iCs/>
        </w:rPr>
        <w:t>(e)</w:t>
      </w:r>
      <w:r w:rsidRPr="5FEEF3AA">
        <w:rPr>
          <w:rFonts w:eastAsia="Arial"/>
        </w:rPr>
        <w:t>:</w:t>
      </w:r>
      <w:r w:rsidR="0E9A7D86" w:rsidRPr="5FEEF3AA">
        <w:rPr>
          <w:rFonts w:eastAsia="Arial"/>
        </w:rPr>
        <w:t xml:space="preserve"> See notes on</w:t>
      </w:r>
      <w:r w:rsidR="65A8D3FC" w:rsidRPr="5FEEF3AA">
        <w:rPr>
          <w:rFonts w:eastAsia="Arial"/>
        </w:rPr>
        <w:t xml:space="preserve"> </w:t>
      </w:r>
      <w:r w:rsidR="2746EAF3" w:rsidRPr="00D259EF">
        <w:rPr>
          <w:rFonts w:eastAsia="Arial"/>
          <w:b/>
          <w:bCs/>
        </w:rPr>
        <w:t>DEDUCTION</w:t>
      </w:r>
      <w:r w:rsidR="65A8D3FC" w:rsidRPr="5FEEF3AA">
        <w:rPr>
          <w:rFonts w:eastAsia="Arial"/>
          <w:b/>
          <w:bCs/>
        </w:rPr>
        <w:t xml:space="preserve"> IN RESPECT OF CERTAIN ASSETS USED IN DOMESTIC PRODUCTION OF BATTER</w:t>
      </w:r>
      <w:r w:rsidR="219F8CC2" w:rsidRPr="5FEEF3AA">
        <w:rPr>
          <w:rFonts w:eastAsia="Arial"/>
          <w:b/>
          <w:bCs/>
        </w:rPr>
        <w:t>Y ELECTRIC AND HYDROGEN-POWERED VEHICLES</w:t>
      </w:r>
    </w:p>
    <w:p w14:paraId="61177014" w14:textId="38016D1F" w:rsidR="5A208F90" w:rsidRDefault="5A208F90" w:rsidP="5FEEF3AA">
      <w:pPr>
        <w:rPr>
          <w:rFonts w:eastAsia="Arial"/>
        </w:rPr>
      </w:pPr>
      <w:r w:rsidRPr="5FEEF3AA">
        <w:rPr>
          <w:rFonts w:eastAsia="Arial"/>
        </w:rPr>
        <w:t xml:space="preserve">Subclause </w:t>
      </w:r>
      <w:r w:rsidR="3070DD34" w:rsidRPr="5FEEF3AA">
        <w:rPr>
          <w:rFonts w:eastAsia="Arial"/>
        </w:rPr>
        <w:t>(1)</w:t>
      </w:r>
      <w:r w:rsidRPr="00D259EF">
        <w:rPr>
          <w:rFonts w:eastAsia="Arial"/>
          <w:i/>
          <w:iCs/>
        </w:rPr>
        <w:t>(</w:t>
      </w:r>
      <w:r w:rsidR="24B75DAC" w:rsidRPr="5FEEF3AA">
        <w:rPr>
          <w:rFonts w:eastAsia="Arial"/>
          <w:i/>
          <w:iCs/>
        </w:rPr>
        <w:t>b</w:t>
      </w:r>
      <w:r w:rsidRPr="00D259EF">
        <w:rPr>
          <w:rFonts w:eastAsia="Arial"/>
          <w:i/>
          <w:iCs/>
        </w:rPr>
        <w:t>)</w:t>
      </w:r>
      <w:r w:rsidRPr="5FEEF3AA">
        <w:rPr>
          <w:rFonts w:eastAsia="Arial"/>
        </w:rPr>
        <w:t xml:space="preserve">: </w:t>
      </w:r>
      <w:bookmarkStart w:id="368" w:name="_Hlk172661831"/>
      <w:r w:rsidRPr="5FEEF3AA">
        <w:rPr>
          <w:rFonts w:eastAsia="Arial"/>
        </w:rPr>
        <w:t xml:space="preserve">The proposed amendment to the definition of “company” </w:t>
      </w:r>
      <w:bookmarkEnd w:id="368"/>
      <w:r w:rsidRPr="5FEEF3AA">
        <w:rPr>
          <w:rFonts w:eastAsia="Arial"/>
        </w:rPr>
        <w:t xml:space="preserve">is a clarification that seeks to add the reference </w:t>
      </w:r>
      <w:r w:rsidR="1AA4F089" w:rsidRPr="5FEEF3AA">
        <w:rPr>
          <w:rFonts w:eastAsia="Arial"/>
        </w:rPr>
        <w:t>to</w:t>
      </w:r>
      <w:r w:rsidRPr="5FEEF3AA">
        <w:rPr>
          <w:rFonts w:eastAsia="Arial"/>
        </w:rPr>
        <w:t xml:space="preserve"> “portfolio of a hedge fund collective scheme” to ensure that foreign </w:t>
      </w:r>
      <w:r w:rsidR="26ACFE43" w:rsidRPr="5FEEF3AA">
        <w:rPr>
          <w:rFonts w:eastAsia="Arial"/>
        </w:rPr>
        <w:t xml:space="preserve">hedge fund collective </w:t>
      </w:r>
      <w:r w:rsidRPr="5FEEF3AA">
        <w:rPr>
          <w:rFonts w:eastAsia="Arial"/>
        </w:rPr>
        <w:t>investment schemes are treated as a company for income tax purposes.</w:t>
      </w:r>
    </w:p>
    <w:p w14:paraId="25CBE0BE" w14:textId="5FE0D184" w:rsidR="002D0F50" w:rsidRPr="002D0F50" w:rsidRDefault="5A208F90" w:rsidP="002D0F50">
      <w:pPr>
        <w:rPr>
          <w:rFonts w:eastAsia="Arial"/>
        </w:rPr>
      </w:pPr>
      <w:r w:rsidRPr="5FEEF3AA">
        <w:rPr>
          <w:rFonts w:eastAsia="Arial"/>
        </w:rPr>
        <w:t xml:space="preserve">Subclause </w:t>
      </w:r>
      <w:r w:rsidR="401E88F4" w:rsidRPr="5FEEF3AA">
        <w:rPr>
          <w:rFonts w:eastAsia="Arial"/>
        </w:rPr>
        <w:t>(1)</w:t>
      </w:r>
      <w:r w:rsidRPr="00D259EF">
        <w:rPr>
          <w:rFonts w:eastAsia="Arial"/>
          <w:i/>
          <w:iCs/>
        </w:rPr>
        <w:t>(</w:t>
      </w:r>
      <w:r w:rsidR="58DC2F9B" w:rsidRPr="00D259EF">
        <w:rPr>
          <w:rFonts w:eastAsia="Arial"/>
          <w:i/>
          <w:iCs/>
        </w:rPr>
        <w:t>c</w:t>
      </w:r>
      <w:r w:rsidRPr="00D259EF">
        <w:rPr>
          <w:rFonts w:eastAsia="Arial"/>
          <w:i/>
          <w:iCs/>
        </w:rPr>
        <w:t>)</w:t>
      </w:r>
      <w:r w:rsidRPr="5FEEF3AA">
        <w:rPr>
          <w:rFonts w:eastAsia="Arial"/>
        </w:rPr>
        <w:t xml:space="preserve">: See notes on </w:t>
      </w:r>
      <w:r w:rsidRPr="5FEEF3AA">
        <w:rPr>
          <w:rFonts w:eastAsia="Arial"/>
          <w:b/>
          <w:bCs/>
        </w:rPr>
        <w:t>REVIEWING THE CONNECTED PERSON DEFINITION IN RELATION TO PARTNERSHIPS</w:t>
      </w:r>
      <w:r w:rsidRPr="5FEEF3AA">
        <w:rPr>
          <w:rFonts w:eastAsia="Arial"/>
        </w:rPr>
        <w:t xml:space="preserve"> </w:t>
      </w:r>
    </w:p>
    <w:p w14:paraId="1979ADC5" w14:textId="01F8AE2D" w:rsidR="002D0F50" w:rsidRPr="002D0F50" w:rsidRDefault="5A208F90" w:rsidP="4DA829A6">
      <w:pPr>
        <w:rPr>
          <w:rFonts w:eastAsia="Arial"/>
        </w:rPr>
      </w:pPr>
      <w:r w:rsidRPr="5FEEF3AA">
        <w:rPr>
          <w:rFonts w:eastAsia="Arial"/>
        </w:rPr>
        <w:t xml:space="preserve">Subclause </w:t>
      </w:r>
      <w:r w:rsidR="0A56EC67" w:rsidRPr="5FEEF3AA">
        <w:rPr>
          <w:rFonts w:eastAsia="Arial"/>
        </w:rPr>
        <w:t>(1)</w:t>
      </w:r>
      <w:r w:rsidRPr="00D259EF">
        <w:rPr>
          <w:rFonts w:eastAsia="Arial"/>
          <w:i/>
          <w:iCs/>
        </w:rPr>
        <w:t>(</w:t>
      </w:r>
      <w:r w:rsidR="52872886" w:rsidRPr="00D259EF">
        <w:rPr>
          <w:rFonts w:eastAsia="Arial"/>
          <w:i/>
          <w:iCs/>
        </w:rPr>
        <w:t>d</w:t>
      </w:r>
      <w:r w:rsidRPr="00D259EF">
        <w:rPr>
          <w:rFonts w:eastAsia="Arial"/>
          <w:i/>
          <w:iCs/>
        </w:rPr>
        <w:t>)</w:t>
      </w:r>
      <w:r w:rsidRPr="5FEEF3AA">
        <w:rPr>
          <w:rFonts w:eastAsia="Arial"/>
        </w:rPr>
        <w:t>: The proposed amendment to the definition of “connected person” seeks to renumber subitems (</w:t>
      </w:r>
      <w:proofErr w:type="spellStart"/>
      <w:r w:rsidRPr="5FEEF3AA">
        <w:rPr>
          <w:rFonts w:eastAsia="Arial"/>
        </w:rPr>
        <w:t>i</w:t>
      </w:r>
      <w:proofErr w:type="spellEnd"/>
      <w:r w:rsidRPr="5FEEF3AA">
        <w:rPr>
          <w:rFonts w:eastAsia="Arial"/>
        </w:rPr>
        <w:t>) and (ii) as subitems (A) and (B) to correct the consecutive numbering sequence.</w:t>
      </w:r>
    </w:p>
    <w:p w14:paraId="6C0C22C0" w14:textId="4B03D7F7" w:rsidR="002D0F50" w:rsidRPr="002D0F50" w:rsidRDefault="5A208F90" w:rsidP="5FEEF3AA">
      <w:pPr>
        <w:rPr>
          <w:rFonts w:eastAsia="Arial"/>
          <w:b/>
          <w:bCs/>
        </w:rPr>
      </w:pPr>
      <w:bookmarkStart w:id="369" w:name="_Hlk172712804"/>
      <w:r w:rsidRPr="5FEEF3AA">
        <w:rPr>
          <w:rFonts w:eastAsia="Arial"/>
        </w:rPr>
        <w:t xml:space="preserve">Subclause </w:t>
      </w:r>
      <w:r w:rsidR="03AA853B" w:rsidRPr="5FEEF3AA">
        <w:rPr>
          <w:rFonts w:eastAsia="Arial"/>
        </w:rPr>
        <w:t>(1)</w:t>
      </w:r>
      <w:r w:rsidRPr="00D259EF">
        <w:rPr>
          <w:rFonts w:eastAsia="Arial"/>
          <w:i/>
          <w:iCs/>
        </w:rPr>
        <w:t>(</w:t>
      </w:r>
      <w:r w:rsidR="60F63E97" w:rsidRPr="00D259EF">
        <w:rPr>
          <w:rFonts w:eastAsia="Arial"/>
          <w:i/>
          <w:iCs/>
        </w:rPr>
        <w:t>f</w:t>
      </w:r>
      <w:r w:rsidRPr="00D259EF">
        <w:rPr>
          <w:rFonts w:eastAsia="Arial"/>
          <w:i/>
          <w:iCs/>
        </w:rPr>
        <w:t>)</w:t>
      </w:r>
      <w:r w:rsidRPr="5FEEF3AA">
        <w:rPr>
          <w:rFonts w:eastAsia="Arial"/>
        </w:rPr>
        <w:t xml:space="preserve">: See notes on </w:t>
      </w:r>
      <w:r w:rsidRPr="5FEEF3AA">
        <w:rPr>
          <w:rFonts w:eastAsia="Arial"/>
          <w:b/>
          <w:bCs/>
        </w:rPr>
        <w:t>TAXATION ISSUES INVOLVING UNLISTED PROPERTY INDUSTRY</w:t>
      </w:r>
    </w:p>
    <w:bookmarkEnd w:id="369"/>
    <w:p w14:paraId="289E04D4" w14:textId="069EF84B" w:rsidR="002D0F50" w:rsidRPr="002D0F50" w:rsidRDefault="5A208F90" w:rsidP="5FEEF3AA">
      <w:pPr>
        <w:rPr>
          <w:rFonts w:eastAsia="Arial"/>
          <w:b/>
          <w:bCs/>
        </w:rPr>
      </w:pPr>
      <w:r w:rsidRPr="5FEEF3AA">
        <w:rPr>
          <w:rFonts w:eastAsia="Arial"/>
        </w:rPr>
        <w:t xml:space="preserve">Subclause </w:t>
      </w:r>
      <w:r w:rsidR="37CCB69A" w:rsidRPr="5FEEF3AA">
        <w:rPr>
          <w:rFonts w:eastAsia="Arial"/>
        </w:rPr>
        <w:t>(1)</w:t>
      </w:r>
      <w:r w:rsidRPr="00D259EF">
        <w:rPr>
          <w:rFonts w:eastAsia="Arial"/>
          <w:i/>
          <w:iCs/>
        </w:rPr>
        <w:t>(</w:t>
      </w:r>
      <w:r w:rsidR="51EB2372" w:rsidRPr="00D259EF">
        <w:rPr>
          <w:rFonts w:eastAsia="Arial"/>
          <w:i/>
          <w:iCs/>
        </w:rPr>
        <w:t>g</w:t>
      </w:r>
      <w:r w:rsidRPr="00D259EF">
        <w:rPr>
          <w:rFonts w:eastAsia="Arial"/>
          <w:i/>
          <w:iCs/>
        </w:rPr>
        <w:t>)</w:t>
      </w:r>
      <w:r w:rsidRPr="5FEEF3AA">
        <w:rPr>
          <w:rFonts w:eastAsia="Arial"/>
        </w:rPr>
        <w:t xml:space="preserve">: See notes on </w:t>
      </w:r>
      <w:r w:rsidRPr="5FEEF3AA">
        <w:rPr>
          <w:rFonts w:eastAsia="Arial"/>
          <w:b/>
          <w:bCs/>
        </w:rPr>
        <w:t>AMENDING THE DEFINITION OF “REMUNERATION PROXY” IN SECTION 1</w:t>
      </w:r>
      <w:r w:rsidR="002D0F50">
        <w:tab/>
      </w:r>
      <w:r w:rsidRPr="5FEEF3AA">
        <w:rPr>
          <w:rFonts w:eastAsia="Arial"/>
          <w:b/>
          <w:bCs/>
        </w:rPr>
        <w:t xml:space="preserve"> </w:t>
      </w:r>
    </w:p>
    <w:p w14:paraId="154C1D98" w14:textId="3F39EB33" w:rsidR="5FEEF3AA" w:rsidRDefault="5A208F90" w:rsidP="5FEEF3AA">
      <w:pPr>
        <w:rPr>
          <w:rFonts w:eastAsia="Arial"/>
        </w:rPr>
      </w:pPr>
      <w:r w:rsidRPr="5FEEF3AA">
        <w:rPr>
          <w:rFonts w:eastAsia="Arial"/>
        </w:rPr>
        <w:t xml:space="preserve">Subclause </w:t>
      </w:r>
      <w:r w:rsidR="5F733CEC" w:rsidRPr="5FEEF3AA">
        <w:rPr>
          <w:rFonts w:eastAsia="Arial"/>
        </w:rPr>
        <w:t>(1)</w:t>
      </w:r>
      <w:r w:rsidRPr="00D259EF">
        <w:rPr>
          <w:rFonts w:eastAsia="Arial"/>
          <w:i/>
          <w:iCs/>
        </w:rPr>
        <w:t>(</w:t>
      </w:r>
      <w:r w:rsidR="69D178B2" w:rsidRPr="5FEEF3AA">
        <w:rPr>
          <w:rFonts w:eastAsia="Arial"/>
          <w:i/>
          <w:iCs/>
        </w:rPr>
        <w:t>h</w:t>
      </w:r>
      <w:r w:rsidRPr="00D259EF">
        <w:rPr>
          <w:rFonts w:eastAsia="Arial"/>
          <w:i/>
          <w:iCs/>
        </w:rPr>
        <w:t>)</w:t>
      </w:r>
      <w:r w:rsidR="4ED94DBD" w:rsidRPr="5FEEF3AA">
        <w:rPr>
          <w:rFonts w:eastAsia="Arial"/>
          <w:i/>
          <w:iCs/>
        </w:rPr>
        <w:t xml:space="preserve"> and </w:t>
      </w:r>
      <w:r w:rsidR="4ED94DBD" w:rsidRPr="00D259EF">
        <w:rPr>
          <w:rFonts w:eastAsia="Arial"/>
          <w:i/>
          <w:iCs/>
        </w:rPr>
        <w:t>(</w:t>
      </w:r>
      <w:proofErr w:type="spellStart"/>
      <w:r w:rsidR="4ED94DBD" w:rsidRPr="00D259EF">
        <w:rPr>
          <w:rFonts w:eastAsia="Arial"/>
          <w:i/>
          <w:iCs/>
        </w:rPr>
        <w:t>i</w:t>
      </w:r>
      <w:proofErr w:type="spellEnd"/>
      <w:r w:rsidR="4ED94DBD" w:rsidRPr="00D259EF">
        <w:rPr>
          <w:rFonts w:eastAsia="Arial"/>
          <w:i/>
          <w:iCs/>
        </w:rPr>
        <w:t>)</w:t>
      </w:r>
      <w:r w:rsidRPr="5FEEF3AA">
        <w:rPr>
          <w:rFonts w:eastAsia="Arial"/>
        </w:rPr>
        <w:t xml:space="preserve">: </w:t>
      </w:r>
      <w:bookmarkStart w:id="370" w:name="_Hlk172284507"/>
      <w:r w:rsidRPr="5FEEF3AA">
        <w:rPr>
          <w:rFonts w:eastAsia="Arial"/>
        </w:rPr>
        <w:t xml:space="preserve">See notes on </w:t>
      </w:r>
      <w:bookmarkStart w:id="371" w:name="_Hlk172284593"/>
      <w:bookmarkStart w:id="372" w:name="_Hlk173337024"/>
      <w:bookmarkEnd w:id="370"/>
      <w:r w:rsidRPr="5FEEF3AA">
        <w:rPr>
          <w:rFonts w:eastAsia="Arial"/>
          <w:b/>
          <w:bCs/>
        </w:rPr>
        <w:t>TRANSFERS BETWEEN RETIREMENT FUNDS BY MEMBERS WHO REACHED NORMAL RETIREMENT AGE BEFORE RETIREMENT DATE</w:t>
      </w:r>
      <w:bookmarkEnd w:id="371"/>
      <w:bookmarkEnd w:id="372"/>
    </w:p>
    <w:p w14:paraId="7506B27B" w14:textId="44AA31D5" w:rsidR="002D0F50" w:rsidRPr="002D0F50" w:rsidDel="004D32D6" w:rsidRDefault="6CBB86BD" w:rsidP="5FEEF3AA">
      <w:pPr>
        <w:rPr>
          <w:rFonts w:eastAsia="Arial"/>
          <w:b/>
          <w:bCs/>
        </w:rPr>
      </w:pPr>
      <w:r w:rsidRPr="5FEEF3AA">
        <w:rPr>
          <w:rFonts w:eastAsia="Arial"/>
        </w:rPr>
        <w:t>Subclause (1)</w:t>
      </w:r>
      <w:r w:rsidRPr="5FEEF3AA">
        <w:rPr>
          <w:rFonts w:eastAsia="Arial"/>
          <w:i/>
          <w:iCs/>
        </w:rPr>
        <w:t xml:space="preserve">(j): </w:t>
      </w:r>
      <w:r w:rsidRPr="00D259EF">
        <w:rPr>
          <w:rFonts w:eastAsia="Arial"/>
        </w:rPr>
        <w:t xml:space="preserve">The </w:t>
      </w:r>
      <w:r w:rsidRPr="5FEEF3AA">
        <w:rPr>
          <w:rFonts w:eastAsia="Arial"/>
        </w:rPr>
        <w:t>proposed amendment is consequential upon the implementation of the two-pot retirement system.</w:t>
      </w:r>
    </w:p>
    <w:p w14:paraId="6C64E165" w14:textId="33E50243" w:rsidR="002D0F50" w:rsidRPr="00B16072" w:rsidRDefault="5A208F90" w:rsidP="002D0F50">
      <w:pPr>
        <w:rPr>
          <w:lang w:val="en-US"/>
        </w:rPr>
      </w:pPr>
      <w:r w:rsidRPr="5FEEF3AA">
        <w:rPr>
          <w:rFonts w:eastAsia="Arial"/>
        </w:rPr>
        <w:t xml:space="preserve">Sub-clause </w:t>
      </w:r>
      <w:r w:rsidRPr="00D259EF">
        <w:rPr>
          <w:rFonts w:eastAsia="Arial"/>
          <w:i/>
          <w:iCs/>
        </w:rPr>
        <w:t>(</w:t>
      </w:r>
      <w:r w:rsidR="657BA3F6" w:rsidRPr="00D259EF">
        <w:rPr>
          <w:rFonts w:eastAsia="Arial"/>
          <w:i/>
          <w:iCs/>
        </w:rPr>
        <w:t>k</w:t>
      </w:r>
      <w:r w:rsidRPr="00D259EF">
        <w:rPr>
          <w:rFonts w:eastAsia="Arial"/>
          <w:i/>
          <w:iCs/>
        </w:rPr>
        <w:t>)</w:t>
      </w:r>
      <w:r w:rsidRPr="5FEEF3AA">
        <w:rPr>
          <w:rFonts w:eastAsia="Arial"/>
        </w:rPr>
        <w:t>: The proposed amendment to the definition of “trust” seeks to add</w:t>
      </w:r>
      <w:r w:rsidR="1DDD0CBD" w:rsidRPr="5FEEF3AA">
        <w:rPr>
          <w:rFonts w:eastAsia="Arial"/>
        </w:rPr>
        <w:t xml:space="preserve"> a</w:t>
      </w:r>
      <w:r w:rsidRPr="5FEEF3AA">
        <w:rPr>
          <w:rFonts w:eastAsia="Arial"/>
        </w:rPr>
        <w:t xml:space="preserve"> reference </w:t>
      </w:r>
      <w:r w:rsidR="208DD381" w:rsidRPr="5FEEF3AA">
        <w:rPr>
          <w:rFonts w:eastAsia="Arial"/>
        </w:rPr>
        <w:t>to</w:t>
      </w:r>
      <w:r w:rsidRPr="5FEEF3AA">
        <w:rPr>
          <w:rFonts w:eastAsia="Arial"/>
        </w:rPr>
        <w:t xml:space="preserve"> a portfolio of a collective investment scheme and a portfolio of a hedge fund collective investment scheme to the definition to clarify their type of taxpayer category </w:t>
      </w:r>
      <w:r w:rsidR="2AB6F7BA" w:rsidRPr="5FEEF3AA">
        <w:rPr>
          <w:rFonts w:eastAsia="Arial"/>
        </w:rPr>
        <w:t>and the administration of their tax affairs.</w:t>
      </w:r>
      <w:r w:rsidRPr="5FEEF3AA">
        <w:rPr>
          <w:rFonts w:eastAsia="Arial"/>
        </w:rPr>
        <w:t>.</w:t>
      </w:r>
      <w:bookmarkEnd w:id="367"/>
    </w:p>
    <w:p w14:paraId="7527C0F2" w14:textId="77777777" w:rsidR="002D0F50" w:rsidRPr="00BA1CD0" w:rsidRDefault="002D0F50" w:rsidP="002D0F50">
      <w:pPr>
        <w:jc w:val="center"/>
      </w:pPr>
      <w:r w:rsidRPr="00BA1CD0">
        <w:rPr>
          <w:b/>
          <w:bCs/>
          <w:lang w:val="en-US"/>
        </w:rPr>
        <w:t>CLAUSE 2</w:t>
      </w:r>
      <w:r w:rsidRPr="00BA1CD0">
        <w:rPr>
          <w:rFonts w:eastAsia="Arial" w:cs="Arial"/>
          <w:b/>
          <w:lang w:val="en-US"/>
        </w:rPr>
        <w:t xml:space="preserve"> </w:t>
      </w:r>
    </w:p>
    <w:p w14:paraId="7AF9FD74" w14:textId="77777777" w:rsidR="002D0F50" w:rsidRPr="002D0F50" w:rsidRDefault="002D0F50" w:rsidP="002D0F50">
      <w:pPr>
        <w:rPr>
          <w:rFonts w:eastAsia="Arial"/>
          <w:lang w:eastAsia="en-ZA"/>
        </w:rPr>
      </w:pPr>
      <w:r w:rsidRPr="002D0F50">
        <w:rPr>
          <w:rFonts w:eastAsia="Arial"/>
          <w:lang w:eastAsia="en-ZA"/>
        </w:rPr>
        <w:t>Income Tax Act: Amendments to section 6</w:t>
      </w:r>
      <w:r w:rsidRPr="002D0F50">
        <w:rPr>
          <w:rFonts w:eastAsia="Arial"/>
          <w:i/>
          <w:lang w:eastAsia="en-ZA"/>
        </w:rPr>
        <w:t>quat</w:t>
      </w:r>
    </w:p>
    <w:p w14:paraId="637D444C" w14:textId="7394A1B3" w:rsidR="002D0F50" w:rsidRPr="002D0F50" w:rsidRDefault="5A208F90" w:rsidP="002D0F50">
      <w:pPr>
        <w:rPr>
          <w:lang w:eastAsia="en-ZA"/>
        </w:rPr>
      </w:pPr>
      <w:r w:rsidRPr="5FEEF3AA">
        <w:rPr>
          <w:lang w:eastAsia="en-ZA"/>
        </w:rPr>
        <w:t xml:space="preserve">Subclause </w:t>
      </w:r>
      <w:r w:rsidR="27381BB9" w:rsidRPr="5FEEF3AA">
        <w:rPr>
          <w:lang w:eastAsia="en-ZA"/>
        </w:rPr>
        <w:t>(1)</w:t>
      </w:r>
      <w:r w:rsidRPr="5FEEF3AA">
        <w:rPr>
          <w:lang w:eastAsia="en-ZA"/>
        </w:rPr>
        <w:t>(</w:t>
      </w:r>
      <w:r w:rsidRPr="5FEEF3AA">
        <w:rPr>
          <w:i/>
          <w:iCs/>
          <w:lang w:eastAsia="en-ZA"/>
        </w:rPr>
        <w:t>a</w:t>
      </w:r>
      <w:r w:rsidRPr="5FEEF3AA">
        <w:rPr>
          <w:lang w:eastAsia="en-ZA"/>
        </w:rPr>
        <w:t>)</w:t>
      </w:r>
      <w:r w:rsidR="267F8C53" w:rsidRPr="5FEEF3AA">
        <w:rPr>
          <w:lang w:eastAsia="en-ZA"/>
        </w:rPr>
        <w:t xml:space="preserve"> and</w:t>
      </w:r>
      <w:r w:rsidR="267F8C53" w:rsidRPr="00D259EF">
        <w:rPr>
          <w:i/>
          <w:iCs/>
          <w:lang w:eastAsia="en-ZA"/>
        </w:rPr>
        <w:t xml:space="preserve"> (b)</w:t>
      </w:r>
      <w:r w:rsidRPr="5FEEF3AA">
        <w:rPr>
          <w:lang w:eastAsia="en-ZA"/>
        </w:rPr>
        <w:t xml:space="preserve">: </w:t>
      </w:r>
      <w:bookmarkStart w:id="373" w:name="_Hlk172715259"/>
      <w:r w:rsidRPr="5FEEF3AA">
        <w:rPr>
          <w:lang w:eastAsia="en-ZA"/>
        </w:rPr>
        <w:t xml:space="preserve">See notes on </w:t>
      </w:r>
      <w:r w:rsidRPr="5FEEF3AA">
        <w:rPr>
          <w:b/>
          <w:bCs/>
          <w:lang w:eastAsia="en-ZA"/>
        </w:rPr>
        <w:t>CLARIFYING THE REBATE FOR FOREIGN TAXES ON INCOME IN RESPECT OF CAPITAL GAINS</w:t>
      </w:r>
      <w:bookmarkEnd w:id="373"/>
    </w:p>
    <w:p w14:paraId="56E31E4B" w14:textId="5697DBE6" w:rsidR="002D0F50" w:rsidRDefault="5A208F90" w:rsidP="002D0F50">
      <w:pPr>
        <w:rPr>
          <w:b/>
          <w:bCs/>
          <w:lang w:eastAsia="en-ZA"/>
        </w:rPr>
      </w:pPr>
      <w:r w:rsidRPr="5FEEF3AA">
        <w:rPr>
          <w:rFonts w:eastAsia="Arial"/>
        </w:rPr>
        <w:t xml:space="preserve">Subclause </w:t>
      </w:r>
      <w:r w:rsidRPr="00D259EF">
        <w:rPr>
          <w:rFonts w:eastAsia="Arial"/>
          <w:i/>
          <w:iCs/>
        </w:rPr>
        <w:t>(</w:t>
      </w:r>
      <w:r w:rsidR="07F7F974" w:rsidRPr="00D259EF">
        <w:rPr>
          <w:rFonts w:eastAsia="Arial"/>
          <w:i/>
          <w:iCs/>
        </w:rPr>
        <w:t>c</w:t>
      </w:r>
      <w:r w:rsidRPr="00D259EF">
        <w:rPr>
          <w:rFonts w:eastAsia="Arial"/>
          <w:i/>
          <w:iCs/>
        </w:rPr>
        <w:t>)</w:t>
      </w:r>
      <w:r w:rsidRPr="5FEEF3AA">
        <w:rPr>
          <w:rFonts w:eastAsia="Arial"/>
        </w:rPr>
        <w:t xml:space="preserve">: </w:t>
      </w:r>
      <w:r w:rsidRPr="5FEEF3AA">
        <w:rPr>
          <w:lang w:eastAsia="en-ZA"/>
        </w:rPr>
        <w:t xml:space="preserve">See notes on </w:t>
      </w:r>
      <w:r w:rsidRPr="5FEEF3AA">
        <w:rPr>
          <w:b/>
          <w:bCs/>
          <w:lang w:eastAsia="en-ZA"/>
        </w:rPr>
        <w:t xml:space="preserve">CLARIFYING THE </w:t>
      </w:r>
      <w:r w:rsidR="3DE2E754" w:rsidRPr="5FEEF3AA">
        <w:rPr>
          <w:b/>
          <w:bCs/>
          <w:lang w:eastAsia="en-ZA"/>
        </w:rPr>
        <w:t xml:space="preserve">TIMING OF THE </w:t>
      </w:r>
      <w:r w:rsidRPr="5FEEF3AA">
        <w:rPr>
          <w:b/>
          <w:bCs/>
          <w:lang w:eastAsia="en-ZA"/>
        </w:rPr>
        <w:t>REBATE AND TRANSLATION OF NET INCOME RULE FOR CFCs</w:t>
      </w:r>
    </w:p>
    <w:p w14:paraId="7C0E9BD6" w14:textId="77777777" w:rsidR="00715CDF" w:rsidRDefault="00715CDF" w:rsidP="002D0F50">
      <w:pPr>
        <w:rPr>
          <w:b/>
          <w:bCs/>
          <w:lang w:eastAsia="en-ZA"/>
        </w:rPr>
      </w:pPr>
    </w:p>
    <w:p w14:paraId="01EE3F37" w14:textId="77777777" w:rsidR="00715CDF" w:rsidRDefault="00715CDF" w:rsidP="002D0F50">
      <w:pPr>
        <w:rPr>
          <w:b/>
          <w:bCs/>
          <w:lang w:eastAsia="en-ZA"/>
        </w:rPr>
      </w:pPr>
    </w:p>
    <w:p w14:paraId="39B1BFE1" w14:textId="77777777" w:rsidR="001E2D52" w:rsidRPr="002D0F50" w:rsidRDefault="001E2D52" w:rsidP="002D0F50">
      <w:pPr>
        <w:rPr>
          <w:b/>
          <w:bCs/>
          <w:lang w:eastAsia="en-ZA"/>
        </w:rPr>
      </w:pPr>
    </w:p>
    <w:p w14:paraId="1710D2FC" w14:textId="77777777" w:rsidR="002D0F50" w:rsidRPr="00BA1CD0" w:rsidRDefault="002D0F50" w:rsidP="002D0F50">
      <w:pPr>
        <w:jc w:val="center"/>
      </w:pPr>
      <w:r w:rsidRPr="00BA1CD0">
        <w:rPr>
          <w:b/>
          <w:bCs/>
          <w:lang w:val="en-US"/>
        </w:rPr>
        <w:t>CLAUSE 3</w:t>
      </w:r>
    </w:p>
    <w:p w14:paraId="361B3D52" w14:textId="77777777" w:rsidR="002D0F50" w:rsidRPr="002D0F50" w:rsidRDefault="002D0F50" w:rsidP="002D0F50">
      <w:pPr>
        <w:rPr>
          <w:rFonts w:eastAsia="Arial"/>
        </w:rPr>
      </w:pPr>
      <w:r w:rsidRPr="002D0F50">
        <w:rPr>
          <w:rFonts w:eastAsia="Arial"/>
        </w:rPr>
        <w:t>Income Tax Act: Amendments to section 7</w:t>
      </w:r>
    </w:p>
    <w:p w14:paraId="41DFE85F" w14:textId="4E416C40" w:rsidR="002D0F50" w:rsidRDefault="002D0F50" w:rsidP="002D0F50">
      <w:r w:rsidRPr="4DA829A6">
        <w:t>The proposed amendment to subsection (11) seeks to align the Act with amendments made by the Pension Funds Amendment Act, 2024 (Act 31 of 2024) in light of the fact that section 37D(1)(</w:t>
      </w:r>
      <w:r w:rsidRPr="4DA829A6">
        <w:rPr>
          <w:i/>
          <w:iCs/>
        </w:rPr>
        <w:t>d</w:t>
      </w:r>
      <w:r w:rsidRPr="4DA829A6">
        <w:t>)(</w:t>
      </w:r>
      <w:proofErr w:type="spellStart"/>
      <w:r w:rsidRPr="4DA829A6">
        <w:t>iB</w:t>
      </w:r>
      <w:proofErr w:type="spellEnd"/>
      <w:r w:rsidRPr="4DA829A6">
        <w:t xml:space="preserve">) of the Pension Funds Act now refers to interim maintenance orders granted by the court in terms of rule 43 of the High Court rules or rule 58 of the Magistrates’ Court rules made under section 6 of the Rules Board for Courts of Law Act, 1985 (Act No.1 of 1985). </w:t>
      </w:r>
    </w:p>
    <w:p w14:paraId="1BA67F8B" w14:textId="77777777" w:rsidR="009B54EE" w:rsidRPr="002D0F50" w:rsidRDefault="009B54EE" w:rsidP="002D0F50"/>
    <w:p w14:paraId="578E5300" w14:textId="77777777" w:rsidR="002D0F50" w:rsidRPr="00BA1CD0" w:rsidRDefault="002D0F50" w:rsidP="002D0F50">
      <w:pPr>
        <w:jc w:val="center"/>
      </w:pPr>
      <w:r w:rsidRPr="00BA1CD0">
        <w:rPr>
          <w:b/>
          <w:bCs/>
          <w:lang w:val="en-US"/>
        </w:rPr>
        <w:t>CLAUSE 4</w:t>
      </w:r>
      <w:r w:rsidRPr="00BA1CD0">
        <w:rPr>
          <w:lang w:val="en-US"/>
        </w:rPr>
        <w:t xml:space="preserve"> </w:t>
      </w:r>
    </w:p>
    <w:p w14:paraId="1C539FEE" w14:textId="77777777" w:rsidR="002D0F50" w:rsidRPr="002D0F50" w:rsidRDefault="002D0F50" w:rsidP="002D0F50">
      <w:pPr>
        <w:rPr>
          <w:rFonts w:eastAsia="Arial"/>
          <w:lang w:eastAsia="en-ZA"/>
        </w:rPr>
      </w:pPr>
      <w:r w:rsidRPr="002D0F50">
        <w:rPr>
          <w:rFonts w:eastAsia="Arial"/>
          <w:lang w:eastAsia="en-ZA"/>
        </w:rPr>
        <w:t>Income Tax Act: Amendments to section 7C</w:t>
      </w:r>
    </w:p>
    <w:p w14:paraId="4F2B3EE8" w14:textId="1ADBE87D" w:rsidR="002D0F50" w:rsidRPr="002D0F50" w:rsidRDefault="5A208F90" w:rsidP="4DA829A6">
      <w:pPr>
        <w:rPr>
          <w:rFonts w:eastAsia="Arial"/>
          <w:lang w:eastAsia="en-ZA"/>
        </w:rPr>
      </w:pPr>
      <w:r w:rsidRPr="5FEEF3AA">
        <w:rPr>
          <w:lang w:eastAsia="en-ZA"/>
        </w:rPr>
        <w:t xml:space="preserve">Subclause </w:t>
      </w:r>
      <w:r w:rsidR="4A46264B" w:rsidRPr="5FEEF3AA">
        <w:rPr>
          <w:lang w:eastAsia="en-ZA"/>
        </w:rPr>
        <w:t>(1)</w:t>
      </w:r>
      <w:r w:rsidRPr="5FEEF3AA">
        <w:rPr>
          <w:lang w:eastAsia="en-ZA"/>
        </w:rPr>
        <w:t>(</w:t>
      </w:r>
      <w:r w:rsidRPr="5FEEF3AA">
        <w:rPr>
          <w:i/>
          <w:iCs/>
          <w:lang w:eastAsia="en-ZA"/>
        </w:rPr>
        <w:t>a</w:t>
      </w:r>
      <w:r w:rsidRPr="5FEEF3AA">
        <w:rPr>
          <w:lang w:eastAsia="en-ZA"/>
        </w:rPr>
        <w:t xml:space="preserve">): </w:t>
      </w:r>
      <w:r w:rsidRPr="5FEEF3AA">
        <w:rPr>
          <w:rFonts w:eastAsia="Arial"/>
          <w:lang w:eastAsia="en-ZA"/>
        </w:rPr>
        <w:t>The proposed amendment clarifies that the provisions of section 7C of the Act also apply to loans made to companies by adding that a donation is deemed to have been made on the last day of the year of assessment of not only a trust but a company too.</w:t>
      </w:r>
    </w:p>
    <w:p w14:paraId="49193521" w14:textId="0172C666" w:rsidR="002D0F50" w:rsidRPr="002D0F50" w:rsidRDefault="5A208F90" w:rsidP="002D0F50">
      <w:pPr>
        <w:rPr>
          <w:rFonts w:eastAsia="Arial"/>
          <w:lang w:eastAsia="en-ZA"/>
        </w:rPr>
      </w:pPr>
      <w:r w:rsidRPr="5FEEF3AA">
        <w:rPr>
          <w:rFonts w:eastAsia="Arial"/>
        </w:rPr>
        <w:t xml:space="preserve">Subclause </w:t>
      </w:r>
      <w:r w:rsidR="20321FD4" w:rsidRPr="5FEEF3AA">
        <w:rPr>
          <w:rFonts w:eastAsia="Arial"/>
        </w:rPr>
        <w:t>(1)</w:t>
      </w:r>
      <w:r w:rsidRPr="5FEEF3AA">
        <w:rPr>
          <w:rFonts w:eastAsia="Arial"/>
        </w:rPr>
        <w:t>(</w:t>
      </w:r>
      <w:r w:rsidRPr="5FEEF3AA">
        <w:rPr>
          <w:rFonts w:eastAsia="Arial"/>
          <w:i/>
          <w:iCs/>
        </w:rPr>
        <w:t>b</w:t>
      </w:r>
      <w:r w:rsidRPr="5FEEF3AA">
        <w:rPr>
          <w:rFonts w:eastAsia="Arial"/>
        </w:rPr>
        <w:t xml:space="preserve">): </w:t>
      </w:r>
      <w:r w:rsidRPr="5FEEF3AA">
        <w:rPr>
          <w:lang w:eastAsia="en-ZA"/>
        </w:rPr>
        <w:t xml:space="preserve">See notes on </w:t>
      </w:r>
      <w:r w:rsidRPr="5FEEF3AA">
        <w:rPr>
          <w:b/>
          <w:bCs/>
          <w:lang w:eastAsia="en-ZA"/>
        </w:rPr>
        <w:t>CLARIFYING ANTI-AVOIDANCE RULES FOR LOW-INTEREST OR INTEREST-FREE LOANS TO TRUSTS</w:t>
      </w:r>
      <w:r w:rsidRPr="5FEEF3AA">
        <w:rPr>
          <w:rFonts w:eastAsia="Arial"/>
          <w:lang w:eastAsia="en-ZA"/>
        </w:rPr>
        <w:t xml:space="preserve">  </w:t>
      </w:r>
    </w:p>
    <w:p w14:paraId="71E6ECE7" w14:textId="77777777" w:rsidR="002D0F50" w:rsidRPr="00BA1CD0" w:rsidRDefault="002D0F50" w:rsidP="002D0F50">
      <w:pPr>
        <w:contextualSpacing/>
        <w:rPr>
          <w:lang w:val="en-US"/>
        </w:rPr>
      </w:pPr>
    </w:p>
    <w:p w14:paraId="431B45E4" w14:textId="77777777" w:rsidR="002D0F50" w:rsidRPr="00BA1CD0" w:rsidRDefault="002D0F50" w:rsidP="002D0F50">
      <w:pPr>
        <w:contextualSpacing/>
        <w:jc w:val="center"/>
        <w:rPr>
          <w:lang w:val="en-US"/>
        </w:rPr>
      </w:pPr>
      <w:r w:rsidRPr="00BA1CD0">
        <w:rPr>
          <w:b/>
          <w:bCs/>
          <w:lang w:val="en-US"/>
        </w:rPr>
        <w:t>CLAUSE 5</w:t>
      </w:r>
      <w:r w:rsidRPr="00BA1CD0">
        <w:rPr>
          <w:lang w:val="en-US"/>
        </w:rPr>
        <w:t xml:space="preserve"> </w:t>
      </w:r>
    </w:p>
    <w:p w14:paraId="08550BEE" w14:textId="77777777" w:rsidR="002D0F50" w:rsidRPr="00BA1CD0" w:rsidRDefault="002D0F50" w:rsidP="002D0F50">
      <w:pPr>
        <w:contextualSpacing/>
        <w:jc w:val="center"/>
      </w:pPr>
    </w:p>
    <w:p w14:paraId="5DCBC532" w14:textId="77777777" w:rsidR="002D0F50" w:rsidRPr="002D0F50" w:rsidRDefault="002D0F50" w:rsidP="002D0F50">
      <w:pPr>
        <w:rPr>
          <w:rFonts w:eastAsia="Arial"/>
        </w:rPr>
      </w:pPr>
      <w:r w:rsidRPr="002D0F50">
        <w:rPr>
          <w:rFonts w:eastAsia="Arial"/>
        </w:rPr>
        <w:t>Income Tax Act: Amendments to section 8</w:t>
      </w:r>
    </w:p>
    <w:p w14:paraId="6D58FEE1" w14:textId="081A0B83" w:rsidR="002D0F50" w:rsidRPr="002D0F50" w:rsidRDefault="5A208F90" w:rsidP="002D0F50">
      <w:pPr>
        <w:rPr>
          <w:rFonts w:eastAsia="Arial"/>
        </w:rPr>
      </w:pPr>
      <w:r w:rsidRPr="5FEEF3AA">
        <w:rPr>
          <w:rFonts w:eastAsia="Arial"/>
        </w:rPr>
        <w:t xml:space="preserve">See notes on </w:t>
      </w:r>
      <w:r w:rsidRPr="5FEEF3AA">
        <w:rPr>
          <w:rFonts w:eastAsia="Arial"/>
          <w:b/>
          <w:bCs/>
        </w:rPr>
        <w:t xml:space="preserve"> </w:t>
      </w:r>
      <w:r w:rsidR="35807747" w:rsidRPr="5FEEF3AA">
        <w:rPr>
          <w:rFonts w:eastAsia="Arial"/>
          <w:b/>
          <w:bCs/>
        </w:rPr>
        <w:t xml:space="preserve">DEDUCTION </w:t>
      </w:r>
      <w:r w:rsidRPr="5FEEF3AA">
        <w:rPr>
          <w:rFonts w:eastAsia="Arial"/>
          <w:b/>
          <w:bCs/>
        </w:rPr>
        <w:t xml:space="preserve">IN RESPECT OF </w:t>
      </w:r>
      <w:r w:rsidR="24925B18" w:rsidRPr="5FEEF3AA">
        <w:rPr>
          <w:rFonts w:eastAsia="Arial"/>
          <w:b/>
          <w:bCs/>
        </w:rPr>
        <w:t>CERTAIN ASSETS</w:t>
      </w:r>
      <w:r w:rsidRPr="5FEEF3AA">
        <w:rPr>
          <w:rFonts w:eastAsia="Arial"/>
          <w:b/>
          <w:bCs/>
        </w:rPr>
        <w:t xml:space="preserve">USED IN DOMESTIC PRODUCTION OF </w:t>
      </w:r>
      <w:r w:rsidR="72E34D20" w:rsidRPr="5FEEF3AA">
        <w:rPr>
          <w:rFonts w:eastAsia="Arial"/>
          <w:b/>
          <w:bCs/>
        </w:rPr>
        <w:t xml:space="preserve">BATTERY </w:t>
      </w:r>
      <w:r w:rsidRPr="5FEEF3AA">
        <w:rPr>
          <w:rFonts w:eastAsia="Arial"/>
          <w:b/>
          <w:bCs/>
        </w:rPr>
        <w:t>ELECTRIC AND HYDROGEN-POWERED VEHICLES</w:t>
      </w:r>
    </w:p>
    <w:p w14:paraId="5EB56E55" w14:textId="77777777" w:rsidR="002D0F50" w:rsidRDefault="002D0F50" w:rsidP="002D0F50">
      <w:pPr>
        <w:contextualSpacing/>
        <w:rPr>
          <w:lang w:val="en-US"/>
        </w:rPr>
      </w:pPr>
    </w:p>
    <w:p w14:paraId="54A87B98" w14:textId="77777777" w:rsidR="002D0F50" w:rsidRPr="00BA1CD0" w:rsidRDefault="002D0F50" w:rsidP="002D0F50">
      <w:pPr>
        <w:contextualSpacing/>
      </w:pPr>
    </w:p>
    <w:p w14:paraId="71569E79" w14:textId="77777777" w:rsidR="002D0F50" w:rsidRPr="00BA1CD0" w:rsidRDefault="002D0F50" w:rsidP="002D0F50">
      <w:pPr>
        <w:contextualSpacing/>
        <w:jc w:val="center"/>
        <w:rPr>
          <w:b/>
          <w:bCs/>
          <w:lang w:val="en-US"/>
        </w:rPr>
      </w:pPr>
      <w:r w:rsidRPr="00BA1CD0">
        <w:rPr>
          <w:b/>
          <w:bCs/>
          <w:lang w:val="en-US"/>
        </w:rPr>
        <w:t>CLAUSE 6</w:t>
      </w:r>
    </w:p>
    <w:p w14:paraId="230A81DE" w14:textId="77777777" w:rsidR="002D0F50" w:rsidRPr="00BA1CD0" w:rsidRDefault="002D0F50" w:rsidP="002D0F50">
      <w:pPr>
        <w:contextualSpacing/>
        <w:jc w:val="center"/>
      </w:pPr>
    </w:p>
    <w:p w14:paraId="43533A08" w14:textId="77777777" w:rsidR="002D0F50" w:rsidRPr="002D0F50" w:rsidRDefault="002D0F50" w:rsidP="002D0F50">
      <w:pPr>
        <w:rPr>
          <w:rFonts w:eastAsia="Arial"/>
        </w:rPr>
      </w:pPr>
      <w:r w:rsidRPr="002D0F50">
        <w:rPr>
          <w:rFonts w:eastAsia="Arial"/>
        </w:rPr>
        <w:t>Income Tax Act: Amendment to section 8EA</w:t>
      </w:r>
    </w:p>
    <w:p w14:paraId="6AE62EC7" w14:textId="6A385496" w:rsidR="002D0F50" w:rsidRPr="002D0F50" w:rsidRDefault="5A208F90" w:rsidP="002D0F50">
      <w:pPr>
        <w:rPr>
          <w:rFonts w:eastAsia="Arial"/>
        </w:rPr>
      </w:pPr>
      <w:bookmarkStart w:id="374" w:name="_Hlk172307020"/>
      <w:r w:rsidRPr="5FEEF3AA">
        <w:rPr>
          <w:rFonts w:eastAsia="Arial"/>
        </w:rPr>
        <w:t xml:space="preserve">Subclause </w:t>
      </w:r>
      <w:r w:rsidR="3FDA85B5" w:rsidRPr="5FEEF3AA">
        <w:rPr>
          <w:rFonts w:eastAsia="Arial"/>
        </w:rPr>
        <w:t>(1)</w:t>
      </w:r>
      <w:r w:rsidRPr="5FEEF3AA">
        <w:rPr>
          <w:rFonts w:eastAsia="Arial"/>
        </w:rPr>
        <w:t>(</w:t>
      </w:r>
      <w:r w:rsidRPr="5FEEF3AA">
        <w:rPr>
          <w:rFonts w:eastAsia="Arial"/>
          <w:i/>
          <w:iCs/>
        </w:rPr>
        <w:t>a</w:t>
      </w:r>
      <w:r w:rsidRPr="5FEEF3AA">
        <w:rPr>
          <w:rFonts w:eastAsia="Arial"/>
        </w:rPr>
        <w:t xml:space="preserve">): </w:t>
      </w:r>
      <w:bookmarkStart w:id="375" w:name="_Hlk172306606"/>
      <w:r w:rsidRPr="5FEEF3AA">
        <w:rPr>
          <w:rFonts w:eastAsia="Arial"/>
        </w:rPr>
        <w:t xml:space="preserve">See notes on </w:t>
      </w:r>
      <w:r w:rsidRPr="5FEEF3AA">
        <w:rPr>
          <w:rFonts w:eastAsia="Arial"/>
          <w:b/>
          <w:bCs/>
        </w:rPr>
        <w:t>THIRD-PARTY BACKED SHARES: EXTENDING THE DEFINITION OF “ENFORCEMENT RIGHT” TO A CONNECTED PERSON</w:t>
      </w:r>
      <w:r w:rsidRPr="5FEEF3AA">
        <w:rPr>
          <w:rFonts w:eastAsia="Arial"/>
        </w:rPr>
        <w:t xml:space="preserve"> </w:t>
      </w:r>
      <w:bookmarkEnd w:id="375"/>
    </w:p>
    <w:p w14:paraId="1B9D7B63" w14:textId="5329AB29" w:rsidR="002D0F50" w:rsidRPr="002D0F50" w:rsidRDefault="5A208F90" w:rsidP="002D0F50">
      <w:pPr>
        <w:rPr>
          <w:rFonts w:eastAsia="Arial"/>
        </w:rPr>
      </w:pPr>
      <w:r w:rsidRPr="5FEEF3AA">
        <w:rPr>
          <w:rFonts w:eastAsia="Arial"/>
        </w:rPr>
        <w:t>Subclause</w:t>
      </w:r>
      <w:r w:rsidR="265AD4F0" w:rsidRPr="5FEEF3AA">
        <w:rPr>
          <w:rFonts w:eastAsia="Arial"/>
        </w:rPr>
        <w:t xml:space="preserve"> (1)</w:t>
      </w:r>
      <w:r w:rsidRPr="5FEEF3AA">
        <w:rPr>
          <w:rFonts w:eastAsia="Arial"/>
        </w:rPr>
        <w:t>(</w:t>
      </w:r>
      <w:r w:rsidRPr="5FEEF3AA">
        <w:rPr>
          <w:rFonts w:eastAsia="Arial"/>
          <w:i/>
          <w:iCs/>
        </w:rPr>
        <w:t>b</w:t>
      </w:r>
      <w:r w:rsidRPr="5FEEF3AA">
        <w:rPr>
          <w:rFonts w:eastAsia="Arial"/>
        </w:rPr>
        <w:t xml:space="preserve">) </w:t>
      </w:r>
      <w:r w:rsidR="1ECB8080" w:rsidRPr="5FEEF3AA">
        <w:rPr>
          <w:rFonts w:eastAsia="Arial"/>
        </w:rPr>
        <w:t>and</w:t>
      </w:r>
      <w:r w:rsidRPr="5FEEF3AA">
        <w:rPr>
          <w:rFonts w:eastAsia="Arial"/>
        </w:rPr>
        <w:t xml:space="preserve"> (</w:t>
      </w:r>
      <w:r w:rsidRPr="5FEEF3AA">
        <w:rPr>
          <w:rFonts w:eastAsia="Arial"/>
          <w:i/>
          <w:iCs/>
        </w:rPr>
        <w:t>c</w:t>
      </w:r>
      <w:r w:rsidRPr="5FEEF3AA">
        <w:rPr>
          <w:rFonts w:eastAsia="Arial"/>
        </w:rPr>
        <w:t xml:space="preserve">): See notes on </w:t>
      </w:r>
      <w:r w:rsidRPr="5FEEF3AA">
        <w:rPr>
          <w:rFonts w:eastAsia="Arial"/>
          <w:b/>
          <w:bCs/>
        </w:rPr>
        <w:t>THIRD-PARTY BACKED SHARES: EXTENDING EXCLUSIONS TO THE OWNERSHIP REQUIREMENT</w:t>
      </w:r>
      <w:bookmarkEnd w:id="374"/>
    </w:p>
    <w:p w14:paraId="3EC90542" w14:textId="77777777" w:rsidR="002D0F50" w:rsidRPr="00BA1CD0" w:rsidRDefault="002D0F50" w:rsidP="002D0F50"/>
    <w:p w14:paraId="40DB9C61" w14:textId="77777777" w:rsidR="002D0F50" w:rsidRPr="00BA1CD0" w:rsidRDefault="002D0F50" w:rsidP="002D0F50">
      <w:pPr>
        <w:jc w:val="center"/>
      </w:pPr>
      <w:r w:rsidRPr="00BA1CD0">
        <w:rPr>
          <w:b/>
          <w:bCs/>
          <w:lang w:val="en-US"/>
        </w:rPr>
        <w:t>CLAUSE 7</w:t>
      </w:r>
    </w:p>
    <w:p w14:paraId="6EB5E453" w14:textId="77777777" w:rsidR="002D0F50" w:rsidRPr="002D0F50" w:rsidRDefault="002D0F50" w:rsidP="002D0F50">
      <w:pPr>
        <w:rPr>
          <w:rFonts w:eastAsia="Arial"/>
          <w:lang w:eastAsia="en-ZA"/>
        </w:rPr>
      </w:pPr>
      <w:r w:rsidRPr="002D0F50">
        <w:rPr>
          <w:rFonts w:eastAsia="Arial"/>
          <w:lang w:eastAsia="en-ZA"/>
        </w:rPr>
        <w:t xml:space="preserve">Income Tax Act: Amendment to section 9D </w:t>
      </w:r>
    </w:p>
    <w:p w14:paraId="5305258F" w14:textId="6CBEDC84" w:rsidR="002D0F50" w:rsidRPr="002D0F50" w:rsidRDefault="5A208F90" w:rsidP="002D0F50">
      <w:pPr>
        <w:rPr>
          <w:lang w:eastAsia="en-ZA"/>
        </w:rPr>
      </w:pPr>
      <w:r w:rsidRPr="5FEEF3AA">
        <w:rPr>
          <w:rFonts w:eastAsia="Arial"/>
          <w:lang w:eastAsia="en-ZA"/>
        </w:rPr>
        <w:t xml:space="preserve">Subclause </w:t>
      </w:r>
      <w:r w:rsidR="0AE50D7D" w:rsidRPr="5FEEF3AA">
        <w:rPr>
          <w:rFonts w:eastAsia="Arial"/>
          <w:lang w:eastAsia="en-ZA"/>
        </w:rPr>
        <w:t>(1)</w:t>
      </w:r>
      <w:r w:rsidRPr="5FEEF3AA">
        <w:rPr>
          <w:rFonts w:eastAsia="Arial"/>
          <w:lang w:eastAsia="en-ZA"/>
        </w:rPr>
        <w:t>(</w:t>
      </w:r>
      <w:r w:rsidRPr="5FEEF3AA">
        <w:rPr>
          <w:rFonts w:eastAsia="Arial"/>
          <w:i/>
          <w:iCs/>
          <w:lang w:eastAsia="en-ZA"/>
        </w:rPr>
        <w:t>a</w:t>
      </w:r>
      <w:r w:rsidRPr="5FEEF3AA">
        <w:rPr>
          <w:rFonts w:eastAsia="Arial"/>
          <w:lang w:eastAsia="en-ZA"/>
        </w:rPr>
        <w:t xml:space="preserve">): </w:t>
      </w:r>
      <w:r w:rsidRPr="5FEEF3AA">
        <w:rPr>
          <w:lang w:eastAsia="en-ZA"/>
        </w:rPr>
        <w:t xml:space="preserve">See notes on </w:t>
      </w:r>
      <w:r w:rsidRPr="5FEEF3AA">
        <w:rPr>
          <w:rFonts w:cs="Arial"/>
          <w:b/>
          <w:bCs/>
          <w:sz w:val="24"/>
        </w:rPr>
        <w:t>CLARIFYING THE TRANSLATION FOR HYPERINFLATIONARY CURRENCIES</w:t>
      </w:r>
    </w:p>
    <w:p w14:paraId="077EBDE3" w14:textId="0E0FB6A5" w:rsidR="002D0F50" w:rsidRDefault="5A208F90" w:rsidP="4DA829A6">
      <w:pPr>
        <w:rPr>
          <w:rFonts w:eastAsia="Arial"/>
          <w:lang w:eastAsia="en-ZA"/>
        </w:rPr>
      </w:pPr>
      <w:r w:rsidRPr="5FEEF3AA">
        <w:rPr>
          <w:lang w:eastAsia="en-ZA"/>
        </w:rPr>
        <w:t>Subclause</w:t>
      </w:r>
      <w:r w:rsidR="38B71F4E" w:rsidRPr="5FEEF3AA">
        <w:rPr>
          <w:lang w:eastAsia="en-ZA"/>
        </w:rPr>
        <w:t xml:space="preserve"> (1)</w:t>
      </w:r>
      <w:r w:rsidRPr="5FEEF3AA">
        <w:rPr>
          <w:lang w:eastAsia="en-ZA"/>
        </w:rPr>
        <w:t>(</w:t>
      </w:r>
      <w:r w:rsidRPr="5FEEF3AA">
        <w:rPr>
          <w:i/>
          <w:iCs/>
          <w:lang w:eastAsia="en-ZA"/>
        </w:rPr>
        <w:t>b</w:t>
      </w:r>
      <w:r w:rsidRPr="5FEEF3AA">
        <w:rPr>
          <w:lang w:eastAsia="en-ZA"/>
        </w:rPr>
        <w:t xml:space="preserve">) </w:t>
      </w:r>
      <w:r w:rsidR="4928F408" w:rsidRPr="5FEEF3AA">
        <w:rPr>
          <w:lang w:eastAsia="en-ZA"/>
        </w:rPr>
        <w:t>and</w:t>
      </w:r>
      <w:r w:rsidRPr="5FEEF3AA">
        <w:rPr>
          <w:lang w:eastAsia="en-ZA"/>
        </w:rPr>
        <w:t xml:space="preserve"> (</w:t>
      </w:r>
      <w:r w:rsidRPr="5FEEF3AA">
        <w:rPr>
          <w:i/>
          <w:iCs/>
          <w:lang w:eastAsia="en-ZA"/>
        </w:rPr>
        <w:t>c</w:t>
      </w:r>
      <w:r w:rsidRPr="5FEEF3AA">
        <w:rPr>
          <w:lang w:eastAsia="en-ZA"/>
        </w:rPr>
        <w:t>): These proposed amendment changes the word “attributable” to “effectively connected”, to clarify the nexus of an asset to a permanent establishment.</w:t>
      </w:r>
      <w:r w:rsidRPr="5FEEF3AA">
        <w:rPr>
          <w:rFonts w:eastAsia="Arial"/>
          <w:lang w:eastAsia="en-ZA"/>
        </w:rPr>
        <w:t xml:space="preserve"> </w:t>
      </w:r>
    </w:p>
    <w:p w14:paraId="48FF21DD" w14:textId="77777777" w:rsidR="002D0F50" w:rsidRPr="002D0F50" w:rsidRDefault="002D0F50" w:rsidP="002D0F50">
      <w:pPr>
        <w:rPr>
          <w:lang w:eastAsia="en-ZA"/>
        </w:rPr>
      </w:pPr>
    </w:p>
    <w:p w14:paraId="79420261" w14:textId="77777777" w:rsidR="002D0F50" w:rsidRPr="00BA1CD0" w:rsidRDefault="002D0F50" w:rsidP="002D0F50">
      <w:pPr>
        <w:jc w:val="center"/>
      </w:pPr>
      <w:r w:rsidRPr="00BA1CD0">
        <w:rPr>
          <w:b/>
          <w:bCs/>
          <w:szCs w:val="22"/>
          <w:lang w:val="en-US"/>
        </w:rPr>
        <w:t xml:space="preserve"> </w:t>
      </w:r>
      <w:r w:rsidRPr="00BA1CD0">
        <w:rPr>
          <w:b/>
          <w:bCs/>
          <w:lang w:val="en-US"/>
        </w:rPr>
        <w:t>CLAUSE 8</w:t>
      </w:r>
    </w:p>
    <w:p w14:paraId="0DC83E97" w14:textId="77777777" w:rsidR="00421762" w:rsidRPr="00421762" w:rsidRDefault="00421762" w:rsidP="00421762">
      <w:pPr>
        <w:rPr>
          <w:rFonts w:eastAsia="Arial"/>
        </w:rPr>
      </w:pPr>
      <w:r w:rsidRPr="00421762">
        <w:rPr>
          <w:rFonts w:eastAsia="Arial"/>
        </w:rPr>
        <w:t>Income Tax Act: Amendments to section 9H</w:t>
      </w:r>
    </w:p>
    <w:p w14:paraId="4B2837B2" w14:textId="16B12366" w:rsidR="00421762" w:rsidRDefault="54073337" w:rsidP="002D0F50">
      <w:pPr>
        <w:rPr>
          <w:rFonts w:eastAsia="Arial"/>
          <w:lang w:val="en-GB"/>
        </w:rPr>
      </w:pPr>
      <w:r w:rsidRPr="5FEEF3AA">
        <w:rPr>
          <w:rFonts w:eastAsia="Arial"/>
          <w:lang w:val="en-GB"/>
        </w:rPr>
        <w:t xml:space="preserve">The proposed amendment seeks to clarify how an </w:t>
      </w:r>
      <w:r w:rsidR="3E34276F" w:rsidRPr="5FEEF3AA">
        <w:rPr>
          <w:rFonts w:eastAsia="Arial"/>
          <w:lang w:val="en-GB"/>
        </w:rPr>
        <w:t>interest</w:t>
      </w:r>
      <w:r w:rsidRPr="5FEEF3AA">
        <w:rPr>
          <w:rFonts w:eastAsia="Arial"/>
          <w:lang w:val="en-GB"/>
        </w:rPr>
        <w:t xml:space="preserve"> in a South African retirement fund must be treated when a member of such a fund ceases to be a resident. From a policy point of view, the value of the member’s interest in the fund should not be subject to capital gains tax on exit, since this will result in potential double taxation when the member withdraws, dies or retires from the fund by virtue of the lump sum tables published in the annual Rates and Monetary Amounts Acts or in the form of an annuity (paragraph </w:t>
      </w:r>
      <w:r w:rsidRPr="5FEEF3AA">
        <w:rPr>
          <w:rFonts w:eastAsia="Arial"/>
          <w:i/>
          <w:iCs/>
          <w:lang w:val="en-GB"/>
        </w:rPr>
        <w:t>(a)</w:t>
      </w:r>
      <w:r w:rsidRPr="5FEEF3AA">
        <w:rPr>
          <w:rFonts w:eastAsia="Arial"/>
          <w:lang w:val="en-GB"/>
        </w:rPr>
        <w:t xml:space="preserve"> of the definition of “gross income” in the Act). Such amounts are deemed to be from a South African source under section 9(2)</w:t>
      </w:r>
      <w:r w:rsidRPr="5FEEF3AA">
        <w:rPr>
          <w:rFonts w:eastAsia="Arial"/>
          <w:i/>
          <w:iCs/>
          <w:lang w:val="en-GB"/>
        </w:rPr>
        <w:t>(</w:t>
      </w:r>
      <w:proofErr w:type="spellStart"/>
      <w:r w:rsidRPr="5FEEF3AA">
        <w:rPr>
          <w:rFonts w:eastAsia="Arial"/>
          <w:i/>
          <w:iCs/>
          <w:lang w:val="en-GB"/>
        </w:rPr>
        <w:t>i</w:t>
      </w:r>
      <w:proofErr w:type="spellEnd"/>
      <w:r w:rsidRPr="5FEEF3AA">
        <w:rPr>
          <w:rFonts w:eastAsia="Arial"/>
          <w:i/>
          <w:iCs/>
          <w:lang w:val="en-GB"/>
        </w:rPr>
        <w:t>)</w:t>
      </w:r>
      <w:r w:rsidRPr="5FEEF3AA">
        <w:rPr>
          <w:rFonts w:eastAsia="Arial"/>
          <w:lang w:val="en-GB"/>
        </w:rPr>
        <w:t xml:space="preserve"> of the Act and thus remain within South Africa’s taxing jurisdiction, despite the member becoming a non-resident. It is therefore proposed that interests in SA retirement funds be excluded from the ambit of the exit charge in a new paragraph </w:t>
      </w:r>
      <w:r w:rsidRPr="5FEEF3AA">
        <w:rPr>
          <w:rFonts w:eastAsia="Arial"/>
          <w:i/>
          <w:iCs/>
          <w:lang w:val="en-GB"/>
        </w:rPr>
        <w:t xml:space="preserve">(g) </w:t>
      </w:r>
      <w:r w:rsidRPr="5FEEF3AA">
        <w:rPr>
          <w:rFonts w:eastAsia="Arial"/>
          <w:lang w:val="en-GB"/>
        </w:rPr>
        <w:t>of section 9H(4) of the Act.</w:t>
      </w:r>
    </w:p>
    <w:p w14:paraId="10DBF711" w14:textId="77777777" w:rsidR="00421762" w:rsidRDefault="00421762" w:rsidP="002D0F50">
      <w:pPr>
        <w:rPr>
          <w:rFonts w:eastAsia="Arial"/>
          <w:lang w:val="en-GB"/>
        </w:rPr>
      </w:pPr>
    </w:p>
    <w:p w14:paraId="202DD89C" w14:textId="77777777" w:rsidR="002D0F50" w:rsidRPr="00BA1CD0" w:rsidRDefault="002D0F50" w:rsidP="002D0F50">
      <w:pPr>
        <w:jc w:val="center"/>
      </w:pPr>
      <w:r w:rsidRPr="00BA1CD0">
        <w:rPr>
          <w:b/>
          <w:bCs/>
          <w:lang w:val="en-US"/>
        </w:rPr>
        <w:t>CLAUSE 9</w:t>
      </w:r>
      <w:r w:rsidRPr="00BA1CD0">
        <w:rPr>
          <w:lang w:val="en-US"/>
        </w:rPr>
        <w:t xml:space="preserve"> </w:t>
      </w:r>
    </w:p>
    <w:p w14:paraId="485747FB" w14:textId="77777777" w:rsidR="00421762" w:rsidRPr="00421762" w:rsidRDefault="00421762" w:rsidP="00421762">
      <w:pPr>
        <w:rPr>
          <w:rFonts w:eastAsia="Arial"/>
          <w:lang w:eastAsia="en-ZA"/>
        </w:rPr>
      </w:pPr>
      <w:r w:rsidRPr="00421762">
        <w:rPr>
          <w:rFonts w:eastAsia="Arial"/>
          <w:lang w:eastAsia="en-ZA"/>
        </w:rPr>
        <w:t xml:space="preserve">Income Tax Act: Amendments to section 11 </w:t>
      </w:r>
    </w:p>
    <w:p w14:paraId="00AA249A" w14:textId="77777777" w:rsidR="00421762" w:rsidRDefault="00421762" w:rsidP="00421762">
      <w:pPr>
        <w:rPr>
          <w:b/>
          <w:bCs/>
          <w:lang w:eastAsia="en-ZA"/>
        </w:rPr>
      </w:pPr>
      <w:bookmarkStart w:id="376" w:name="_Hlk172319287"/>
      <w:r w:rsidRPr="00421762">
        <w:rPr>
          <w:rFonts w:eastAsia="Arial" w:cs="Arial"/>
          <w:color w:val="000000"/>
          <w:szCs w:val="22"/>
          <w:lang w:eastAsia="en-ZA"/>
        </w:rPr>
        <w:t xml:space="preserve">See notes on </w:t>
      </w:r>
      <w:r w:rsidRPr="00421762">
        <w:rPr>
          <w:b/>
          <w:bCs/>
          <w:lang w:eastAsia="en-ZA"/>
        </w:rPr>
        <w:t xml:space="preserve">PAYROLL AMENDMENTS AND REFUNDS MADE IN THE CURRENT YEAR </w:t>
      </w:r>
      <w:bookmarkEnd w:id="376"/>
    </w:p>
    <w:p w14:paraId="1889B12A" w14:textId="77777777" w:rsidR="00ED43DE" w:rsidRPr="00421762" w:rsidRDefault="00ED43DE" w:rsidP="00421762">
      <w:pPr>
        <w:rPr>
          <w:b/>
          <w:bCs/>
          <w:lang w:eastAsia="en-ZA"/>
        </w:rPr>
      </w:pPr>
    </w:p>
    <w:p w14:paraId="43083056" w14:textId="77777777" w:rsidR="002D0F50" w:rsidRPr="00BA1CD0" w:rsidRDefault="002D0F50" w:rsidP="002D0F50">
      <w:pPr>
        <w:jc w:val="center"/>
      </w:pPr>
      <w:r w:rsidRPr="00BA1CD0">
        <w:rPr>
          <w:b/>
          <w:bCs/>
          <w:lang w:val="en-US"/>
        </w:rPr>
        <w:t>CLAUSE 10</w:t>
      </w:r>
    </w:p>
    <w:p w14:paraId="1583B426" w14:textId="77777777" w:rsidR="00421762" w:rsidRPr="00421762" w:rsidRDefault="00421762" w:rsidP="00421762">
      <w:pPr>
        <w:rPr>
          <w:rFonts w:eastAsia="Arial"/>
        </w:rPr>
      </w:pPr>
      <w:r w:rsidRPr="00421762">
        <w:rPr>
          <w:rFonts w:eastAsia="Arial"/>
        </w:rPr>
        <w:t>Income Tax Act: Amendments to section 12C</w:t>
      </w:r>
    </w:p>
    <w:p w14:paraId="78A2D0D8" w14:textId="03DD9DB6" w:rsidR="00421762" w:rsidRPr="00421762" w:rsidRDefault="54073337" w:rsidP="00421762">
      <w:pPr>
        <w:rPr>
          <w:rFonts w:eastAsia="Arial"/>
        </w:rPr>
      </w:pPr>
      <w:r w:rsidRPr="5FEEF3AA">
        <w:rPr>
          <w:rFonts w:eastAsia="Arial"/>
        </w:rPr>
        <w:t xml:space="preserve">See notes on </w:t>
      </w:r>
      <w:r w:rsidRPr="5FEEF3AA">
        <w:rPr>
          <w:rFonts w:eastAsia="Arial"/>
          <w:b/>
          <w:bCs/>
        </w:rPr>
        <w:t xml:space="preserve"> </w:t>
      </w:r>
      <w:r w:rsidR="657BD8A0" w:rsidRPr="00D259EF">
        <w:rPr>
          <w:rFonts w:eastAsia="Arial"/>
          <w:b/>
          <w:bCs/>
        </w:rPr>
        <w:t xml:space="preserve">DEDUCTION </w:t>
      </w:r>
      <w:r w:rsidRPr="5FEEF3AA">
        <w:rPr>
          <w:rFonts w:eastAsia="Arial"/>
          <w:b/>
          <w:bCs/>
        </w:rPr>
        <w:t xml:space="preserve">IN RESPECT OF </w:t>
      </w:r>
      <w:r w:rsidR="2BB57973" w:rsidRPr="5FEEF3AA">
        <w:rPr>
          <w:rFonts w:eastAsia="Arial"/>
          <w:b/>
          <w:bCs/>
        </w:rPr>
        <w:t>CERTAIN ASSETS</w:t>
      </w:r>
      <w:r w:rsidRPr="5FEEF3AA">
        <w:rPr>
          <w:rFonts w:eastAsia="Arial"/>
          <w:b/>
          <w:bCs/>
        </w:rPr>
        <w:t xml:space="preserve">USED IN DOMESTIC PRODUCTION OF </w:t>
      </w:r>
      <w:r w:rsidR="06962B1C" w:rsidRPr="5FEEF3AA">
        <w:rPr>
          <w:rFonts w:eastAsia="Arial"/>
          <w:b/>
          <w:bCs/>
        </w:rPr>
        <w:t xml:space="preserve">BATTERY </w:t>
      </w:r>
      <w:r w:rsidRPr="5FEEF3AA">
        <w:rPr>
          <w:rFonts w:eastAsia="Arial"/>
          <w:b/>
          <w:bCs/>
        </w:rPr>
        <w:t>ELECTRIC AND HYDROGEN-POWERED VEHICLES</w:t>
      </w:r>
    </w:p>
    <w:p w14:paraId="40571071" w14:textId="77777777" w:rsidR="002D0F50" w:rsidRPr="00BA1CD0" w:rsidRDefault="002D0F50" w:rsidP="002D0F50">
      <w:pPr>
        <w:rPr>
          <w:szCs w:val="22"/>
          <w:lang w:val="en-US"/>
        </w:rPr>
      </w:pPr>
    </w:p>
    <w:p w14:paraId="671E9E22" w14:textId="77777777" w:rsidR="002D0F50" w:rsidRPr="00BA1CD0" w:rsidRDefault="002D0F50" w:rsidP="002D0F50">
      <w:pPr>
        <w:jc w:val="center"/>
      </w:pPr>
      <w:r w:rsidRPr="00BA1CD0">
        <w:rPr>
          <w:b/>
          <w:bCs/>
          <w:lang w:val="en-US"/>
        </w:rPr>
        <w:t>CLAUSE 11</w:t>
      </w:r>
    </w:p>
    <w:p w14:paraId="63B5B896" w14:textId="77777777" w:rsidR="00421762" w:rsidRPr="00421762" w:rsidRDefault="00421762" w:rsidP="00421762">
      <w:pPr>
        <w:rPr>
          <w:rFonts w:eastAsia="Arial"/>
        </w:rPr>
      </w:pPr>
      <w:r w:rsidRPr="00421762">
        <w:rPr>
          <w:rFonts w:eastAsia="Arial"/>
        </w:rPr>
        <w:t>Income Tax Act: Amendments to section 12E</w:t>
      </w:r>
    </w:p>
    <w:p w14:paraId="4D775025" w14:textId="7092ECF5" w:rsidR="00421762" w:rsidRPr="00421762" w:rsidRDefault="54073337" w:rsidP="4DA829A6">
      <w:pPr>
        <w:rPr>
          <w:rFonts w:eastAsia="Arial"/>
        </w:rPr>
      </w:pPr>
      <w:r w:rsidRPr="5FEEF3AA">
        <w:rPr>
          <w:rFonts w:eastAsia="Arial"/>
        </w:rPr>
        <w:t>The proposed amendment to subsection (3B) seeks to correct the grammatical error to correct the wording “an allowance” to “a deduction”</w:t>
      </w:r>
      <w:r w:rsidR="5FF2150A" w:rsidRPr="5FEEF3AA">
        <w:rPr>
          <w:rFonts w:eastAsia="Arial"/>
        </w:rPr>
        <w:t xml:space="preserve"> as a deduction exceeding the cost of the asset is allowed</w:t>
      </w:r>
      <w:r w:rsidRPr="5FEEF3AA">
        <w:rPr>
          <w:rFonts w:eastAsia="Arial"/>
        </w:rPr>
        <w:t>.</w:t>
      </w:r>
    </w:p>
    <w:p w14:paraId="5C02463F" w14:textId="77777777" w:rsidR="002D0F50" w:rsidRPr="00BA1CD0" w:rsidRDefault="002D0F50" w:rsidP="002D0F50">
      <w:pPr>
        <w:rPr>
          <w:szCs w:val="22"/>
          <w:lang w:val="en-US"/>
        </w:rPr>
      </w:pPr>
    </w:p>
    <w:p w14:paraId="5E4DC0AB" w14:textId="77777777" w:rsidR="002D0F50" w:rsidRPr="00BA1CD0" w:rsidRDefault="002D0F50" w:rsidP="002D0F50">
      <w:pPr>
        <w:jc w:val="center"/>
      </w:pPr>
      <w:r w:rsidRPr="00BA1CD0">
        <w:rPr>
          <w:b/>
          <w:bCs/>
          <w:lang w:val="en-US"/>
        </w:rPr>
        <w:t>CLAUSE 12</w:t>
      </w:r>
    </w:p>
    <w:p w14:paraId="5498514C" w14:textId="77777777" w:rsidR="00421762" w:rsidRPr="00421762" w:rsidRDefault="00421762" w:rsidP="00421762">
      <w:pPr>
        <w:spacing w:line="257" w:lineRule="auto"/>
        <w:rPr>
          <w:rFonts w:eastAsia="Arial"/>
        </w:rPr>
      </w:pPr>
      <w:r w:rsidRPr="00421762">
        <w:rPr>
          <w:rFonts w:eastAsia="Arial"/>
        </w:rPr>
        <w:t xml:space="preserve">Income Tax Act: Insertion of section 12V  </w:t>
      </w:r>
    </w:p>
    <w:p w14:paraId="7273B396" w14:textId="2D9CF484" w:rsidR="00421762" w:rsidRPr="00421762" w:rsidRDefault="54073337" w:rsidP="00421762">
      <w:pPr>
        <w:spacing w:line="257" w:lineRule="auto"/>
        <w:rPr>
          <w:rFonts w:eastAsia="Arial"/>
        </w:rPr>
      </w:pPr>
      <w:bookmarkStart w:id="377" w:name="_Hlk173235893"/>
      <w:r w:rsidRPr="5FEEF3AA">
        <w:rPr>
          <w:rFonts w:eastAsia="Arial"/>
        </w:rPr>
        <w:t xml:space="preserve">See notes on </w:t>
      </w:r>
      <w:r w:rsidR="5CEB98AB" w:rsidRPr="5FEEF3AA">
        <w:rPr>
          <w:rFonts w:eastAsia="Arial"/>
          <w:b/>
          <w:bCs/>
        </w:rPr>
        <w:t>DEDUCTION</w:t>
      </w:r>
      <w:r w:rsidRPr="5FEEF3AA">
        <w:rPr>
          <w:rFonts w:eastAsia="Arial"/>
          <w:b/>
          <w:bCs/>
        </w:rPr>
        <w:t xml:space="preserve"> IN RESPECT OF </w:t>
      </w:r>
      <w:r w:rsidR="5D7E66F5" w:rsidRPr="5FEEF3AA">
        <w:rPr>
          <w:rFonts w:eastAsia="Arial"/>
          <w:b/>
          <w:bCs/>
        </w:rPr>
        <w:t>CERTAIN ASSETS</w:t>
      </w:r>
      <w:r w:rsidRPr="5FEEF3AA">
        <w:rPr>
          <w:rFonts w:eastAsia="Arial"/>
          <w:b/>
          <w:bCs/>
        </w:rPr>
        <w:t xml:space="preserve"> USED IN DOMESTIC PRODUCTION OF </w:t>
      </w:r>
      <w:r w:rsidR="0CD3FC47" w:rsidRPr="5FEEF3AA">
        <w:rPr>
          <w:rFonts w:eastAsia="Arial"/>
          <w:b/>
          <w:bCs/>
        </w:rPr>
        <w:t xml:space="preserve">BATTERY </w:t>
      </w:r>
      <w:r w:rsidRPr="5FEEF3AA">
        <w:rPr>
          <w:rFonts w:eastAsia="Arial"/>
          <w:b/>
          <w:bCs/>
        </w:rPr>
        <w:t>ELECTRIC AND HYDROGEN-POWERED VEHICLES</w:t>
      </w:r>
    </w:p>
    <w:bookmarkEnd w:id="377"/>
    <w:p w14:paraId="2EBAC2C9" w14:textId="77777777" w:rsidR="002D0F50" w:rsidRPr="00BA1CD0" w:rsidRDefault="002D0F50" w:rsidP="002D0F50">
      <w:pPr>
        <w:spacing w:line="257" w:lineRule="auto"/>
      </w:pPr>
    </w:p>
    <w:p w14:paraId="4DCF5484" w14:textId="77777777" w:rsidR="002D0F50" w:rsidRPr="00BA1CD0" w:rsidRDefault="002D0F50" w:rsidP="002D0F50">
      <w:pPr>
        <w:jc w:val="center"/>
      </w:pPr>
      <w:r w:rsidRPr="00BA1CD0">
        <w:rPr>
          <w:b/>
          <w:bCs/>
          <w:lang w:val="en-US"/>
        </w:rPr>
        <w:t>CLAUSE 13</w:t>
      </w:r>
    </w:p>
    <w:p w14:paraId="5B7A518D" w14:textId="77777777" w:rsidR="00421762" w:rsidRPr="00421762" w:rsidRDefault="00421762" w:rsidP="00421762">
      <w:pPr>
        <w:rPr>
          <w:rFonts w:eastAsia="Arial"/>
        </w:rPr>
      </w:pPr>
      <w:r w:rsidRPr="00421762">
        <w:rPr>
          <w:rFonts w:eastAsia="Arial"/>
        </w:rPr>
        <w:t>Income Tax Act: Amendments to section 13</w:t>
      </w:r>
    </w:p>
    <w:p w14:paraId="7E9787AE" w14:textId="4D0BA114" w:rsidR="00421762" w:rsidRPr="00421762" w:rsidRDefault="54073337" w:rsidP="00421762">
      <w:pPr>
        <w:rPr>
          <w:rFonts w:eastAsia="Arial"/>
        </w:rPr>
      </w:pPr>
      <w:r w:rsidRPr="5FEEF3AA">
        <w:rPr>
          <w:rFonts w:eastAsia="Arial"/>
        </w:rPr>
        <w:t xml:space="preserve">Subclause </w:t>
      </w:r>
      <w:r w:rsidR="03196166" w:rsidRPr="5FEEF3AA">
        <w:rPr>
          <w:rFonts w:eastAsia="Arial"/>
        </w:rPr>
        <w:t>(1)</w:t>
      </w:r>
      <w:r w:rsidRPr="5FEEF3AA">
        <w:rPr>
          <w:rFonts w:eastAsia="Arial"/>
        </w:rPr>
        <w:t>(</w:t>
      </w:r>
      <w:r w:rsidRPr="5FEEF3AA">
        <w:rPr>
          <w:rFonts w:eastAsia="Arial"/>
          <w:i/>
          <w:iCs/>
        </w:rPr>
        <w:t>a</w:t>
      </w:r>
      <w:r w:rsidRPr="5FEEF3AA">
        <w:rPr>
          <w:rFonts w:eastAsia="Arial"/>
        </w:rPr>
        <w:t>): The proposed amendment to the heading of section 13 seeks to add the words “or research and development” to clarify the scope of the section.</w:t>
      </w:r>
    </w:p>
    <w:p w14:paraId="163D08E9" w14:textId="0040165E" w:rsidR="00421762" w:rsidRPr="00421762" w:rsidRDefault="54073337" w:rsidP="4DA829A6">
      <w:pPr>
        <w:rPr>
          <w:rFonts w:eastAsia="Arial"/>
          <w:b/>
          <w:bCs/>
        </w:rPr>
      </w:pPr>
      <w:r w:rsidRPr="5FEEF3AA">
        <w:rPr>
          <w:rFonts w:eastAsia="Arial"/>
        </w:rPr>
        <w:t xml:space="preserve">Subclause </w:t>
      </w:r>
      <w:r w:rsidR="10554669" w:rsidRPr="5FEEF3AA">
        <w:rPr>
          <w:rFonts w:eastAsia="Arial"/>
        </w:rPr>
        <w:t>(1)</w:t>
      </w:r>
      <w:r w:rsidRPr="5FEEF3AA">
        <w:rPr>
          <w:rFonts w:eastAsia="Arial"/>
        </w:rPr>
        <w:t>(</w:t>
      </w:r>
      <w:r w:rsidRPr="5FEEF3AA">
        <w:rPr>
          <w:rFonts w:eastAsia="Arial"/>
          <w:i/>
          <w:iCs/>
        </w:rPr>
        <w:t>b</w:t>
      </w:r>
      <w:r w:rsidRPr="5FEEF3AA">
        <w:rPr>
          <w:rFonts w:eastAsia="Arial"/>
        </w:rPr>
        <w:t xml:space="preserve">): </w:t>
      </w:r>
      <w:bookmarkStart w:id="378" w:name="_Hlk172324751"/>
      <w:r w:rsidRPr="5FEEF3AA">
        <w:rPr>
          <w:rFonts w:eastAsia="Arial"/>
        </w:rPr>
        <w:t>The proposed amendment to subsection (1) for the words preceding paragraph (</w:t>
      </w:r>
      <w:r w:rsidRPr="5FEEF3AA">
        <w:rPr>
          <w:rFonts w:eastAsia="Arial"/>
          <w:i/>
          <w:iCs/>
        </w:rPr>
        <w:t>b</w:t>
      </w:r>
      <w:r w:rsidRPr="5FEEF3AA">
        <w:rPr>
          <w:rFonts w:eastAsia="Arial"/>
        </w:rPr>
        <w:t>) deletes the obsolete reference to subsection (7)</w:t>
      </w:r>
      <w:r w:rsidR="446A7D0E" w:rsidRPr="5FEEF3AA">
        <w:rPr>
          <w:rFonts w:eastAsia="Arial"/>
        </w:rPr>
        <w:t>,</w:t>
      </w:r>
      <w:r w:rsidRPr="5FEEF3AA">
        <w:rPr>
          <w:rFonts w:eastAsia="Arial"/>
        </w:rPr>
        <w:t xml:space="preserve"> which </w:t>
      </w:r>
      <w:r w:rsidR="68276587" w:rsidRPr="5FEEF3AA">
        <w:rPr>
          <w:rFonts w:eastAsia="Arial"/>
        </w:rPr>
        <w:t>was</w:t>
      </w:r>
      <w:r w:rsidRPr="5FEEF3AA">
        <w:rPr>
          <w:rFonts w:eastAsia="Arial"/>
        </w:rPr>
        <w:t xml:space="preserve"> repealed.</w:t>
      </w:r>
      <w:bookmarkEnd w:id="378"/>
    </w:p>
    <w:p w14:paraId="3E8B9F4C" w14:textId="19823839" w:rsidR="00421762" w:rsidRPr="00421762" w:rsidRDefault="54073337" w:rsidP="4DA829A6">
      <w:pPr>
        <w:rPr>
          <w:rFonts w:eastAsia="Arial"/>
        </w:rPr>
      </w:pPr>
      <w:bookmarkStart w:id="379" w:name="_Hlk172322751"/>
      <w:r w:rsidRPr="5FEEF3AA">
        <w:rPr>
          <w:rFonts w:eastAsia="Arial"/>
        </w:rPr>
        <w:t xml:space="preserve">Subclause </w:t>
      </w:r>
      <w:r w:rsidR="504F4A7D" w:rsidRPr="5FEEF3AA">
        <w:rPr>
          <w:rFonts w:eastAsia="Arial"/>
        </w:rPr>
        <w:t>(1)</w:t>
      </w:r>
      <w:r w:rsidRPr="5FEEF3AA">
        <w:rPr>
          <w:rFonts w:eastAsia="Arial"/>
        </w:rPr>
        <w:t>(</w:t>
      </w:r>
      <w:r w:rsidRPr="5FEEF3AA">
        <w:rPr>
          <w:rFonts w:eastAsia="Arial"/>
          <w:i/>
          <w:iCs/>
        </w:rPr>
        <w:t>c</w:t>
      </w:r>
      <w:r w:rsidRPr="5FEEF3AA">
        <w:rPr>
          <w:rFonts w:eastAsia="Arial"/>
        </w:rPr>
        <w:t>): The proposed amendment seeks to remove the “or” at the end of paragraphs (</w:t>
      </w:r>
      <w:r w:rsidRPr="5FEEF3AA">
        <w:rPr>
          <w:rFonts w:eastAsia="Arial"/>
          <w:i/>
          <w:iCs/>
        </w:rPr>
        <w:t>b</w:t>
      </w:r>
      <w:r w:rsidRPr="5FEEF3AA">
        <w:rPr>
          <w:rFonts w:eastAsia="Arial"/>
        </w:rPr>
        <w:t>) and (</w:t>
      </w:r>
      <w:r w:rsidRPr="5FEEF3AA">
        <w:rPr>
          <w:rFonts w:eastAsia="Arial"/>
          <w:i/>
          <w:iCs/>
        </w:rPr>
        <w:t>d</w:t>
      </w:r>
      <w:r w:rsidRPr="5FEEF3AA">
        <w:rPr>
          <w:rFonts w:eastAsia="Arial"/>
        </w:rPr>
        <w:t>) as a matter of style and consistency.</w:t>
      </w:r>
    </w:p>
    <w:bookmarkEnd w:id="379"/>
    <w:p w14:paraId="0D6AF97C" w14:textId="7742318B" w:rsidR="00421762" w:rsidRPr="00421762" w:rsidRDefault="54073337" w:rsidP="4DA829A6">
      <w:pPr>
        <w:rPr>
          <w:rFonts w:eastAsia="Arial"/>
        </w:rPr>
      </w:pPr>
      <w:r w:rsidRPr="5FEEF3AA">
        <w:rPr>
          <w:rFonts w:eastAsia="Arial"/>
        </w:rPr>
        <w:t xml:space="preserve">Subclause </w:t>
      </w:r>
      <w:r w:rsidR="17396C19" w:rsidRPr="5FEEF3AA">
        <w:rPr>
          <w:rFonts w:eastAsia="Arial"/>
        </w:rPr>
        <w:t>(1)</w:t>
      </w:r>
      <w:r w:rsidRPr="5FEEF3AA">
        <w:rPr>
          <w:rFonts w:eastAsia="Arial"/>
        </w:rPr>
        <w:t>(</w:t>
      </w:r>
      <w:r w:rsidRPr="5FEEF3AA">
        <w:rPr>
          <w:rFonts w:eastAsia="Arial"/>
          <w:i/>
          <w:iCs/>
        </w:rPr>
        <w:t>d</w:t>
      </w:r>
      <w:r w:rsidRPr="5FEEF3AA">
        <w:rPr>
          <w:rFonts w:eastAsia="Arial"/>
        </w:rPr>
        <w:t xml:space="preserve">): The proposed deletion of subsection </w:t>
      </w:r>
      <w:r w:rsidR="5D620396" w:rsidRPr="5FEEF3AA">
        <w:rPr>
          <w:rFonts w:eastAsia="Arial"/>
        </w:rPr>
        <w:t>(</w:t>
      </w:r>
      <w:r w:rsidRPr="5FEEF3AA">
        <w:rPr>
          <w:rFonts w:eastAsia="Arial"/>
        </w:rPr>
        <w:t>1</w:t>
      </w:r>
      <w:r w:rsidR="0773AAF2" w:rsidRPr="5FEEF3AA">
        <w:rPr>
          <w:rFonts w:eastAsia="Arial"/>
        </w:rPr>
        <w:t>)</w:t>
      </w:r>
      <w:r w:rsidRPr="5FEEF3AA">
        <w:rPr>
          <w:rFonts w:eastAsia="Arial"/>
        </w:rPr>
        <w:t>(</w:t>
      </w:r>
      <w:r w:rsidRPr="5FEEF3AA">
        <w:rPr>
          <w:rFonts w:eastAsia="Arial"/>
          <w:i/>
          <w:iCs/>
        </w:rPr>
        <w:t>e</w:t>
      </w:r>
      <w:r w:rsidRPr="5FEEF3AA">
        <w:rPr>
          <w:rFonts w:eastAsia="Arial"/>
        </w:rPr>
        <w:t>) seeks to delete a now obsolete provision of the Act that allowed for a 2% allowance on any improvements commencing no later than the thirty-first of March 1971. As such, any taxpayer’s ability to claim the allowance ended in March 2021.</w:t>
      </w:r>
    </w:p>
    <w:p w14:paraId="5BF1B97A" w14:textId="41738E24" w:rsidR="00421762" w:rsidRPr="00421762" w:rsidRDefault="54073337" w:rsidP="00421762">
      <w:pPr>
        <w:rPr>
          <w:rFonts w:eastAsia="Arial"/>
        </w:rPr>
      </w:pPr>
      <w:r w:rsidRPr="5FEEF3AA">
        <w:rPr>
          <w:rFonts w:eastAsia="Arial"/>
        </w:rPr>
        <w:t xml:space="preserve">Subclause </w:t>
      </w:r>
      <w:r w:rsidR="0C7B58CD" w:rsidRPr="5FEEF3AA">
        <w:rPr>
          <w:rFonts w:eastAsia="Arial"/>
        </w:rPr>
        <w:t>(1)</w:t>
      </w:r>
      <w:r w:rsidRPr="5FEEF3AA">
        <w:rPr>
          <w:rFonts w:eastAsia="Arial"/>
        </w:rPr>
        <w:t>(</w:t>
      </w:r>
      <w:r w:rsidRPr="5FEEF3AA">
        <w:rPr>
          <w:rFonts w:eastAsia="Arial"/>
          <w:i/>
          <w:iCs/>
        </w:rPr>
        <w:t>e</w:t>
      </w:r>
      <w:r w:rsidRPr="5FEEF3AA">
        <w:rPr>
          <w:rFonts w:eastAsia="Arial"/>
        </w:rPr>
        <w:t>): The proposed amendment of subsection (1)(</w:t>
      </w:r>
      <w:r w:rsidRPr="5FEEF3AA">
        <w:rPr>
          <w:rFonts w:eastAsia="Arial"/>
          <w:i/>
          <w:iCs/>
        </w:rPr>
        <w:t>f</w:t>
      </w:r>
      <w:r w:rsidRPr="5FEEF3AA">
        <w:rPr>
          <w:rFonts w:eastAsia="Arial"/>
        </w:rPr>
        <w:t>) seeks to add the words “research and development” to clarify the scope of the section.</w:t>
      </w:r>
    </w:p>
    <w:p w14:paraId="63655655" w14:textId="4DC873B2" w:rsidR="00421762" w:rsidRPr="00421762" w:rsidRDefault="54073337" w:rsidP="4DA829A6">
      <w:pPr>
        <w:rPr>
          <w:rFonts w:eastAsia="Arial"/>
        </w:rPr>
      </w:pPr>
      <w:r w:rsidRPr="5FEEF3AA">
        <w:rPr>
          <w:rFonts w:eastAsia="Arial"/>
        </w:rPr>
        <w:t xml:space="preserve">Subclause </w:t>
      </w:r>
      <w:r w:rsidR="36F0494A" w:rsidRPr="5FEEF3AA">
        <w:rPr>
          <w:rFonts w:eastAsia="Arial"/>
        </w:rPr>
        <w:t>(1)</w:t>
      </w:r>
      <w:r w:rsidRPr="5FEEF3AA">
        <w:rPr>
          <w:rFonts w:eastAsia="Arial"/>
        </w:rPr>
        <w:t>(</w:t>
      </w:r>
      <w:r w:rsidRPr="5FEEF3AA">
        <w:rPr>
          <w:rFonts w:eastAsia="Arial"/>
          <w:i/>
          <w:iCs/>
        </w:rPr>
        <w:t>f</w:t>
      </w:r>
      <w:r w:rsidRPr="5FEEF3AA">
        <w:rPr>
          <w:rFonts w:eastAsia="Arial"/>
        </w:rPr>
        <w:t>): The proposed amendment to subsection (1) for paragraph (</w:t>
      </w:r>
      <w:r w:rsidRPr="5FEEF3AA">
        <w:rPr>
          <w:rFonts w:eastAsia="Arial"/>
          <w:i/>
          <w:iCs/>
        </w:rPr>
        <w:t>b</w:t>
      </w:r>
      <w:r w:rsidRPr="5FEEF3AA">
        <w:rPr>
          <w:rFonts w:eastAsia="Arial"/>
        </w:rPr>
        <w:t>) of the proviso deletes an obsolete reference to paragraph (</w:t>
      </w:r>
      <w:r w:rsidRPr="5FEEF3AA">
        <w:rPr>
          <w:rFonts w:eastAsia="Arial"/>
          <w:i/>
          <w:iCs/>
        </w:rPr>
        <w:t>c</w:t>
      </w:r>
      <w:r w:rsidRPr="5FEEF3AA">
        <w:rPr>
          <w:rFonts w:eastAsia="Arial"/>
        </w:rPr>
        <w:t xml:space="preserve">) of that proviso which </w:t>
      </w:r>
      <w:r w:rsidR="427283C8" w:rsidRPr="5FEEF3AA">
        <w:rPr>
          <w:rFonts w:eastAsia="Arial"/>
        </w:rPr>
        <w:t>was</w:t>
      </w:r>
      <w:r w:rsidRPr="5FEEF3AA">
        <w:rPr>
          <w:rFonts w:eastAsia="Arial"/>
        </w:rPr>
        <w:t xml:space="preserve"> repealed.</w:t>
      </w:r>
    </w:p>
    <w:p w14:paraId="41ADF2FD" w14:textId="324763EF" w:rsidR="00421762" w:rsidRPr="00421762" w:rsidRDefault="54073337" w:rsidP="4DA829A6">
      <w:pPr>
        <w:rPr>
          <w:rFonts w:eastAsia="Arial"/>
        </w:rPr>
      </w:pPr>
      <w:r w:rsidRPr="5FEEF3AA">
        <w:rPr>
          <w:rFonts w:eastAsia="Arial"/>
        </w:rPr>
        <w:t xml:space="preserve">Subclause </w:t>
      </w:r>
      <w:r w:rsidR="1B6B36DE" w:rsidRPr="5FEEF3AA">
        <w:rPr>
          <w:rFonts w:eastAsia="Arial"/>
        </w:rPr>
        <w:t>(1)</w:t>
      </w:r>
      <w:r w:rsidRPr="5FEEF3AA">
        <w:rPr>
          <w:rFonts w:eastAsia="Arial"/>
        </w:rPr>
        <w:t>(</w:t>
      </w:r>
      <w:r w:rsidRPr="5FEEF3AA">
        <w:rPr>
          <w:rFonts w:eastAsia="Arial"/>
          <w:i/>
          <w:iCs/>
        </w:rPr>
        <w:t>g</w:t>
      </w:r>
      <w:r w:rsidRPr="5FEEF3AA">
        <w:rPr>
          <w:rFonts w:eastAsia="Arial"/>
        </w:rPr>
        <w:t>): The proposed amendment to subsection (2) deletes an obsolete reference to subsection (7)</w:t>
      </w:r>
      <w:r w:rsidR="3B1FE9F0" w:rsidRPr="5FEEF3AA">
        <w:rPr>
          <w:rFonts w:eastAsia="Arial"/>
        </w:rPr>
        <w:t>,</w:t>
      </w:r>
      <w:r w:rsidRPr="5FEEF3AA">
        <w:rPr>
          <w:rFonts w:eastAsia="Arial"/>
        </w:rPr>
        <w:t xml:space="preserve"> which </w:t>
      </w:r>
      <w:r w:rsidR="54F639BC" w:rsidRPr="5FEEF3AA">
        <w:rPr>
          <w:rFonts w:eastAsia="Arial"/>
        </w:rPr>
        <w:t>was</w:t>
      </w:r>
      <w:r w:rsidRPr="5FEEF3AA">
        <w:rPr>
          <w:rFonts w:eastAsia="Arial"/>
        </w:rPr>
        <w:t xml:space="preserve"> repealed.</w:t>
      </w:r>
    </w:p>
    <w:p w14:paraId="494FB445" w14:textId="5B00E19E" w:rsidR="00421762" w:rsidRPr="00421762" w:rsidRDefault="54073337" w:rsidP="5FEEF3AA">
      <w:pPr>
        <w:rPr>
          <w:rFonts w:eastAsia="Arial"/>
          <w:b/>
          <w:bCs/>
        </w:rPr>
      </w:pPr>
      <w:r w:rsidRPr="5FEEF3AA">
        <w:rPr>
          <w:rFonts w:eastAsia="Arial"/>
        </w:rPr>
        <w:t xml:space="preserve">Subclause </w:t>
      </w:r>
      <w:r w:rsidR="6BEE8B8E" w:rsidRPr="5FEEF3AA">
        <w:rPr>
          <w:rFonts w:eastAsia="Arial"/>
        </w:rPr>
        <w:t>(1)</w:t>
      </w:r>
      <w:r w:rsidRPr="5FEEF3AA">
        <w:rPr>
          <w:rFonts w:eastAsia="Arial"/>
        </w:rPr>
        <w:t>(</w:t>
      </w:r>
      <w:r w:rsidRPr="5FEEF3AA">
        <w:rPr>
          <w:rFonts w:eastAsia="Arial"/>
          <w:i/>
          <w:iCs/>
        </w:rPr>
        <w:t>h</w:t>
      </w:r>
      <w:r w:rsidRPr="5FEEF3AA">
        <w:rPr>
          <w:rFonts w:eastAsia="Arial"/>
        </w:rPr>
        <w:t xml:space="preserve">): See notes on </w:t>
      </w:r>
      <w:r w:rsidR="5B41236E" w:rsidRPr="5FEEF3AA">
        <w:rPr>
          <w:rFonts w:eastAsia="Arial"/>
          <w:b/>
          <w:bCs/>
        </w:rPr>
        <w:t>DEDUCTION</w:t>
      </w:r>
      <w:r w:rsidRPr="5FEEF3AA">
        <w:rPr>
          <w:rFonts w:eastAsia="Arial"/>
          <w:b/>
          <w:bCs/>
        </w:rPr>
        <w:t xml:space="preserve"> IN RESPECT OF </w:t>
      </w:r>
      <w:r w:rsidR="033561E7" w:rsidRPr="5FEEF3AA">
        <w:rPr>
          <w:rFonts w:eastAsia="Arial"/>
          <w:b/>
          <w:bCs/>
        </w:rPr>
        <w:t>CERTAIN ASSETS</w:t>
      </w:r>
      <w:r w:rsidRPr="5FEEF3AA">
        <w:rPr>
          <w:rFonts w:eastAsia="Arial"/>
          <w:b/>
          <w:bCs/>
        </w:rPr>
        <w:t xml:space="preserve">USED IN DOMESTIC PRODUCTION OF </w:t>
      </w:r>
      <w:r w:rsidR="5A008413" w:rsidRPr="5FEEF3AA">
        <w:rPr>
          <w:rFonts w:eastAsia="Arial"/>
          <w:b/>
          <w:bCs/>
        </w:rPr>
        <w:t xml:space="preserve">BATTERY </w:t>
      </w:r>
      <w:r w:rsidRPr="5FEEF3AA">
        <w:rPr>
          <w:rFonts w:eastAsia="Arial"/>
          <w:b/>
          <w:bCs/>
        </w:rPr>
        <w:t>ELECTRIC AND HYDROGEN-POWERED VEHICLES</w:t>
      </w:r>
    </w:p>
    <w:p w14:paraId="6F007435" w14:textId="77777777" w:rsidR="002D0F50" w:rsidRPr="00BA1CD0" w:rsidRDefault="002D0F50" w:rsidP="002D0F50"/>
    <w:p w14:paraId="7F770E1C" w14:textId="77777777" w:rsidR="002D0F50" w:rsidRPr="00BA1CD0" w:rsidRDefault="002D0F50" w:rsidP="002D0F50">
      <w:pPr>
        <w:jc w:val="center"/>
      </w:pPr>
      <w:r w:rsidRPr="00BA1CD0">
        <w:rPr>
          <w:b/>
          <w:bCs/>
          <w:lang w:val="en-US"/>
        </w:rPr>
        <w:t>CLAUSE 14</w:t>
      </w:r>
    </w:p>
    <w:p w14:paraId="0136C2C5" w14:textId="77777777" w:rsidR="00421762" w:rsidRPr="00421762" w:rsidRDefault="00421762" w:rsidP="00421762">
      <w:pPr>
        <w:rPr>
          <w:rFonts w:eastAsia="Arial"/>
        </w:rPr>
      </w:pPr>
      <w:r w:rsidRPr="00421762">
        <w:rPr>
          <w:rFonts w:eastAsia="Arial"/>
        </w:rPr>
        <w:t>Income Tax Act: Amendments to section 13</w:t>
      </w:r>
      <w:r w:rsidRPr="00421762">
        <w:rPr>
          <w:rFonts w:eastAsia="Arial"/>
          <w:i/>
        </w:rPr>
        <w:t xml:space="preserve">bis </w:t>
      </w:r>
      <w:r w:rsidRPr="00421762">
        <w:rPr>
          <w:rFonts w:eastAsia="Arial"/>
        </w:rPr>
        <w:tab/>
        <w:t xml:space="preserve"> </w:t>
      </w:r>
    </w:p>
    <w:p w14:paraId="2CDA9DFD" w14:textId="4BDC4E5A" w:rsidR="00421762" w:rsidRPr="00421762" w:rsidRDefault="54073337" w:rsidP="4DA829A6">
      <w:pPr>
        <w:rPr>
          <w:rFonts w:eastAsia="Arial"/>
        </w:rPr>
      </w:pPr>
      <w:r w:rsidRPr="5FEEF3AA">
        <w:rPr>
          <w:rFonts w:eastAsia="Arial"/>
        </w:rPr>
        <w:t>The proposed deletion of subsections (2), (3), (4) and (9) seeks to delete obsolete provision</w:t>
      </w:r>
      <w:r w:rsidR="5589EAF5" w:rsidRPr="5FEEF3AA">
        <w:rPr>
          <w:rFonts w:eastAsia="Arial"/>
        </w:rPr>
        <w:t>s</w:t>
      </w:r>
      <w:r w:rsidRPr="5FEEF3AA">
        <w:rPr>
          <w:rFonts w:eastAsia="Arial"/>
        </w:rPr>
        <w:t xml:space="preserve"> of the Act that allowed for an additional grading allowance on any building or improvements thereon commencing on or after 1 January 1964 but before 4 June 1988. Based on the maximum continuous allowance period as contemplated in this section (25 years), any taxpayer’s ability to claim that allowance ended in 2013. </w:t>
      </w:r>
    </w:p>
    <w:p w14:paraId="32C5A4C7" w14:textId="77777777" w:rsidR="002D0F50" w:rsidRPr="00BA1CD0" w:rsidRDefault="002D0F50" w:rsidP="002D0F50"/>
    <w:p w14:paraId="634F2E26" w14:textId="77777777" w:rsidR="002D0F50" w:rsidRPr="00BA1CD0" w:rsidRDefault="002D0F50" w:rsidP="002D0F50">
      <w:pPr>
        <w:jc w:val="center"/>
      </w:pPr>
      <w:r w:rsidRPr="00BA1CD0">
        <w:rPr>
          <w:b/>
          <w:bCs/>
          <w:lang w:val="en-US"/>
        </w:rPr>
        <w:t>CLAUSE 15</w:t>
      </w:r>
    </w:p>
    <w:p w14:paraId="3A0B837D" w14:textId="77777777" w:rsidR="00421762" w:rsidRPr="00421762" w:rsidRDefault="00421762" w:rsidP="00421762">
      <w:pPr>
        <w:spacing w:line="257" w:lineRule="auto"/>
        <w:rPr>
          <w:rFonts w:eastAsia="Arial"/>
        </w:rPr>
      </w:pPr>
      <w:r w:rsidRPr="00421762">
        <w:rPr>
          <w:rFonts w:eastAsia="Arial"/>
        </w:rPr>
        <w:t>Income Tax Act: Amendments to section 13</w:t>
      </w:r>
      <w:r w:rsidRPr="00421762">
        <w:rPr>
          <w:rFonts w:eastAsia="Arial"/>
          <w:i/>
        </w:rPr>
        <w:t>quat</w:t>
      </w:r>
      <w:r w:rsidRPr="00421762">
        <w:rPr>
          <w:rFonts w:eastAsia="Arial"/>
        </w:rPr>
        <w:t xml:space="preserve"> </w:t>
      </w:r>
    </w:p>
    <w:p w14:paraId="0D4EDBAE" w14:textId="3E4F842A" w:rsidR="002D0F50" w:rsidRDefault="54073337" w:rsidP="5FEEF3AA">
      <w:pPr>
        <w:spacing w:line="257" w:lineRule="auto"/>
        <w:rPr>
          <w:rFonts w:eastAsia="Arial"/>
          <w:b/>
          <w:bCs/>
        </w:rPr>
      </w:pPr>
      <w:r w:rsidRPr="5FEEF3AA">
        <w:rPr>
          <w:rFonts w:eastAsia="Arial"/>
        </w:rPr>
        <w:t xml:space="preserve">See notes on </w:t>
      </w:r>
      <w:r w:rsidR="6C713D14" w:rsidRPr="5FEEF3AA">
        <w:rPr>
          <w:rFonts w:eastAsia="Arial"/>
          <w:b/>
          <w:bCs/>
        </w:rPr>
        <w:t>DEDUCTION</w:t>
      </w:r>
      <w:r w:rsidRPr="5FEEF3AA">
        <w:rPr>
          <w:rFonts w:eastAsia="Arial"/>
          <w:b/>
          <w:bCs/>
        </w:rPr>
        <w:t xml:space="preserve"> IN RESPECT OF </w:t>
      </w:r>
      <w:r w:rsidR="574EFC21" w:rsidRPr="5FEEF3AA">
        <w:rPr>
          <w:rFonts w:eastAsia="Arial"/>
          <w:b/>
          <w:bCs/>
        </w:rPr>
        <w:t>CERTAIN ASSETS</w:t>
      </w:r>
      <w:r w:rsidRPr="5FEEF3AA">
        <w:rPr>
          <w:rFonts w:eastAsia="Arial"/>
          <w:b/>
          <w:bCs/>
        </w:rPr>
        <w:t xml:space="preserve"> USED IN DOMESTIC PRODUCTION OF </w:t>
      </w:r>
      <w:r w:rsidR="20806D85" w:rsidRPr="5FEEF3AA">
        <w:rPr>
          <w:rFonts w:eastAsia="Arial"/>
          <w:b/>
          <w:bCs/>
        </w:rPr>
        <w:t xml:space="preserve">BATTERY </w:t>
      </w:r>
      <w:r w:rsidRPr="5FEEF3AA">
        <w:rPr>
          <w:rFonts w:eastAsia="Arial"/>
          <w:b/>
          <w:bCs/>
        </w:rPr>
        <w:t>ELECTRIC AND HYDROGEN-POWERED VEHICLES</w:t>
      </w:r>
    </w:p>
    <w:p w14:paraId="75FA7FD7" w14:textId="77777777" w:rsidR="00ED43DE" w:rsidRPr="00421762" w:rsidRDefault="00ED43DE" w:rsidP="002D0F50">
      <w:pPr>
        <w:spacing w:line="257" w:lineRule="auto"/>
        <w:rPr>
          <w:rFonts w:eastAsia="Arial"/>
          <w:b/>
        </w:rPr>
      </w:pPr>
    </w:p>
    <w:p w14:paraId="254E4FD8" w14:textId="77777777" w:rsidR="002D0F50" w:rsidRPr="00BA1CD0" w:rsidRDefault="002D0F50" w:rsidP="002D0F50">
      <w:pPr>
        <w:jc w:val="center"/>
      </w:pPr>
      <w:r w:rsidRPr="00BA1CD0">
        <w:rPr>
          <w:b/>
          <w:bCs/>
          <w:lang w:val="en-US"/>
        </w:rPr>
        <w:t>CLAUSE 16</w:t>
      </w:r>
    </w:p>
    <w:p w14:paraId="3BF1D233" w14:textId="77777777" w:rsidR="00421762" w:rsidRPr="00421762" w:rsidRDefault="00421762" w:rsidP="00421762">
      <w:pPr>
        <w:spacing w:line="257" w:lineRule="auto"/>
        <w:rPr>
          <w:rFonts w:eastAsia="Arial"/>
        </w:rPr>
      </w:pPr>
      <w:r w:rsidRPr="00421762">
        <w:rPr>
          <w:rFonts w:eastAsia="Arial"/>
        </w:rPr>
        <w:t>Income Tax Act: Amendments to section 20</w:t>
      </w:r>
    </w:p>
    <w:p w14:paraId="4719B6AF" w14:textId="7257557E" w:rsidR="00421762" w:rsidRPr="00421762" w:rsidRDefault="54073337" w:rsidP="4DA829A6">
      <w:pPr>
        <w:spacing w:line="257" w:lineRule="auto"/>
        <w:rPr>
          <w:rFonts w:eastAsia="Arial"/>
        </w:rPr>
      </w:pPr>
      <w:bookmarkStart w:id="380" w:name="_Hlk172478981"/>
      <w:r w:rsidRPr="5FEEF3AA">
        <w:rPr>
          <w:rFonts w:eastAsia="Arial"/>
        </w:rPr>
        <w:t xml:space="preserve">Subclause </w:t>
      </w:r>
      <w:r w:rsidR="51B440E6" w:rsidRPr="5FEEF3AA">
        <w:rPr>
          <w:rFonts w:eastAsia="Arial"/>
        </w:rPr>
        <w:t>(1)</w:t>
      </w:r>
      <w:r w:rsidRPr="5FEEF3AA">
        <w:rPr>
          <w:rFonts w:eastAsia="Arial"/>
        </w:rPr>
        <w:t>(</w:t>
      </w:r>
      <w:r w:rsidRPr="5FEEF3AA">
        <w:rPr>
          <w:rFonts w:eastAsia="Arial"/>
          <w:i/>
          <w:iCs/>
        </w:rPr>
        <w:t>a</w:t>
      </w:r>
      <w:r w:rsidRPr="5FEEF3AA">
        <w:rPr>
          <w:rFonts w:eastAsia="Arial"/>
        </w:rPr>
        <w:t xml:space="preserve">): The proposed amendment seeks to </w:t>
      </w:r>
      <w:r w:rsidR="529D2FDA" w:rsidRPr="5FEEF3AA">
        <w:rPr>
          <w:rFonts w:eastAsia="Arial"/>
        </w:rPr>
        <w:t>delete a superfluous “.”</w:t>
      </w:r>
      <w:r w:rsidR="10A43F16" w:rsidRPr="5FEEF3AA">
        <w:rPr>
          <w:rFonts w:eastAsia="Arial"/>
        </w:rPr>
        <w:t xml:space="preserve"> </w:t>
      </w:r>
      <w:r w:rsidRPr="5FEEF3AA">
        <w:rPr>
          <w:rFonts w:eastAsia="Arial"/>
        </w:rPr>
        <w:t>at the end of subsection (1)(</w:t>
      </w:r>
      <w:r w:rsidRPr="5FEEF3AA">
        <w:rPr>
          <w:rFonts w:eastAsia="Arial"/>
          <w:i/>
          <w:iCs/>
        </w:rPr>
        <w:t>a</w:t>
      </w:r>
      <w:r w:rsidRPr="5FEEF3AA">
        <w:rPr>
          <w:rFonts w:eastAsia="Arial"/>
        </w:rPr>
        <w:t>)(iii).</w:t>
      </w:r>
    </w:p>
    <w:p w14:paraId="40822E57" w14:textId="1B77B2A5" w:rsidR="00421762" w:rsidRPr="00421762" w:rsidRDefault="54073337" w:rsidP="00421762">
      <w:pPr>
        <w:spacing w:line="257" w:lineRule="auto"/>
        <w:rPr>
          <w:rFonts w:eastAsia="Arial"/>
          <w:b/>
          <w:bCs/>
        </w:rPr>
      </w:pPr>
      <w:r w:rsidRPr="5FEEF3AA">
        <w:rPr>
          <w:rFonts w:eastAsia="Arial"/>
        </w:rPr>
        <w:t xml:space="preserve">Subclause </w:t>
      </w:r>
      <w:r w:rsidR="0118E9E5" w:rsidRPr="5FEEF3AA">
        <w:rPr>
          <w:rFonts w:eastAsia="Arial"/>
        </w:rPr>
        <w:t>(1)</w:t>
      </w:r>
      <w:r w:rsidRPr="5FEEF3AA">
        <w:rPr>
          <w:rFonts w:eastAsia="Arial"/>
        </w:rPr>
        <w:t>(</w:t>
      </w:r>
      <w:r w:rsidRPr="5FEEF3AA">
        <w:rPr>
          <w:rFonts w:eastAsia="Arial"/>
          <w:i/>
          <w:iCs/>
        </w:rPr>
        <w:t>b</w:t>
      </w:r>
      <w:r w:rsidRPr="5FEEF3AA">
        <w:rPr>
          <w:rFonts w:eastAsia="Arial"/>
        </w:rPr>
        <w:t xml:space="preserve">): See notes on </w:t>
      </w:r>
      <w:r w:rsidRPr="5FEEF3AA">
        <w:rPr>
          <w:rFonts w:eastAsia="Arial"/>
          <w:b/>
          <w:bCs/>
        </w:rPr>
        <w:t>RELAXING THE ASSESSED LOSS RESTRICTION RULE UNDER CERTAIN CIRCUMSTANCES</w:t>
      </w:r>
    </w:p>
    <w:bookmarkEnd w:id="380"/>
    <w:p w14:paraId="2275F839" w14:textId="77777777" w:rsidR="002D0F50" w:rsidRPr="00BA1CD0" w:rsidRDefault="002D0F50" w:rsidP="002D0F50">
      <w:pPr>
        <w:spacing w:line="257" w:lineRule="auto"/>
      </w:pPr>
    </w:p>
    <w:p w14:paraId="22C0749B" w14:textId="77777777" w:rsidR="002D0F50" w:rsidRPr="00BA1CD0" w:rsidRDefault="002D0F50" w:rsidP="002D0F50">
      <w:pPr>
        <w:jc w:val="center"/>
      </w:pPr>
      <w:r w:rsidRPr="00BA1CD0">
        <w:rPr>
          <w:b/>
          <w:bCs/>
          <w:lang w:val="en-US"/>
        </w:rPr>
        <w:t>CLAUSE 17</w:t>
      </w:r>
    </w:p>
    <w:p w14:paraId="7FD6894D" w14:textId="77777777" w:rsidR="00421762" w:rsidRPr="00421762" w:rsidRDefault="00421762" w:rsidP="00421762">
      <w:pPr>
        <w:rPr>
          <w:rFonts w:eastAsia="Arial"/>
          <w:lang w:eastAsia="en-ZA"/>
        </w:rPr>
      </w:pPr>
      <w:r w:rsidRPr="00421762">
        <w:rPr>
          <w:rFonts w:eastAsia="Arial"/>
          <w:lang w:eastAsia="en-ZA"/>
        </w:rPr>
        <w:t>Income Tax: Amendments to section 23</w:t>
      </w:r>
      <w:r w:rsidRPr="00421762">
        <w:rPr>
          <w:rFonts w:eastAsia="Arial"/>
          <w:lang w:eastAsia="en-ZA"/>
        </w:rPr>
        <w:tab/>
        <w:t xml:space="preserve"> </w:t>
      </w:r>
    </w:p>
    <w:p w14:paraId="645E468E" w14:textId="1DE2EC5E" w:rsidR="00421762" w:rsidRDefault="54073337" w:rsidP="4DA829A6">
      <w:pPr>
        <w:rPr>
          <w:rFonts w:eastAsia="Arial"/>
          <w:lang w:eastAsia="en-ZA"/>
        </w:rPr>
      </w:pPr>
      <w:r w:rsidRPr="5FEEF3AA">
        <w:rPr>
          <w:rFonts w:eastAsia="Arial"/>
          <w:lang w:eastAsia="en-ZA"/>
        </w:rPr>
        <w:t xml:space="preserve">The proposed amendment seeks to broaden the prohibition of the deduction of any taxes imposed under the </w:t>
      </w:r>
      <w:r w:rsidR="6A86FC12" w:rsidRPr="5FEEF3AA">
        <w:rPr>
          <w:rFonts w:eastAsia="Arial"/>
          <w:lang w:eastAsia="en-ZA"/>
        </w:rPr>
        <w:t xml:space="preserve">Income Tax </w:t>
      </w:r>
      <w:r w:rsidRPr="5FEEF3AA">
        <w:rPr>
          <w:rFonts w:eastAsia="Arial"/>
          <w:lang w:eastAsia="en-ZA"/>
        </w:rPr>
        <w:t xml:space="preserve">Act to also include any interest imposed under </w:t>
      </w:r>
      <w:r w:rsidR="466FC8E9" w:rsidRPr="5FEEF3AA">
        <w:rPr>
          <w:rFonts w:eastAsia="Arial"/>
          <w:lang w:eastAsia="en-ZA"/>
        </w:rPr>
        <w:t>the Income Tax</w:t>
      </w:r>
      <w:r w:rsidRPr="5FEEF3AA">
        <w:rPr>
          <w:rFonts w:eastAsia="Arial"/>
          <w:lang w:eastAsia="en-ZA"/>
        </w:rPr>
        <w:t xml:space="preserve"> Act.  </w:t>
      </w:r>
    </w:p>
    <w:p w14:paraId="0F0D419C" w14:textId="77777777" w:rsidR="00ED43DE" w:rsidRPr="00421762" w:rsidRDefault="00ED43DE" w:rsidP="00421762">
      <w:pPr>
        <w:rPr>
          <w:rFonts w:eastAsia="Arial"/>
          <w:lang w:eastAsia="en-ZA"/>
        </w:rPr>
      </w:pPr>
    </w:p>
    <w:p w14:paraId="3F07D4D7" w14:textId="77777777" w:rsidR="002D0F50" w:rsidRPr="00BA1CD0" w:rsidRDefault="002D0F50" w:rsidP="002D0F50">
      <w:pPr>
        <w:jc w:val="center"/>
      </w:pPr>
      <w:r w:rsidRPr="00BA1CD0">
        <w:rPr>
          <w:b/>
          <w:bCs/>
          <w:lang w:val="en-US"/>
        </w:rPr>
        <w:t>CLAUSE 18</w:t>
      </w:r>
    </w:p>
    <w:p w14:paraId="16D39069" w14:textId="77777777" w:rsidR="00421762" w:rsidRPr="00421762" w:rsidRDefault="00421762" w:rsidP="00421762">
      <w:r w:rsidRPr="00421762">
        <w:t xml:space="preserve">Income Tax Act: Amendments to section 23M </w:t>
      </w:r>
    </w:p>
    <w:p w14:paraId="4D57C8C3" w14:textId="0336A49E" w:rsidR="00421762" w:rsidRPr="00421762" w:rsidRDefault="54073337" w:rsidP="00421762">
      <w:r>
        <w:t>Subclause (</w:t>
      </w:r>
      <w:r w:rsidRPr="5FEEF3AA">
        <w:rPr>
          <w:i/>
          <w:iCs/>
        </w:rPr>
        <w:t>a</w:t>
      </w:r>
      <w:r>
        <w:t>) The proposed amendment to subsection (3) seeks to clarify that the reduction in the calculation is limited to deductible interest.</w:t>
      </w:r>
    </w:p>
    <w:p w14:paraId="3BBDB8A8" w14:textId="160D6DA6" w:rsidR="00421762" w:rsidRPr="00421762" w:rsidRDefault="54073337" w:rsidP="00421762">
      <w:r>
        <w:t>Subclause (</w:t>
      </w:r>
      <w:r w:rsidRPr="5FEEF3AA">
        <w:rPr>
          <w:i/>
          <w:iCs/>
        </w:rPr>
        <w:t>b</w:t>
      </w:r>
      <w:r>
        <w:t xml:space="preserve">) The proposed amendment to subsection (4) seeks to clarify that there is a deemed debt owed to a creditor in the following year of assessment even where the debt that gave </w:t>
      </w:r>
      <w:r w:rsidR="0A887A6A">
        <w:t xml:space="preserve">rise </w:t>
      </w:r>
      <w:r>
        <w:t>to the interest has already been settled.</w:t>
      </w:r>
    </w:p>
    <w:p w14:paraId="37ABFF0B" w14:textId="77777777" w:rsidR="002D0F50" w:rsidRPr="003A278C" w:rsidRDefault="002D0F50" w:rsidP="002D0F50"/>
    <w:p w14:paraId="5C6411E6" w14:textId="77777777" w:rsidR="002D0F50" w:rsidRPr="00BA1CD0" w:rsidRDefault="002D0F50" w:rsidP="002D0F50">
      <w:pPr>
        <w:jc w:val="center"/>
      </w:pPr>
      <w:r w:rsidRPr="00BA1CD0">
        <w:rPr>
          <w:b/>
          <w:bCs/>
          <w:lang w:val="en-US"/>
        </w:rPr>
        <w:t>CLAUSE 19</w:t>
      </w:r>
    </w:p>
    <w:p w14:paraId="3E8E865E" w14:textId="77777777" w:rsidR="00421762" w:rsidRPr="00421762" w:rsidRDefault="00421762" w:rsidP="00421762">
      <w:pPr>
        <w:rPr>
          <w:rFonts w:eastAsia="Arial"/>
        </w:rPr>
      </w:pPr>
      <w:r w:rsidRPr="00421762">
        <w:rPr>
          <w:rFonts w:eastAsia="Arial"/>
        </w:rPr>
        <w:t xml:space="preserve">Income Tax Act: Amendments to section 23N   </w:t>
      </w:r>
    </w:p>
    <w:p w14:paraId="7CC59BBC" w14:textId="1C342F55" w:rsidR="00421762" w:rsidRPr="00421762" w:rsidRDefault="54073337" w:rsidP="00421762">
      <w:pPr>
        <w:rPr>
          <w:rFonts w:eastAsia="Arial"/>
          <w:b/>
          <w:bCs/>
        </w:rPr>
      </w:pPr>
      <w:r w:rsidRPr="5FEEF3AA">
        <w:rPr>
          <w:rFonts w:eastAsia="Arial"/>
        </w:rPr>
        <w:t xml:space="preserve">See notes on </w:t>
      </w:r>
      <w:r w:rsidRPr="5FEEF3AA">
        <w:rPr>
          <w:rFonts w:eastAsia="Arial"/>
          <w:b/>
          <w:bCs/>
        </w:rPr>
        <w:t>LIMITING INTEREST DEDUCTIONS IN RESPECT OF REORG</w:t>
      </w:r>
      <w:r w:rsidR="54CCC2C6" w:rsidRPr="5FEEF3AA">
        <w:rPr>
          <w:rFonts w:eastAsia="Arial"/>
          <w:b/>
          <w:bCs/>
        </w:rPr>
        <w:t>ANI</w:t>
      </w:r>
      <w:r w:rsidRPr="5FEEF3AA">
        <w:rPr>
          <w:rFonts w:eastAsia="Arial"/>
          <w:b/>
          <w:bCs/>
        </w:rPr>
        <w:t xml:space="preserve">SATION AND ACQUISITION TRANSACTIONS  </w:t>
      </w:r>
      <w:r w:rsidRPr="5FEEF3AA">
        <w:rPr>
          <w:rFonts w:eastAsia="Arial"/>
        </w:rPr>
        <w:t xml:space="preserve"> </w:t>
      </w:r>
      <w:r w:rsidRPr="5FEEF3AA">
        <w:rPr>
          <w:rFonts w:eastAsia="Arial"/>
          <w:b/>
          <w:bCs/>
        </w:rPr>
        <w:t xml:space="preserve"> </w:t>
      </w:r>
    </w:p>
    <w:p w14:paraId="345C4BF5" w14:textId="77777777" w:rsidR="002D0F50" w:rsidRPr="00BA1CD0" w:rsidRDefault="002D0F50" w:rsidP="002D0F50"/>
    <w:p w14:paraId="53DAB804" w14:textId="77777777" w:rsidR="002D0F50" w:rsidRPr="00BA1CD0" w:rsidRDefault="002D0F50" w:rsidP="002D0F50">
      <w:pPr>
        <w:jc w:val="center"/>
        <w:rPr>
          <w:b/>
          <w:lang w:val="en-US"/>
        </w:rPr>
      </w:pPr>
      <w:r w:rsidRPr="00BA1CD0">
        <w:rPr>
          <w:b/>
          <w:bCs/>
          <w:lang w:val="en-US"/>
        </w:rPr>
        <w:t>CLAUSE 20</w:t>
      </w:r>
    </w:p>
    <w:p w14:paraId="6E309E70" w14:textId="77777777" w:rsidR="00421762" w:rsidRPr="00421762" w:rsidRDefault="00421762" w:rsidP="00421762">
      <w:pPr>
        <w:spacing w:line="257" w:lineRule="auto"/>
        <w:rPr>
          <w:rFonts w:eastAsia="Arial"/>
        </w:rPr>
      </w:pPr>
      <w:r w:rsidRPr="00421762">
        <w:rPr>
          <w:rFonts w:eastAsia="Arial"/>
        </w:rPr>
        <w:t xml:space="preserve">Income Tax Act: Amendment to section 24I </w:t>
      </w:r>
    </w:p>
    <w:p w14:paraId="5A3B33FC" w14:textId="5F290266" w:rsidR="00421762" w:rsidRPr="00421762" w:rsidRDefault="54073337" w:rsidP="00421762">
      <w:pPr>
        <w:spacing w:line="257" w:lineRule="auto"/>
        <w:rPr>
          <w:rFonts w:eastAsia="Arial"/>
        </w:rPr>
      </w:pPr>
      <w:r w:rsidRPr="5FEEF3AA">
        <w:rPr>
          <w:rFonts w:eastAsia="Arial"/>
        </w:rPr>
        <w:t xml:space="preserve">Subclause </w:t>
      </w:r>
      <w:r w:rsidR="1D03538B" w:rsidRPr="5FEEF3AA">
        <w:rPr>
          <w:rFonts w:eastAsia="Arial"/>
        </w:rPr>
        <w:t>(1)</w:t>
      </w:r>
      <w:r w:rsidRPr="5FEEF3AA">
        <w:rPr>
          <w:rFonts w:eastAsia="Arial"/>
        </w:rPr>
        <w:t>(</w:t>
      </w:r>
      <w:r w:rsidRPr="5FEEF3AA">
        <w:rPr>
          <w:rFonts w:eastAsia="Arial"/>
          <w:i/>
          <w:iCs/>
        </w:rPr>
        <w:t>a</w:t>
      </w:r>
      <w:r w:rsidRPr="5FEEF3AA">
        <w:rPr>
          <w:rFonts w:eastAsia="Arial"/>
        </w:rPr>
        <w:t xml:space="preserve">) </w:t>
      </w:r>
      <w:r w:rsidR="40D71731" w:rsidRPr="5FEEF3AA">
        <w:rPr>
          <w:rFonts w:eastAsia="Arial"/>
        </w:rPr>
        <w:t>and</w:t>
      </w:r>
      <w:r w:rsidRPr="5FEEF3AA">
        <w:rPr>
          <w:rFonts w:eastAsia="Arial"/>
        </w:rPr>
        <w:t xml:space="preserve"> (</w:t>
      </w:r>
      <w:r w:rsidRPr="5FEEF3AA">
        <w:rPr>
          <w:rFonts w:eastAsia="Arial"/>
          <w:i/>
          <w:iCs/>
        </w:rPr>
        <w:t>b</w:t>
      </w:r>
      <w:r w:rsidRPr="5FEEF3AA">
        <w:rPr>
          <w:rFonts w:eastAsia="Arial"/>
        </w:rPr>
        <w:t xml:space="preserve">): See notes on </w:t>
      </w:r>
      <w:r w:rsidRPr="5FEEF3AA">
        <w:rPr>
          <w:rFonts w:eastAsia="Arial"/>
          <w:b/>
          <w:bCs/>
        </w:rPr>
        <w:t>REFINING THE DEFINITION OF EXCHANGE ITEM FOR DETERMINING EXCHANGE DIFFERENCES</w:t>
      </w:r>
    </w:p>
    <w:p w14:paraId="42106A57" w14:textId="2A8440D0" w:rsidR="002D0F50" w:rsidRDefault="54073337" w:rsidP="002D0F50">
      <w:pPr>
        <w:spacing w:line="257" w:lineRule="auto"/>
        <w:rPr>
          <w:rFonts w:eastAsia="Arial"/>
          <w:b/>
          <w:bCs/>
        </w:rPr>
      </w:pPr>
      <w:r w:rsidRPr="5FEEF3AA">
        <w:rPr>
          <w:rFonts w:eastAsia="Arial"/>
        </w:rPr>
        <w:t xml:space="preserve">Subclauses </w:t>
      </w:r>
      <w:r w:rsidR="3D593BA4" w:rsidRPr="5FEEF3AA">
        <w:rPr>
          <w:rFonts w:eastAsia="Arial"/>
        </w:rPr>
        <w:t>(1)</w:t>
      </w:r>
      <w:r w:rsidRPr="5FEEF3AA">
        <w:rPr>
          <w:rFonts w:eastAsia="Arial"/>
        </w:rPr>
        <w:t>(</w:t>
      </w:r>
      <w:r w:rsidRPr="5FEEF3AA">
        <w:rPr>
          <w:rFonts w:eastAsia="Arial"/>
          <w:i/>
          <w:iCs/>
        </w:rPr>
        <w:t>c</w:t>
      </w:r>
      <w:r w:rsidRPr="5FEEF3AA">
        <w:rPr>
          <w:rFonts w:eastAsia="Arial"/>
        </w:rPr>
        <w:t xml:space="preserve">) </w:t>
      </w:r>
      <w:r w:rsidR="58DAC45F" w:rsidRPr="5FEEF3AA">
        <w:rPr>
          <w:rFonts w:eastAsia="Arial"/>
        </w:rPr>
        <w:t>to</w:t>
      </w:r>
      <w:r w:rsidRPr="5FEEF3AA">
        <w:rPr>
          <w:rFonts w:eastAsia="Arial"/>
        </w:rPr>
        <w:t xml:space="preserve"> (</w:t>
      </w:r>
      <w:proofErr w:type="spellStart"/>
      <w:r w:rsidR="56D8375A" w:rsidRPr="5FEEF3AA">
        <w:rPr>
          <w:rFonts w:eastAsia="Arial"/>
          <w:i/>
          <w:iCs/>
        </w:rPr>
        <w:t>i</w:t>
      </w:r>
      <w:proofErr w:type="spellEnd"/>
      <w:r w:rsidRPr="5FEEF3AA">
        <w:rPr>
          <w:rFonts w:eastAsia="Arial"/>
        </w:rPr>
        <w:t xml:space="preserve">): </w:t>
      </w:r>
      <w:bookmarkStart w:id="381" w:name="_Hlk172478992"/>
      <w:r w:rsidRPr="5FEEF3AA">
        <w:rPr>
          <w:rFonts w:eastAsia="Arial"/>
        </w:rPr>
        <w:t xml:space="preserve">See notes on </w:t>
      </w:r>
      <w:bookmarkStart w:id="382" w:name="_Hlk173242384"/>
      <w:bookmarkEnd w:id="381"/>
      <w:r w:rsidRPr="5FEEF3AA">
        <w:rPr>
          <w:rFonts w:eastAsia="Arial"/>
          <w:b/>
          <w:bCs/>
        </w:rPr>
        <w:t xml:space="preserve">REVIEWING THE INTERACTION OF THE SET-OFF OF ASSESSED LOSS RULES AND RULES ON EXCHANGE DIFFERENCES ON FOREIGN </w:t>
      </w:r>
      <w:r w:rsidR="25F8A4B4" w:rsidRPr="5FEEF3AA">
        <w:rPr>
          <w:rFonts w:eastAsia="Arial"/>
          <w:b/>
          <w:bCs/>
        </w:rPr>
        <w:t>EXCHANGE TRANSACTIONS</w:t>
      </w:r>
      <w:bookmarkEnd w:id="382"/>
    </w:p>
    <w:p w14:paraId="6C39C581" w14:textId="77777777" w:rsidR="003A1E23" w:rsidRPr="00421762" w:rsidRDefault="003A1E23" w:rsidP="002D0F50">
      <w:pPr>
        <w:spacing w:line="257" w:lineRule="auto"/>
        <w:rPr>
          <w:rFonts w:eastAsia="Arial"/>
          <w:b/>
          <w:bCs/>
        </w:rPr>
      </w:pPr>
    </w:p>
    <w:p w14:paraId="0ACC5EB4" w14:textId="77777777" w:rsidR="002D0F50" w:rsidRPr="00BA1CD0" w:rsidRDefault="002D0F50" w:rsidP="002D0F50">
      <w:pPr>
        <w:jc w:val="center"/>
        <w:rPr>
          <w:b/>
          <w:lang w:val="en-US"/>
        </w:rPr>
      </w:pPr>
      <w:r w:rsidRPr="00BA1CD0">
        <w:rPr>
          <w:b/>
          <w:bCs/>
          <w:lang w:val="en-US"/>
        </w:rPr>
        <w:t>CLAUSE 21</w:t>
      </w:r>
    </w:p>
    <w:p w14:paraId="7E326673" w14:textId="77777777" w:rsidR="00421762" w:rsidRPr="00421762" w:rsidRDefault="00421762" w:rsidP="00421762">
      <w:pPr>
        <w:rPr>
          <w:rFonts w:eastAsia="Arial"/>
        </w:rPr>
      </w:pPr>
      <w:r w:rsidRPr="00421762">
        <w:rPr>
          <w:rFonts w:eastAsia="Arial"/>
        </w:rPr>
        <w:t>Income Tax Act: Amendment to section 24JB</w:t>
      </w:r>
    </w:p>
    <w:p w14:paraId="6E914D80" w14:textId="77777777" w:rsidR="00421762" w:rsidRPr="00421762" w:rsidRDefault="00421762" w:rsidP="4DA829A6">
      <w:pPr>
        <w:rPr>
          <w:rFonts w:eastAsia="Arial"/>
        </w:rPr>
      </w:pPr>
      <w:bookmarkStart w:id="383" w:name="_Hlk173242773"/>
      <w:r w:rsidRPr="4DA829A6">
        <w:rPr>
          <w:rFonts w:eastAsia="Arial"/>
        </w:rPr>
        <w:t xml:space="preserve">See notes on </w:t>
      </w:r>
      <w:r w:rsidRPr="4DA829A6">
        <w:rPr>
          <w:rFonts w:eastAsia="Arial"/>
          <w:b/>
          <w:bCs/>
        </w:rPr>
        <w:t>CLARIFYING THE INTERACTION OF SECTION 24JB(3) OF THE INCOME TAX ACT AND THE GROSS INCOME DEFINITION</w:t>
      </w:r>
    </w:p>
    <w:bookmarkEnd w:id="383"/>
    <w:p w14:paraId="078E1495" w14:textId="77777777" w:rsidR="002D0F50" w:rsidRPr="00BA1CD0" w:rsidRDefault="002D0F50" w:rsidP="002D0F50"/>
    <w:p w14:paraId="70B8478E" w14:textId="77777777" w:rsidR="002D0F50" w:rsidRPr="00BA1CD0" w:rsidRDefault="002D0F50" w:rsidP="002D0F50">
      <w:pPr>
        <w:jc w:val="center"/>
      </w:pPr>
      <w:r w:rsidRPr="00BA1CD0">
        <w:rPr>
          <w:b/>
          <w:bCs/>
          <w:lang w:val="en-US"/>
        </w:rPr>
        <w:t>CLAUSE 22</w:t>
      </w:r>
    </w:p>
    <w:p w14:paraId="0382F5B3" w14:textId="77777777" w:rsidR="00421762" w:rsidRPr="00421762" w:rsidRDefault="00421762" w:rsidP="00421762">
      <w:pPr>
        <w:rPr>
          <w:rFonts w:eastAsia="Arial"/>
          <w:lang w:eastAsia="en-ZA"/>
        </w:rPr>
      </w:pPr>
      <w:r w:rsidRPr="00421762">
        <w:rPr>
          <w:rFonts w:eastAsia="Arial"/>
          <w:lang w:eastAsia="en-ZA"/>
        </w:rPr>
        <w:t>Income Tax Act: Amendment to section 25BB</w:t>
      </w:r>
    </w:p>
    <w:p w14:paraId="521892E4" w14:textId="6E284AE3" w:rsidR="00421762" w:rsidRPr="00421762" w:rsidRDefault="54073337" w:rsidP="4DA829A6">
      <w:pPr>
        <w:rPr>
          <w:rFonts w:eastAsia="Arial"/>
          <w:lang w:eastAsia="en-ZA"/>
        </w:rPr>
      </w:pPr>
      <w:r w:rsidRPr="5FEEF3AA">
        <w:rPr>
          <w:rFonts w:eastAsia="Arial"/>
          <w:lang w:eastAsia="en-ZA"/>
        </w:rPr>
        <w:t>Subclauses (</w:t>
      </w:r>
      <w:r w:rsidRPr="5FEEF3AA">
        <w:rPr>
          <w:rFonts w:eastAsia="Arial"/>
          <w:i/>
          <w:iCs/>
          <w:lang w:eastAsia="en-ZA"/>
        </w:rPr>
        <w:t>a</w:t>
      </w:r>
      <w:r w:rsidRPr="5FEEF3AA">
        <w:rPr>
          <w:rFonts w:eastAsia="Arial"/>
          <w:lang w:eastAsia="en-ZA"/>
        </w:rPr>
        <w:t>) and (</w:t>
      </w:r>
      <w:r w:rsidRPr="5FEEF3AA">
        <w:rPr>
          <w:rFonts w:eastAsia="Arial"/>
          <w:i/>
          <w:iCs/>
          <w:lang w:eastAsia="en-ZA"/>
        </w:rPr>
        <w:t>b</w:t>
      </w:r>
      <w:r w:rsidRPr="5FEEF3AA">
        <w:rPr>
          <w:rFonts w:eastAsia="Arial"/>
          <w:lang w:eastAsia="en-ZA"/>
        </w:rPr>
        <w:t xml:space="preserve">): The proposed amendment seeks to broaden the prohibition of depreciation allowances, by including references to sections 12B and 12BA of the Act, in respect of immovable property by a company that is a REIT or a controlled company at the last day of the year of assessment. </w:t>
      </w:r>
    </w:p>
    <w:p w14:paraId="677FE2AD" w14:textId="77777777" w:rsidR="002D0F50" w:rsidRPr="008709CF" w:rsidRDefault="002D0F50" w:rsidP="002D0F50">
      <w:pPr>
        <w:spacing w:line="276" w:lineRule="auto"/>
        <w:ind w:left="720"/>
        <w:rPr>
          <w:b/>
          <w:bCs/>
          <w:lang w:val="en-US"/>
        </w:rPr>
      </w:pPr>
    </w:p>
    <w:p w14:paraId="3027F751" w14:textId="77777777" w:rsidR="002D0F50" w:rsidRPr="00BA1CD0" w:rsidRDefault="002D0F50" w:rsidP="002D0F50">
      <w:pPr>
        <w:jc w:val="center"/>
      </w:pPr>
      <w:r w:rsidRPr="00BA1CD0">
        <w:rPr>
          <w:b/>
          <w:bCs/>
          <w:lang w:val="en-US"/>
        </w:rPr>
        <w:t>CLAUSE 23</w:t>
      </w:r>
    </w:p>
    <w:p w14:paraId="2D5DA937" w14:textId="77777777" w:rsidR="00421762" w:rsidRPr="00421762" w:rsidRDefault="00421762" w:rsidP="00421762">
      <w:pPr>
        <w:rPr>
          <w:rFonts w:eastAsia="Arial"/>
        </w:rPr>
      </w:pPr>
      <w:r w:rsidRPr="00421762">
        <w:rPr>
          <w:rFonts w:eastAsia="Arial"/>
        </w:rPr>
        <w:t>Income Tax Act: Amendment to section 25E</w:t>
      </w:r>
    </w:p>
    <w:p w14:paraId="7D3168E3" w14:textId="77777777" w:rsidR="00421762" w:rsidRPr="00421762" w:rsidRDefault="00421762" w:rsidP="00421762">
      <w:pPr>
        <w:rPr>
          <w:rFonts w:eastAsia="Arial"/>
          <w:b/>
          <w:bCs/>
        </w:rPr>
      </w:pPr>
      <w:r w:rsidRPr="00421762">
        <w:rPr>
          <w:rFonts w:eastAsia="Arial"/>
        </w:rPr>
        <w:t xml:space="preserve">See notes on </w:t>
      </w:r>
      <w:r w:rsidRPr="00421762">
        <w:rPr>
          <w:rFonts w:eastAsia="Arial"/>
          <w:b/>
          <w:bCs/>
        </w:rPr>
        <w:t>TRANSLATING CONTRIBUTED TAX CAPITAL FROM A FOREIGN CURRENCY TO RANDS</w:t>
      </w:r>
    </w:p>
    <w:p w14:paraId="4394BC46" w14:textId="77777777" w:rsidR="002D0F50" w:rsidRPr="00BA1CD0" w:rsidRDefault="002D0F50" w:rsidP="002D0F50">
      <w:r w:rsidRPr="00BA1CD0">
        <w:rPr>
          <w:szCs w:val="22"/>
          <w:lang w:val="en-US"/>
        </w:rPr>
        <w:t xml:space="preserve"> </w:t>
      </w:r>
    </w:p>
    <w:p w14:paraId="3C079FD3" w14:textId="77777777" w:rsidR="002D0F50" w:rsidRPr="00BA1CD0" w:rsidRDefault="002D0F50" w:rsidP="002D0F50">
      <w:pPr>
        <w:jc w:val="center"/>
      </w:pPr>
      <w:r w:rsidRPr="00BA1CD0">
        <w:rPr>
          <w:b/>
          <w:bCs/>
          <w:lang w:val="en-US"/>
        </w:rPr>
        <w:t>CLAUSE 24</w:t>
      </w:r>
    </w:p>
    <w:p w14:paraId="6FCC5437" w14:textId="77777777" w:rsidR="003B1993" w:rsidRPr="003B1993" w:rsidRDefault="003B1993" w:rsidP="003B1993">
      <w:pPr>
        <w:rPr>
          <w:rFonts w:eastAsia="Arial"/>
          <w:lang w:eastAsia="en-ZA"/>
        </w:rPr>
      </w:pPr>
      <w:r w:rsidRPr="003B1993">
        <w:rPr>
          <w:rFonts w:eastAsia="Arial"/>
          <w:lang w:eastAsia="en-ZA"/>
        </w:rPr>
        <w:t>Income Tax Act: Amendment to section 28</w:t>
      </w:r>
    </w:p>
    <w:p w14:paraId="6235A7A6" w14:textId="0B7F44D9" w:rsidR="003B1993" w:rsidRDefault="61395448" w:rsidP="003B1993">
      <w:pPr>
        <w:rPr>
          <w:b/>
          <w:bCs/>
          <w:lang w:eastAsia="en-ZA"/>
        </w:rPr>
      </w:pPr>
      <w:r w:rsidRPr="5FEEF3AA">
        <w:rPr>
          <w:rFonts w:eastAsia="Arial" w:cs="Arial"/>
          <w:color w:val="000000" w:themeColor="text1"/>
          <w:lang w:eastAsia="en-ZA"/>
        </w:rPr>
        <w:t xml:space="preserve">See notes on </w:t>
      </w:r>
      <w:r w:rsidRPr="5FEEF3AA">
        <w:rPr>
          <w:b/>
          <w:bCs/>
          <w:lang w:eastAsia="en-ZA"/>
        </w:rPr>
        <w:t>IMPACT OF IFRS 17 ON THE TAXATION OF INSURERS</w:t>
      </w:r>
    </w:p>
    <w:p w14:paraId="40EB1929" w14:textId="77777777" w:rsidR="003B1993" w:rsidRPr="003B1993" w:rsidRDefault="003B1993" w:rsidP="003B1993">
      <w:pPr>
        <w:rPr>
          <w:b/>
          <w:bCs/>
          <w:lang w:eastAsia="en-ZA"/>
        </w:rPr>
      </w:pPr>
    </w:p>
    <w:p w14:paraId="3009EA9F" w14:textId="77777777" w:rsidR="002D0F50" w:rsidRPr="00BA1CD0" w:rsidRDefault="002D0F50" w:rsidP="002D0F50">
      <w:pPr>
        <w:jc w:val="center"/>
        <w:rPr>
          <w:b/>
          <w:lang w:val="en-US"/>
        </w:rPr>
      </w:pPr>
      <w:r w:rsidRPr="00BA1CD0">
        <w:rPr>
          <w:b/>
          <w:bCs/>
          <w:lang w:val="en-US"/>
        </w:rPr>
        <w:t>CLAUSE 25</w:t>
      </w:r>
    </w:p>
    <w:p w14:paraId="4006846D" w14:textId="77777777" w:rsidR="003B1993" w:rsidRPr="003B1993" w:rsidRDefault="003B1993" w:rsidP="003B1993">
      <w:pPr>
        <w:rPr>
          <w:rFonts w:eastAsia="Arial"/>
          <w:lang w:eastAsia="en-ZA"/>
        </w:rPr>
      </w:pPr>
      <w:r w:rsidRPr="003B1993">
        <w:rPr>
          <w:rFonts w:eastAsia="Arial"/>
          <w:lang w:eastAsia="en-ZA"/>
        </w:rPr>
        <w:t>Income Tax Act: Amendment to section 29A</w:t>
      </w:r>
    </w:p>
    <w:p w14:paraId="551320E3" w14:textId="6E29F858" w:rsidR="003B1993" w:rsidRPr="003B1993" w:rsidRDefault="61395448" w:rsidP="4DA829A6">
      <w:pPr>
        <w:rPr>
          <w:rFonts w:eastAsia="Arial"/>
          <w:lang w:eastAsia="en-ZA"/>
        </w:rPr>
      </w:pPr>
      <w:r w:rsidRPr="5FEEF3AA">
        <w:rPr>
          <w:rFonts w:eastAsia="Arial"/>
          <w:lang w:eastAsia="en-ZA"/>
        </w:rPr>
        <w:t xml:space="preserve">Subclause </w:t>
      </w:r>
      <w:r w:rsidR="64AEC461" w:rsidRPr="5FEEF3AA">
        <w:rPr>
          <w:rFonts w:eastAsia="Arial"/>
          <w:lang w:eastAsia="en-ZA"/>
        </w:rPr>
        <w:t>(1)</w:t>
      </w:r>
      <w:r w:rsidRPr="5FEEF3AA">
        <w:rPr>
          <w:rFonts w:eastAsia="Arial"/>
          <w:lang w:eastAsia="en-ZA"/>
        </w:rPr>
        <w:t>(</w:t>
      </w:r>
      <w:r w:rsidRPr="5FEEF3AA">
        <w:rPr>
          <w:rFonts w:eastAsia="Arial"/>
          <w:i/>
          <w:iCs/>
          <w:lang w:eastAsia="en-ZA"/>
        </w:rPr>
        <w:t>a</w:t>
      </w:r>
      <w:r w:rsidRPr="5FEEF3AA">
        <w:rPr>
          <w:rFonts w:eastAsia="Arial"/>
          <w:lang w:eastAsia="en-ZA"/>
        </w:rPr>
        <w:t>)</w:t>
      </w:r>
      <w:r w:rsidR="45E419F0" w:rsidRPr="5FEEF3AA">
        <w:rPr>
          <w:rFonts w:eastAsia="Arial"/>
          <w:lang w:eastAsia="en-ZA"/>
        </w:rPr>
        <w:t xml:space="preserve"> and</w:t>
      </w:r>
      <w:r w:rsidR="45E419F0" w:rsidRPr="00D259EF">
        <w:rPr>
          <w:rFonts w:eastAsia="Arial"/>
          <w:i/>
          <w:iCs/>
          <w:lang w:eastAsia="en-ZA"/>
        </w:rPr>
        <w:t xml:space="preserve"> (b)</w:t>
      </w:r>
      <w:r w:rsidRPr="5FEEF3AA">
        <w:rPr>
          <w:rFonts w:eastAsia="Arial"/>
          <w:lang w:eastAsia="en-ZA"/>
        </w:rPr>
        <w:t xml:space="preserve">: </w:t>
      </w:r>
      <w:r>
        <w:t>The amendment</w:t>
      </w:r>
      <w:r w:rsidR="150564B9">
        <w:t>s</w:t>
      </w:r>
      <w:r>
        <w:t xml:space="preserve"> seek to </w:t>
      </w:r>
      <w:r w:rsidR="7725BF42">
        <w:t>disregard</w:t>
      </w:r>
      <w:r>
        <w:t xml:space="preserve"> amounts payable </w:t>
      </w:r>
      <w:r w:rsidR="500B33A1">
        <w:t xml:space="preserve">to </w:t>
      </w:r>
      <w:r>
        <w:t xml:space="preserve">or receivable </w:t>
      </w:r>
      <w:r w:rsidR="64E6CEF5">
        <w:t>from a</w:t>
      </w:r>
      <w:r>
        <w:t xml:space="preserve"> cell owner </w:t>
      </w:r>
      <w:r w:rsidR="5FE63AA7">
        <w:t>that do not relate to a policy</w:t>
      </w:r>
      <w:r>
        <w:t xml:space="preserve">. </w:t>
      </w:r>
    </w:p>
    <w:p w14:paraId="59E195C1" w14:textId="1A3735FC" w:rsidR="003B1993" w:rsidRPr="003B1993" w:rsidRDefault="61395448" w:rsidP="4DA829A6">
      <w:pPr>
        <w:rPr>
          <w:b/>
          <w:bCs/>
          <w:lang w:eastAsia="en-ZA"/>
        </w:rPr>
      </w:pPr>
      <w:r w:rsidRPr="5FEEF3AA">
        <w:rPr>
          <w:rFonts w:eastAsia="Arial"/>
          <w:lang w:eastAsia="en-ZA"/>
        </w:rPr>
        <w:t xml:space="preserve">Subclause </w:t>
      </w:r>
      <w:r w:rsidR="64756D4D" w:rsidRPr="5FEEF3AA">
        <w:rPr>
          <w:rFonts w:eastAsia="Arial"/>
          <w:lang w:eastAsia="en-ZA"/>
        </w:rPr>
        <w:t>(1)</w:t>
      </w:r>
      <w:r w:rsidRPr="5FEEF3AA">
        <w:rPr>
          <w:rFonts w:eastAsia="Arial"/>
          <w:lang w:eastAsia="en-ZA"/>
        </w:rPr>
        <w:t>(</w:t>
      </w:r>
      <w:r w:rsidR="5DAFDF81" w:rsidRPr="5FEEF3AA">
        <w:rPr>
          <w:rFonts w:eastAsia="Arial"/>
          <w:i/>
          <w:iCs/>
          <w:lang w:eastAsia="en-ZA"/>
        </w:rPr>
        <w:t>c</w:t>
      </w:r>
      <w:r w:rsidRPr="5FEEF3AA">
        <w:rPr>
          <w:rFonts w:eastAsia="Arial"/>
          <w:lang w:eastAsia="en-ZA"/>
        </w:rPr>
        <w:t xml:space="preserve">): </w:t>
      </w:r>
      <w:r w:rsidRPr="5FEEF3AA">
        <w:rPr>
          <w:rFonts w:eastAsia="Arial"/>
        </w:rPr>
        <w:t xml:space="preserve">The amendment seeks to update the 2022 amendment of </w:t>
      </w:r>
      <w:r w:rsidR="2F016FB3" w:rsidRPr="5FEEF3AA">
        <w:rPr>
          <w:rFonts w:eastAsia="Arial"/>
        </w:rPr>
        <w:t>deducting</w:t>
      </w:r>
      <w:r w:rsidRPr="5FEEF3AA">
        <w:rPr>
          <w:rFonts w:eastAsia="Arial"/>
        </w:rPr>
        <w:t xml:space="preserve"> the premium debtors and policy loans </w:t>
      </w:r>
      <w:r w:rsidR="206E59AD" w:rsidRPr="5FEEF3AA">
        <w:rPr>
          <w:rFonts w:eastAsia="Arial"/>
        </w:rPr>
        <w:t>that</w:t>
      </w:r>
      <w:r w:rsidRPr="5FEEF3AA">
        <w:rPr>
          <w:rFonts w:eastAsia="Arial"/>
        </w:rPr>
        <w:t xml:space="preserve"> have been reclassified from the asset section of the balance sheet to </w:t>
      </w:r>
      <w:r w:rsidR="676C126B" w:rsidRPr="5FEEF3AA">
        <w:rPr>
          <w:rFonts w:eastAsia="Arial"/>
        </w:rPr>
        <w:t xml:space="preserve">a reduction in </w:t>
      </w:r>
      <w:r w:rsidRPr="5FEEF3AA">
        <w:rPr>
          <w:rFonts w:eastAsia="Arial"/>
        </w:rPr>
        <w:t xml:space="preserve">the liability section of the balance sheet, </w:t>
      </w:r>
      <w:r w:rsidR="1EAC2A6A" w:rsidRPr="5FEEF3AA">
        <w:rPr>
          <w:rFonts w:eastAsia="Arial"/>
        </w:rPr>
        <w:t>to also apply to</w:t>
      </w:r>
      <w:r w:rsidRPr="5FEEF3AA">
        <w:rPr>
          <w:rFonts w:eastAsia="Arial"/>
        </w:rPr>
        <w:t xml:space="preserve"> reinsurance debtors.</w:t>
      </w:r>
    </w:p>
    <w:p w14:paraId="07E081EF" w14:textId="77777777" w:rsidR="002D0F50" w:rsidRPr="008709CF" w:rsidRDefault="002D0F50" w:rsidP="002D0F50">
      <w:pPr>
        <w:spacing w:line="276" w:lineRule="auto"/>
        <w:ind w:left="720"/>
        <w:rPr>
          <w:lang w:val="en-US"/>
        </w:rPr>
      </w:pPr>
    </w:p>
    <w:p w14:paraId="4AE556A9" w14:textId="77777777" w:rsidR="002D0F50" w:rsidRPr="005B7D73" w:rsidRDefault="002D0F50" w:rsidP="002D0F50">
      <w:pPr>
        <w:jc w:val="center"/>
      </w:pPr>
      <w:r w:rsidRPr="00BA1CD0">
        <w:rPr>
          <w:b/>
          <w:bCs/>
          <w:lang w:val="en-US"/>
        </w:rPr>
        <w:t xml:space="preserve">CLAUSE </w:t>
      </w:r>
      <w:r w:rsidRPr="00416A9E">
        <w:rPr>
          <w:b/>
          <w:bCs/>
          <w:lang w:val="en-US"/>
        </w:rPr>
        <w:t>26</w:t>
      </w:r>
    </w:p>
    <w:p w14:paraId="3C5B6F21" w14:textId="77777777" w:rsidR="003B1993" w:rsidRPr="003B1993" w:rsidRDefault="003B1993" w:rsidP="003B1993">
      <w:pPr>
        <w:rPr>
          <w:rFonts w:eastAsia="Arial"/>
        </w:rPr>
      </w:pPr>
      <w:r w:rsidRPr="003B1993">
        <w:rPr>
          <w:rFonts w:eastAsia="Arial"/>
        </w:rPr>
        <w:t>Income Tax Act: Amendment to section 30</w:t>
      </w:r>
    </w:p>
    <w:p w14:paraId="4857B5A6" w14:textId="7A29F9F1" w:rsidR="003B1993" w:rsidRPr="003B1993" w:rsidRDefault="61395448" w:rsidP="4DA829A6">
      <w:pPr>
        <w:rPr>
          <w:rFonts w:eastAsia="Arial"/>
          <w:b/>
          <w:bCs/>
        </w:rPr>
      </w:pPr>
      <w:r w:rsidRPr="5FEEF3AA">
        <w:rPr>
          <w:rFonts w:eastAsia="Arial"/>
        </w:rPr>
        <w:t>The proposed amendment</w:t>
      </w:r>
      <w:r w:rsidR="094AAEF2" w:rsidRPr="5FEEF3AA">
        <w:rPr>
          <w:rFonts w:eastAsia="Arial"/>
        </w:rPr>
        <w:t>s</w:t>
      </w:r>
      <w:r w:rsidRPr="5FEEF3AA">
        <w:rPr>
          <w:rFonts w:eastAsia="Arial"/>
        </w:rPr>
        <w:t xml:space="preserve"> delete </w:t>
      </w:r>
      <w:r w:rsidR="2D9578BA" w:rsidRPr="5FEEF3AA">
        <w:rPr>
          <w:rFonts w:eastAsia="Arial"/>
        </w:rPr>
        <w:t>the</w:t>
      </w:r>
      <w:r w:rsidR="1D50D65D" w:rsidRPr="5FEEF3AA">
        <w:rPr>
          <w:rFonts w:eastAsia="Arial"/>
        </w:rPr>
        <w:t xml:space="preserve"> </w:t>
      </w:r>
      <w:r w:rsidRPr="5FEEF3AA">
        <w:rPr>
          <w:rFonts w:eastAsia="Arial"/>
        </w:rPr>
        <w:t xml:space="preserve">obsolete provision relating to consolidation </w:t>
      </w:r>
      <w:r w:rsidR="0B5BABF0" w:rsidRPr="5FEEF3AA">
        <w:rPr>
          <w:rFonts w:eastAsia="Arial"/>
        </w:rPr>
        <w:t>of</w:t>
      </w:r>
      <w:r w:rsidRPr="5FEEF3AA">
        <w:rPr>
          <w:rFonts w:eastAsia="Arial"/>
        </w:rPr>
        <w:t xml:space="preserve"> the </w:t>
      </w:r>
      <w:r w:rsidR="3F7A8044" w:rsidRPr="5FEEF3AA">
        <w:rPr>
          <w:rFonts w:eastAsia="Arial"/>
        </w:rPr>
        <w:t>previous</w:t>
      </w:r>
      <w:r w:rsidRPr="5FEEF3AA">
        <w:rPr>
          <w:rFonts w:eastAsia="Arial"/>
        </w:rPr>
        <w:t xml:space="preserve"> National Urban Reconstruction and Housing Agency and the Rural Housing Loan Fund under the National Housing Finance Corporation, which was finalised with effect from 1 October 2018.</w:t>
      </w:r>
    </w:p>
    <w:p w14:paraId="7ACECD4F" w14:textId="77777777" w:rsidR="002D0F50" w:rsidRPr="00BA1CD0" w:rsidRDefault="002D0F50" w:rsidP="002D0F50">
      <w:pPr>
        <w:rPr>
          <w:b/>
          <w:bCs/>
          <w:szCs w:val="22"/>
          <w:lang w:val="en-US"/>
        </w:rPr>
      </w:pPr>
    </w:p>
    <w:p w14:paraId="6AA74350" w14:textId="77777777" w:rsidR="002D0F50" w:rsidRPr="00BA1CD0" w:rsidRDefault="002D0F50" w:rsidP="002D0F50">
      <w:pPr>
        <w:jc w:val="center"/>
      </w:pPr>
      <w:r w:rsidRPr="00BA1CD0">
        <w:rPr>
          <w:lang w:val="en-US"/>
        </w:rPr>
        <w:t xml:space="preserve"> </w:t>
      </w:r>
      <w:r w:rsidRPr="00BA1CD0">
        <w:rPr>
          <w:b/>
          <w:bCs/>
          <w:lang w:val="en-US"/>
        </w:rPr>
        <w:t xml:space="preserve">CLAUSE </w:t>
      </w:r>
      <w:r w:rsidRPr="00416A9E">
        <w:rPr>
          <w:b/>
          <w:bCs/>
          <w:lang w:val="en-US"/>
        </w:rPr>
        <w:t>27</w:t>
      </w:r>
    </w:p>
    <w:p w14:paraId="046AD38C" w14:textId="77777777" w:rsidR="003B1993" w:rsidRPr="003B1993" w:rsidRDefault="003B1993" w:rsidP="003B1993">
      <w:pPr>
        <w:rPr>
          <w:rFonts w:eastAsia="Arial"/>
        </w:rPr>
      </w:pPr>
      <w:r w:rsidRPr="003B1993">
        <w:rPr>
          <w:rFonts w:eastAsia="Arial"/>
        </w:rPr>
        <w:t>Income Tax Act: Amendment to section 41</w:t>
      </w:r>
    </w:p>
    <w:p w14:paraId="11424CF2" w14:textId="77777777" w:rsidR="003B1993" w:rsidRPr="003B1993" w:rsidRDefault="003B1993" w:rsidP="003B1993">
      <w:pPr>
        <w:rPr>
          <w:rFonts w:eastAsia="Arial"/>
          <w:b/>
          <w:bCs/>
        </w:rPr>
      </w:pPr>
      <w:r w:rsidRPr="003B1993">
        <w:rPr>
          <w:rFonts w:eastAsia="Arial"/>
        </w:rPr>
        <w:t xml:space="preserve">See notes on </w:t>
      </w:r>
      <w:r w:rsidRPr="003B1993">
        <w:rPr>
          <w:rFonts w:eastAsia="Arial"/>
          <w:b/>
          <w:bCs/>
        </w:rPr>
        <w:t>RELAXING THE ASSESSED LOSS RESTRICTION RULE UNDER CERTAIN CIRCUMSTANCES</w:t>
      </w:r>
    </w:p>
    <w:p w14:paraId="46317580" w14:textId="77777777" w:rsidR="002D0F50" w:rsidRPr="00737A1D" w:rsidRDefault="002D0F50" w:rsidP="002D0F50">
      <w:pPr>
        <w:rPr>
          <w:lang w:val="en-US"/>
        </w:rPr>
      </w:pPr>
    </w:p>
    <w:p w14:paraId="727580F2" w14:textId="77777777" w:rsidR="002D0F50" w:rsidRPr="00BA1CD0" w:rsidRDefault="002D0F50" w:rsidP="002D0F50">
      <w:pPr>
        <w:jc w:val="center"/>
      </w:pPr>
      <w:r w:rsidRPr="00BA1CD0">
        <w:rPr>
          <w:lang w:val="en-US"/>
        </w:rPr>
        <w:t xml:space="preserve"> </w:t>
      </w:r>
      <w:r w:rsidRPr="00BA1CD0">
        <w:rPr>
          <w:b/>
          <w:bCs/>
          <w:lang w:val="en-US"/>
        </w:rPr>
        <w:t>CLAUSE 2</w:t>
      </w:r>
      <w:r>
        <w:rPr>
          <w:b/>
          <w:bCs/>
          <w:lang w:val="en-US"/>
        </w:rPr>
        <w:t>8</w:t>
      </w:r>
    </w:p>
    <w:p w14:paraId="1250CBDB" w14:textId="77777777" w:rsidR="003B1993" w:rsidRPr="003B1993" w:rsidRDefault="003B1993" w:rsidP="003B1993">
      <w:pPr>
        <w:rPr>
          <w:rFonts w:eastAsia="Arial"/>
        </w:rPr>
      </w:pPr>
      <w:r w:rsidRPr="003B1993">
        <w:rPr>
          <w:rFonts w:eastAsia="Arial"/>
        </w:rPr>
        <w:t xml:space="preserve">Income Tax Act: Amendment to section 42 </w:t>
      </w:r>
    </w:p>
    <w:p w14:paraId="40A95CD6" w14:textId="204F9ED0" w:rsidR="003B1993" w:rsidRPr="003B1993" w:rsidRDefault="61395448" w:rsidP="4DA829A6">
      <w:pPr>
        <w:rPr>
          <w:rFonts w:eastAsia="Arial"/>
        </w:rPr>
      </w:pPr>
      <w:r w:rsidRPr="5FEEF3AA">
        <w:rPr>
          <w:rFonts w:eastAsia="Arial"/>
        </w:rPr>
        <w:t xml:space="preserve">The proposed amendment to </w:t>
      </w:r>
      <w:r w:rsidR="59F72DE4" w:rsidRPr="5FEEF3AA">
        <w:rPr>
          <w:rFonts w:eastAsia="Arial"/>
        </w:rPr>
        <w:t xml:space="preserve">paragraph </w:t>
      </w:r>
      <w:r w:rsidR="59F72DE4" w:rsidRPr="5FEEF3AA">
        <w:rPr>
          <w:rFonts w:eastAsia="Arial"/>
          <w:i/>
          <w:iCs/>
        </w:rPr>
        <w:t>(d)</w:t>
      </w:r>
      <w:proofErr w:type="spellStart"/>
      <w:r w:rsidR="59F72DE4" w:rsidRPr="5FEEF3AA">
        <w:rPr>
          <w:rFonts w:eastAsia="Arial"/>
          <w:i/>
          <w:iCs/>
        </w:rPr>
        <w:t>i</w:t>
      </w:r>
      <w:proofErr w:type="spellEnd"/>
      <w:r w:rsidR="59F72DE4" w:rsidRPr="5FEEF3AA">
        <w:rPr>
          <w:rFonts w:eastAsia="Arial"/>
          <w:i/>
          <w:iCs/>
        </w:rPr>
        <w:t xml:space="preserve"> </w:t>
      </w:r>
      <w:r w:rsidR="59F72DE4" w:rsidRPr="5FEEF3AA">
        <w:rPr>
          <w:rFonts w:eastAsia="Arial"/>
        </w:rPr>
        <w:t>of</w:t>
      </w:r>
      <w:r w:rsidRPr="5FEEF3AA">
        <w:rPr>
          <w:rFonts w:eastAsia="Arial"/>
        </w:rPr>
        <w:t xml:space="preserve"> the definition of “qualifying interest” </w:t>
      </w:r>
      <w:r w:rsidR="7387470D" w:rsidRPr="5FEEF3AA">
        <w:rPr>
          <w:rFonts w:eastAsia="Arial"/>
        </w:rPr>
        <w:t>corrects a spelling mistake</w:t>
      </w:r>
      <w:r w:rsidRPr="5FEEF3AA">
        <w:rPr>
          <w:rFonts w:eastAsia="Arial"/>
        </w:rPr>
        <w:t xml:space="preserve">. </w:t>
      </w:r>
    </w:p>
    <w:p w14:paraId="3B1C8B55" w14:textId="77777777" w:rsidR="002D0F50" w:rsidRPr="00BA1CD0" w:rsidRDefault="002D0F50" w:rsidP="002D0F50"/>
    <w:p w14:paraId="511A0A2E" w14:textId="77777777" w:rsidR="002D0F50" w:rsidRPr="00BA1CD0" w:rsidRDefault="002D0F50" w:rsidP="002D0F50">
      <w:pPr>
        <w:jc w:val="center"/>
      </w:pPr>
      <w:r w:rsidRPr="00BA1CD0">
        <w:rPr>
          <w:b/>
          <w:bCs/>
          <w:lang w:val="en-US"/>
        </w:rPr>
        <w:t>CLAUSE 2</w:t>
      </w:r>
      <w:r>
        <w:rPr>
          <w:b/>
          <w:bCs/>
          <w:lang w:val="en-US"/>
        </w:rPr>
        <w:t>9</w:t>
      </w:r>
    </w:p>
    <w:p w14:paraId="0BBA8C38" w14:textId="77777777" w:rsidR="003B1993" w:rsidRPr="003B1993" w:rsidRDefault="003B1993" w:rsidP="003B1993">
      <w:pPr>
        <w:rPr>
          <w:rFonts w:eastAsia="Arial"/>
        </w:rPr>
      </w:pPr>
      <w:r w:rsidRPr="003B1993">
        <w:rPr>
          <w:rFonts w:eastAsia="Arial"/>
        </w:rPr>
        <w:t>Income Tax Act: Amendment to section 44</w:t>
      </w:r>
    </w:p>
    <w:p w14:paraId="0EA1EC68" w14:textId="77777777" w:rsidR="003B1993" w:rsidRPr="003B1993" w:rsidRDefault="003B1993" w:rsidP="003B1993">
      <w:pPr>
        <w:rPr>
          <w:rFonts w:eastAsia="Arial"/>
        </w:rPr>
      </w:pPr>
      <w:r w:rsidRPr="003B1993">
        <w:rPr>
          <w:rFonts w:eastAsia="Arial"/>
        </w:rPr>
        <w:t xml:space="preserve">See notes on </w:t>
      </w:r>
      <w:r w:rsidRPr="003B1993">
        <w:rPr>
          <w:rFonts w:eastAsia="Arial"/>
          <w:b/>
          <w:bCs/>
        </w:rPr>
        <w:t xml:space="preserve">REVIEWING THE PROHIBITION AGAINST THE TRANSFER OF ASSETS IN TERMS OF AN AMALAGAMANTION TRANSACTION </w:t>
      </w:r>
    </w:p>
    <w:p w14:paraId="2B9E62F7" w14:textId="0F82D77E" w:rsidR="002D0F50" w:rsidRPr="00416A9E" w:rsidRDefault="002D0F50" w:rsidP="002D0F50">
      <w:pPr>
        <w:rPr>
          <w:szCs w:val="22"/>
          <w:lang w:val="en-US"/>
        </w:rPr>
      </w:pPr>
    </w:p>
    <w:p w14:paraId="76475AA5" w14:textId="77777777" w:rsidR="002D0F50" w:rsidRPr="00BA1CD0" w:rsidRDefault="002D0F50" w:rsidP="002D0F50">
      <w:pPr>
        <w:jc w:val="center"/>
        <w:rPr>
          <w:b/>
          <w:lang w:val="en-US"/>
        </w:rPr>
      </w:pPr>
      <w:r w:rsidRPr="00BA1CD0">
        <w:rPr>
          <w:b/>
          <w:bCs/>
          <w:lang w:val="en-US"/>
        </w:rPr>
        <w:t>CLAUSE 30</w:t>
      </w:r>
    </w:p>
    <w:p w14:paraId="34F21039" w14:textId="2991C801" w:rsidR="003B1993" w:rsidRPr="003B1993" w:rsidRDefault="61395448" w:rsidP="003B1993">
      <w:pPr>
        <w:rPr>
          <w:rFonts w:eastAsia="Arial"/>
        </w:rPr>
      </w:pPr>
      <w:r w:rsidRPr="5FEEF3AA">
        <w:rPr>
          <w:rFonts w:eastAsia="Arial"/>
        </w:rPr>
        <w:t xml:space="preserve">Income Tax Act: Amendment </w:t>
      </w:r>
      <w:r w:rsidR="22F9A14F" w:rsidRPr="5FEEF3AA">
        <w:rPr>
          <w:rFonts w:eastAsia="Arial"/>
        </w:rPr>
        <w:t>of</w:t>
      </w:r>
      <w:r w:rsidRPr="5FEEF3AA">
        <w:rPr>
          <w:rFonts w:eastAsia="Arial"/>
        </w:rPr>
        <w:t xml:space="preserve"> paragraph 2(1)</w:t>
      </w:r>
      <w:r w:rsidR="748E72DD" w:rsidRPr="5FEEF3AA">
        <w:rPr>
          <w:rFonts w:eastAsia="Arial"/>
          <w:i/>
          <w:iCs/>
        </w:rPr>
        <w:t>(c)</w:t>
      </w:r>
      <w:r w:rsidRPr="5FEEF3AA">
        <w:rPr>
          <w:rFonts w:eastAsia="Arial"/>
        </w:rPr>
        <w:t xml:space="preserve"> of the Second Schedule to the Act</w:t>
      </w:r>
    </w:p>
    <w:p w14:paraId="45653871" w14:textId="77777777" w:rsidR="003B1993" w:rsidRPr="003B1993" w:rsidRDefault="003B1993" w:rsidP="003B1993">
      <w:pPr>
        <w:rPr>
          <w:rFonts w:eastAsia="Arial"/>
        </w:rPr>
      </w:pPr>
      <w:r w:rsidRPr="003B1993">
        <w:rPr>
          <w:rFonts w:eastAsia="Arial"/>
        </w:rPr>
        <w:t xml:space="preserve">See notes on </w:t>
      </w:r>
      <w:r w:rsidRPr="003B1993">
        <w:rPr>
          <w:rFonts w:eastAsia="Arial"/>
          <w:b/>
        </w:rPr>
        <w:t>TRANSFERS BETWEEN RETIREMENT FUNDS BY MEMBERS WHO REACHED NORMAL RETIREMENT AGE BEFORE RETIREMENT DATE</w:t>
      </w:r>
    </w:p>
    <w:p w14:paraId="6741B32F" w14:textId="77777777" w:rsidR="002D0F50" w:rsidRPr="00BA1CD0" w:rsidRDefault="002D0F50" w:rsidP="002D0F50">
      <w:pPr>
        <w:rPr>
          <w:szCs w:val="22"/>
          <w:lang w:val="en-US"/>
        </w:rPr>
      </w:pPr>
    </w:p>
    <w:p w14:paraId="5E83EE76" w14:textId="77777777" w:rsidR="002D0F50" w:rsidRPr="00BA1CD0" w:rsidRDefault="002D0F50" w:rsidP="002D0F50">
      <w:pPr>
        <w:jc w:val="center"/>
        <w:rPr>
          <w:b/>
          <w:lang w:val="en-US"/>
        </w:rPr>
      </w:pPr>
      <w:r w:rsidRPr="00BA1CD0">
        <w:rPr>
          <w:b/>
          <w:bCs/>
          <w:lang w:val="en-US"/>
        </w:rPr>
        <w:t>CLAUSE 31</w:t>
      </w:r>
    </w:p>
    <w:p w14:paraId="6E013214" w14:textId="77777777" w:rsidR="003B1993" w:rsidRPr="003B1993" w:rsidRDefault="003B1993" w:rsidP="003B1993">
      <w:pPr>
        <w:rPr>
          <w:rFonts w:eastAsia="Arial"/>
        </w:rPr>
      </w:pPr>
      <w:bookmarkStart w:id="384" w:name="_Hlk172488522"/>
      <w:r w:rsidRPr="003B1993">
        <w:rPr>
          <w:rFonts w:eastAsia="Arial"/>
        </w:rPr>
        <w:t xml:space="preserve">Income Tax Act: </w:t>
      </w:r>
      <w:bookmarkStart w:id="385" w:name="_Hlk172488918"/>
      <w:r w:rsidRPr="003B1993">
        <w:rPr>
          <w:rFonts w:eastAsia="Arial"/>
        </w:rPr>
        <w:t>Amendment to paragraph 6A of the Second Schedule to the Act</w:t>
      </w:r>
      <w:bookmarkEnd w:id="385"/>
    </w:p>
    <w:bookmarkEnd w:id="384"/>
    <w:p w14:paraId="3EEB178F" w14:textId="58B28FED" w:rsidR="003B1993" w:rsidRPr="003B1993" w:rsidRDefault="61395448" w:rsidP="003B1993">
      <w:pPr>
        <w:rPr>
          <w:rFonts w:eastAsia="Arial"/>
        </w:rPr>
      </w:pPr>
      <w:r w:rsidRPr="5FEEF3AA">
        <w:rPr>
          <w:rFonts w:eastAsia="Arial"/>
        </w:rPr>
        <w:t xml:space="preserve">See notes on </w:t>
      </w:r>
      <w:r w:rsidRPr="5FEEF3AA">
        <w:rPr>
          <w:rFonts w:eastAsia="Arial"/>
          <w:b/>
          <w:bCs/>
        </w:rPr>
        <w:t>TRANSFERS BETWEEN RETIREMENT FUNDS BY MEMBERS WHO REACHED NORMAL RETIREMENT AGE BEFORE RETIREMENT DATE</w:t>
      </w:r>
    </w:p>
    <w:p w14:paraId="19104E11" w14:textId="77777777" w:rsidR="002D0F50" w:rsidRPr="00BA1CD0" w:rsidRDefault="002D0F50" w:rsidP="002D0F50">
      <w:pPr>
        <w:rPr>
          <w:szCs w:val="22"/>
          <w:lang w:val="en-US"/>
        </w:rPr>
      </w:pPr>
    </w:p>
    <w:p w14:paraId="218FA949" w14:textId="77777777" w:rsidR="002D0F50" w:rsidRPr="00BA1CD0" w:rsidRDefault="002D0F50" w:rsidP="002D0F50">
      <w:pPr>
        <w:jc w:val="center"/>
      </w:pPr>
      <w:r w:rsidRPr="00BA1CD0">
        <w:rPr>
          <w:b/>
          <w:bCs/>
          <w:lang w:val="en-US"/>
        </w:rPr>
        <w:t>CLAUSE 32</w:t>
      </w:r>
    </w:p>
    <w:p w14:paraId="049FD96A" w14:textId="77777777" w:rsidR="003B1993" w:rsidRPr="003B1993" w:rsidRDefault="003B1993" w:rsidP="4DA829A6">
      <w:pPr>
        <w:rPr>
          <w:rFonts w:eastAsia="Arial"/>
          <w:lang w:eastAsia="en-ZA"/>
        </w:rPr>
      </w:pPr>
      <w:r w:rsidRPr="4DA829A6">
        <w:rPr>
          <w:rFonts w:eastAsia="Arial"/>
          <w:lang w:eastAsia="en-ZA"/>
        </w:rPr>
        <w:t>Income Tax Act: Deletion of paragraph 2(</w:t>
      </w:r>
      <w:proofErr w:type="spellStart"/>
      <w:r w:rsidRPr="4DA829A6">
        <w:rPr>
          <w:rFonts w:eastAsia="Arial"/>
          <w:i/>
          <w:iCs/>
          <w:lang w:eastAsia="en-ZA"/>
        </w:rPr>
        <w:t>gA</w:t>
      </w:r>
      <w:proofErr w:type="spellEnd"/>
      <w:r w:rsidRPr="4DA829A6">
        <w:rPr>
          <w:rFonts w:eastAsia="Arial"/>
          <w:lang w:eastAsia="en-ZA"/>
        </w:rPr>
        <w:t>) of the Seventh Schedule to the Act</w:t>
      </w:r>
    </w:p>
    <w:p w14:paraId="0F864319" w14:textId="77777777" w:rsidR="00715CDF" w:rsidRDefault="61395448" w:rsidP="00715CDF">
      <w:pPr>
        <w:rPr>
          <w:rFonts w:eastAsia="Arial"/>
          <w:i/>
          <w:iCs/>
          <w:lang w:eastAsia="en-ZA"/>
        </w:rPr>
      </w:pPr>
      <w:r w:rsidRPr="5FEEF3AA">
        <w:rPr>
          <w:rFonts w:eastAsia="Arial"/>
          <w:lang w:eastAsia="en-ZA"/>
        </w:rPr>
        <w:t xml:space="preserve">The proposed amendment seeks to delete </w:t>
      </w:r>
      <w:r w:rsidR="73725559" w:rsidRPr="5FEEF3AA">
        <w:rPr>
          <w:rFonts w:eastAsia="Arial"/>
          <w:lang w:eastAsia="en-ZA"/>
        </w:rPr>
        <w:t xml:space="preserve">the </w:t>
      </w:r>
      <w:r w:rsidRPr="5FEEF3AA">
        <w:rPr>
          <w:rFonts w:eastAsia="Arial"/>
          <w:lang w:eastAsia="en-ZA"/>
        </w:rPr>
        <w:t xml:space="preserve">obsolete </w:t>
      </w:r>
      <w:r w:rsidR="637DE8BD" w:rsidRPr="5FEEF3AA">
        <w:rPr>
          <w:rFonts w:eastAsia="Arial"/>
          <w:lang w:eastAsia="en-ZA"/>
        </w:rPr>
        <w:t xml:space="preserve">paragraph </w:t>
      </w:r>
      <w:r w:rsidR="637DE8BD" w:rsidRPr="00D259EF">
        <w:rPr>
          <w:rFonts w:eastAsia="Arial"/>
          <w:i/>
          <w:iCs/>
          <w:lang w:eastAsia="en-ZA"/>
        </w:rPr>
        <w:t>2</w:t>
      </w:r>
      <w:r w:rsidR="637DE8BD" w:rsidRPr="5FEEF3AA">
        <w:rPr>
          <w:rFonts w:eastAsia="Arial"/>
          <w:i/>
          <w:iCs/>
          <w:lang w:eastAsia="en-ZA"/>
        </w:rPr>
        <w:t>(</w:t>
      </w:r>
      <w:proofErr w:type="spellStart"/>
      <w:r w:rsidR="637DE8BD" w:rsidRPr="00D259EF">
        <w:rPr>
          <w:rFonts w:eastAsia="Arial"/>
          <w:i/>
          <w:iCs/>
          <w:lang w:eastAsia="en-ZA"/>
        </w:rPr>
        <w:t>g</w:t>
      </w:r>
      <w:r w:rsidR="637DE8BD" w:rsidRPr="5FEEF3AA">
        <w:rPr>
          <w:rFonts w:eastAsia="Arial"/>
          <w:lang w:eastAsia="en-ZA"/>
        </w:rPr>
        <w:t>A</w:t>
      </w:r>
      <w:proofErr w:type="spellEnd"/>
      <w:r w:rsidR="637DE8BD" w:rsidRPr="5FEEF3AA">
        <w:rPr>
          <w:rFonts w:eastAsia="Arial"/>
          <w:i/>
          <w:iCs/>
          <w:lang w:eastAsia="en-ZA"/>
        </w:rPr>
        <w:t>)</w:t>
      </w:r>
      <w:r w:rsidR="63EC4F92" w:rsidRPr="5FEEF3AA">
        <w:rPr>
          <w:rFonts w:eastAsia="Arial"/>
          <w:i/>
          <w:iCs/>
          <w:lang w:eastAsia="en-ZA"/>
        </w:rPr>
        <w:t>.</w:t>
      </w:r>
    </w:p>
    <w:p w14:paraId="2E989CBC" w14:textId="77777777" w:rsidR="00715CDF" w:rsidRPr="00715CDF" w:rsidRDefault="00715CDF" w:rsidP="00715CDF">
      <w:pPr>
        <w:jc w:val="center"/>
        <w:rPr>
          <w:b/>
          <w:bCs/>
          <w:lang w:val="en-US"/>
        </w:rPr>
      </w:pPr>
    </w:p>
    <w:p w14:paraId="44C017DD" w14:textId="2CC8CE21" w:rsidR="002D0F50" w:rsidRPr="00715CDF" w:rsidRDefault="002D0F50" w:rsidP="00715CDF">
      <w:pPr>
        <w:jc w:val="center"/>
        <w:rPr>
          <w:b/>
          <w:bCs/>
          <w:lang w:val="en-US"/>
        </w:rPr>
      </w:pPr>
      <w:r w:rsidRPr="00BA1CD0">
        <w:rPr>
          <w:b/>
          <w:bCs/>
          <w:lang w:val="en-US"/>
        </w:rPr>
        <w:t>CLAUSE 33</w:t>
      </w:r>
    </w:p>
    <w:p w14:paraId="32CBD8B0" w14:textId="77777777" w:rsidR="003B1993" w:rsidRPr="003B1993" w:rsidRDefault="003B1993" w:rsidP="003B1993">
      <w:pPr>
        <w:rPr>
          <w:rFonts w:eastAsia="Arial"/>
          <w:lang w:eastAsia="en-ZA"/>
        </w:rPr>
      </w:pPr>
      <w:r w:rsidRPr="003B1993">
        <w:rPr>
          <w:rFonts w:eastAsia="Arial"/>
          <w:lang w:eastAsia="en-ZA"/>
        </w:rPr>
        <w:t xml:space="preserve">Income Tax Act: </w:t>
      </w:r>
      <w:bookmarkStart w:id="386" w:name="_Hlk172494827"/>
      <w:r w:rsidRPr="003B1993">
        <w:rPr>
          <w:rFonts w:eastAsia="Arial"/>
          <w:lang w:eastAsia="en-ZA"/>
        </w:rPr>
        <w:t>Amendment of paragraph 12D of the Seventh Schedule to the Act</w:t>
      </w:r>
      <w:bookmarkEnd w:id="386"/>
    </w:p>
    <w:p w14:paraId="5144A9E9" w14:textId="4DF77EF1" w:rsidR="003B1993" w:rsidRPr="003B1993" w:rsidRDefault="61395448" w:rsidP="003B1993">
      <w:pPr>
        <w:rPr>
          <w:rFonts w:eastAsia="Arial"/>
          <w:lang w:eastAsia="en-ZA"/>
        </w:rPr>
      </w:pPr>
      <w:bookmarkStart w:id="387" w:name="_Hlk173394898"/>
      <w:r w:rsidRPr="5FEEF3AA">
        <w:rPr>
          <w:rFonts w:eastAsia="Arial"/>
          <w:lang w:eastAsia="en-ZA"/>
        </w:rPr>
        <w:t xml:space="preserve">The proposed amendments are technical corrections and are consequential to amendments made in </w:t>
      </w:r>
      <w:r w:rsidR="6760878D" w:rsidRPr="5FEEF3AA">
        <w:rPr>
          <w:rFonts w:eastAsia="Arial"/>
          <w:lang w:eastAsia="en-ZA"/>
        </w:rPr>
        <w:t xml:space="preserve">the Taxation Laws Amendment Act of </w:t>
      </w:r>
      <w:r w:rsidRPr="5FEEF3AA">
        <w:rPr>
          <w:rFonts w:eastAsia="Arial"/>
          <w:lang w:eastAsia="en-ZA"/>
        </w:rPr>
        <w:t>2018</w:t>
      </w:r>
      <w:r w:rsidR="1C0C931F" w:rsidRPr="5FEEF3AA">
        <w:rPr>
          <w:rFonts w:eastAsia="Arial"/>
          <w:lang w:eastAsia="en-ZA"/>
        </w:rPr>
        <w:t xml:space="preserve">. </w:t>
      </w:r>
      <w:r w:rsidR="3DF94628" w:rsidRPr="5FEEF3AA">
        <w:rPr>
          <w:rFonts w:eastAsia="Arial" w:cs="Arial"/>
          <w:szCs w:val="22"/>
          <w:lang w:val="en-GB"/>
        </w:rPr>
        <w:t xml:space="preserve"> On 1 March 2019 retirement annuity fund contributions by the employer for the benefit of an employee who is a member of that fund were removed from paragraph 2</w:t>
      </w:r>
      <w:r w:rsidR="3DF94628" w:rsidRPr="5FEEF3AA">
        <w:rPr>
          <w:rFonts w:eastAsia="Arial" w:cs="Arial"/>
          <w:i/>
          <w:iCs/>
          <w:szCs w:val="22"/>
          <w:lang w:val="en-GB"/>
        </w:rPr>
        <w:t>(l)</w:t>
      </w:r>
      <w:r w:rsidR="3DF94628" w:rsidRPr="5FEEF3AA">
        <w:rPr>
          <w:rFonts w:eastAsia="Arial" w:cs="Arial"/>
          <w:szCs w:val="22"/>
          <w:lang w:val="en-GB"/>
        </w:rPr>
        <w:t xml:space="preserve"> and they are a taxable benefit under paragraph 2</w:t>
      </w:r>
      <w:r w:rsidR="3DF94628" w:rsidRPr="5FEEF3AA">
        <w:rPr>
          <w:rFonts w:eastAsia="Arial" w:cs="Arial"/>
          <w:i/>
          <w:iCs/>
          <w:szCs w:val="22"/>
          <w:lang w:val="en-GB"/>
        </w:rPr>
        <w:t>(h)</w:t>
      </w:r>
      <w:r w:rsidR="3DF94628" w:rsidRPr="5FEEF3AA">
        <w:rPr>
          <w:rFonts w:eastAsia="Arial" w:cs="Arial"/>
          <w:szCs w:val="22"/>
          <w:lang w:val="en-GB"/>
        </w:rPr>
        <w:t xml:space="preserve"> and determined in accordance with paragraph 13(1).</w:t>
      </w:r>
      <w:r w:rsidRPr="5FEEF3AA">
        <w:rPr>
          <w:rFonts w:eastAsia="Arial"/>
          <w:lang w:eastAsia="en-ZA"/>
        </w:rPr>
        <w:t xml:space="preserve"> </w:t>
      </w:r>
    </w:p>
    <w:bookmarkEnd w:id="387"/>
    <w:p w14:paraId="5509975D" w14:textId="77777777" w:rsidR="002D0F50" w:rsidRPr="00BA1CD0" w:rsidRDefault="002D0F50" w:rsidP="002D0F50">
      <w:pPr>
        <w:spacing w:line="257" w:lineRule="auto"/>
        <w:rPr>
          <w:b/>
          <w:bCs/>
          <w:szCs w:val="22"/>
          <w:lang w:val="en-US"/>
        </w:rPr>
      </w:pPr>
    </w:p>
    <w:p w14:paraId="6C00A838" w14:textId="77777777" w:rsidR="002D0F50" w:rsidRPr="00BA1CD0" w:rsidRDefault="002D0F50" w:rsidP="002D0F50">
      <w:pPr>
        <w:jc w:val="center"/>
      </w:pPr>
      <w:r w:rsidRPr="00BA1CD0">
        <w:rPr>
          <w:b/>
          <w:bCs/>
          <w:lang w:val="en-US"/>
        </w:rPr>
        <w:t>CLAUSE 34</w:t>
      </w:r>
    </w:p>
    <w:p w14:paraId="05E148D1" w14:textId="77777777" w:rsidR="003B1993" w:rsidRPr="003B1993" w:rsidRDefault="003B1993" w:rsidP="003B1993">
      <w:pPr>
        <w:rPr>
          <w:rFonts w:eastAsia="Arial"/>
          <w:lang w:eastAsia="en-ZA"/>
        </w:rPr>
      </w:pPr>
      <w:r w:rsidRPr="003B1993">
        <w:rPr>
          <w:rFonts w:eastAsia="Arial"/>
          <w:lang w:eastAsia="en-ZA"/>
        </w:rPr>
        <w:t>Income Tax Act: Amendment of paragraph 5 of the Eighth Schedule to the Act</w:t>
      </w:r>
    </w:p>
    <w:p w14:paraId="2EB32396" w14:textId="03CFCCDA" w:rsidR="003B1993" w:rsidRPr="003B1993" w:rsidRDefault="61395448" w:rsidP="4DA829A6">
      <w:pPr>
        <w:keepNext/>
        <w:rPr>
          <w:rFonts w:cs="Arial"/>
          <w:lang w:val="en-US"/>
        </w:rPr>
      </w:pPr>
      <w:r w:rsidRPr="5FEEF3AA">
        <w:rPr>
          <w:rFonts w:eastAsia="Arial"/>
          <w:lang w:val="en-US" w:eastAsia="en-ZA"/>
        </w:rPr>
        <w:t xml:space="preserve">The proposed amendment to the proviso to subparagraph (1) seeks to correct an anomaly when a natural person </w:t>
      </w:r>
      <w:r w:rsidR="708E1FBB" w:rsidRPr="5FEEF3AA">
        <w:rPr>
          <w:rFonts w:eastAsia="Arial"/>
          <w:lang w:val="en-US" w:eastAsia="en-ZA"/>
        </w:rPr>
        <w:t>or a</w:t>
      </w:r>
      <w:r w:rsidRPr="5FEEF3AA">
        <w:rPr>
          <w:rFonts w:eastAsia="Arial"/>
          <w:lang w:val="en-US" w:eastAsia="en-ZA"/>
        </w:rPr>
        <w:t xml:space="preserve"> special trust has two years of assessment in the single 12-month tax period.  </w:t>
      </w:r>
      <w:r w:rsidRPr="5FEEF3AA">
        <w:rPr>
          <w:rFonts w:cs="Arial"/>
          <w:lang w:val="en-US"/>
        </w:rPr>
        <w:t xml:space="preserve">The annual exclusion cuts both ways, that is, it applies to both gains and losses. In determining what is available in the second year of assessment regard should </w:t>
      </w:r>
      <w:proofErr w:type="spellStart"/>
      <w:r w:rsidRPr="5FEEF3AA">
        <w:rPr>
          <w:rFonts w:cs="Arial"/>
          <w:lang w:val="en-US"/>
        </w:rPr>
        <w:t>be</w:t>
      </w:r>
      <w:r w:rsidR="3134529F" w:rsidRPr="5FEEF3AA">
        <w:rPr>
          <w:rFonts w:cs="Arial"/>
          <w:lang w:val="en-US"/>
        </w:rPr>
        <w:t xml:space="preserve"> </w:t>
      </w:r>
      <w:r w:rsidRPr="5FEEF3AA">
        <w:rPr>
          <w:rFonts w:cs="Arial"/>
          <w:lang w:val="en-US"/>
        </w:rPr>
        <w:t>have</w:t>
      </w:r>
      <w:proofErr w:type="spellEnd"/>
      <w:r w:rsidRPr="5FEEF3AA">
        <w:rPr>
          <w:rFonts w:cs="Arial"/>
          <w:lang w:val="en-US"/>
        </w:rPr>
        <w:t xml:space="preserve"> to the exclusion as an absolute value. When there are gains in both the first and second years of assessment there is no problem. The same is true when there are losses in both. However, a difficulty is encountered when there is a loss in the first and a gain in the second year of assessment. As such, proposed amendments are made to better facilitate the interaction and aggregation of the sum of the annual exclusions for years of assessment ending during the period of 12 months commencing on 1 March and ending on the last day of February of the immediately following calendar year. </w:t>
      </w:r>
    </w:p>
    <w:p w14:paraId="41023C46" w14:textId="77777777" w:rsidR="002D0F50" w:rsidRPr="00BA1CD0" w:rsidRDefault="002D0F50" w:rsidP="002D0F50"/>
    <w:p w14:paraId="0DCF2AB1" w14:textId="77777777" w:rsidR="002D0F50" w:rsidRPr="00BA1CD0" w:rsidRDefault="002D0F50" w:rsidP="002D0F50">
      <w:pPr>
        <w:jc w:val="center"/>
      </w:pPr>
      <w:r w:rsidRPr="00BA1CD0">
        <w:rPr>
          <w:b/>
          <w:bCs/>
          <w:lang w:val="en-US"/>
        </w:rPr>
        <w:t>CLAUSE 35</w:t>
      </w:r>
    </w:p>
    <w:p w14:paraId="44C558C6" w14:textId="77777777" w:rsidR="003B1993" w:rsidRPr="003B1993" w:rsidRDefault="003B1993" w:rsidP="003B1993">
      <w:pPr>
        <w:rPr>
          <w:rFonts w:eastAsia="Arial"/>
          <w:lang w:eastAsia="en-ZA"/>
        </w:rPr>
      </w:pPr>
      <w:bookmarkStart w:id="388" w:name="_Hlk173408274"/>
      <w:r w:rsidRPr="003B1993">
        <w:rPr>
          <w:rFonts w:eastAsia="Arial"/>
          <w:lang w:eastAsia="en-ZA"/>
        </w:rPr>
        <w:t>Income Tax Act: Amendment of paragraph 64B of the Eighth Schedule to the Act</w:t>
      </w:r>
    </w:p>
    <w:p w14:paraId="61EB6C4F" w14:textId="6C414467" w:rsidR="003B1993" w:rsidRPr="003B1993" w:rsidRDefault="61395448" w:rsidP="003B1993">
      <w:pPr>
        <w:rPr>
          <w:rFonts w:eastAsia="Arial"/>
          <w:color w:val="FF0000"/>
          <w:lang w:eastAsia="en-ZA"/>
        </w:rPr>
      </w:pPr>
      <w:r w:rsidRPr="5FEEF3AA">
        <w:rPr>
          <w:rFonts w:eastAsia="Arial"/>
          <w:lang w:eastAsia="en-ZA"/>
        </w:rPr>
        <w:t xml:space="preserve">Subclause </w:t>
      </w:r>
      <w:r w:rsidR="00779490" w:rsidRPr="5FEEF3AA">
        <w:rPr>
          <w:rFonts w:eastAsia="Arial"/>
          <w:lang w:eastAsia="en-ZA"/>
        </w:rPr>
        <w:t>(1)</w:t>
      </w:r>
      <w:r w:rsidRPr="5FEEF3AA">
        <w:rPr>
          <w:rFonts w:eastAsia="Arial"/>
          <w:lang w:eastAsia="en-ZA"/>
        </w:rPr>
        <w:t>(</w:t>
      </w:r>
      <w:r w:rsidRPr="5FEEF3AA">
        <w:rPr>
          <w:rFonts w:eastAsia="Arial"/>
          <w:i/>
          <w:iCs/>
          <w:lang w:eastAsia="en-ZA"/>
        </w:rPr>
        <w:t>a</w:t>
      </w:r>
      <w:r w:rsidRPr="5FEEF3AA">
        <w:rPr>
          <w:rFonts w:eastAsia="Arial"/>
          <w:lang w:eastAsia="en-ZA"/>
        </w:rPr>
        <w:t xml:space="preserve">): </w:t>
      </w:r>
      <w:r w:rsidRPr="5FEEF3AA">
        <w:rPr>
          <w:lang w:eastAsia="en-ZA"/>
        </w:rPr>
        <w:t xml:space="preserve">The proposed amendment </w:t>
      </w:r>
      <w:r w:rsidR="4FA5FD3F" w:rsidRPr="5FEEF3AA">
        <w:rPr>
          <w:lang w:eastAsia="en-ZA"/>
        </w:rPr>
        <w:t>rewords subparagraph (1</w:t>
      </w:r>
      <w:r w:rsidR="4FA5FD3F" w:rsidRPr="00D259EF">
        <w:rPr>
          <w:lang w:eastAsia="en-ZA"/>
        </w:rPr>
        <w:t>)</w:t>
      </w:r>
      <w:r w:rsidR="4FA5FD3F" w:rsidRPr="5FEEF3AA">
        <w:rPr>
          <w:i/>
          <w:iCs/>
          <w:lang w:eastAsia="en-ZA"/>
        </w:rPr>
        <w:t>(b)</w:t>
      </w:r>
      <w:r w:rsidR="4FA5FD3F" w:rsidRPr="00D259EF">
        <w:rPr>
          <w:lang w:eastAsia="en-ZA"/>
        </w:rPr>
        <w:t>(iii)</w:t>
      </w:r>
      <w:r w:rsidR="4FA5FD3F" w:rsidRPr="5FEEF3AA">
        <w:rPr>
          <w:lang w:eastAsia="en-ZA"/>
        </w:rPr>
        <w:t xml:space="preserve"> </w:t>
      </w:r>
      <w:r w:rsidR="2AFCBA5F" w:rsidRPr="5FEEF3AA">
        <w:rPr>
          <w:lang w:eastAsia="en-ZA"/>
        </w:rPr>
        <w:t>to clarify the circumstances in which it applies</w:t>
      </w:r>
      <w:r w:rsidRPr="5FEEF3AA">
        <w:rPr>
          <w:lang w:eastAsia="en-ZA"/>
        </w:rPr>
        <w:t>.</w:t>
      </w:r>
    </w:p>
    <w:p w14:paraId="1FA6FE60" w14:textId="16A1E54E" w:rsidR="003B1993" w:rsidRDefault="61395448" w:rsidP="003B1993">
      <w:pPr>
        <w:rPr>
          <w:rFonts w:eastAsia="Arial"/>
          <w:b/>
          <w:bCs/>
          <w:lang w:eastAsia="en-ZA"/>
        </w:rPr>
      </w:pPr>
      <w:r w:rsidRPr="5FEEF3AA">
        <w:rPr>
          <w:rFonts w:eastAsia="Arial"/>
          <w:lang w:eastAsia="en-ZA"/>
        </w:rPr>
        <w:t xml:space="preserve">Subclause </w:t>
      </w:r>
      <w:r w:rsidR="4F3D985C" w:rsidRPr="5FEEF3AA">
        <w:rPr>
          <w:rFonts w:eastAsia="Arial"/>
          <w:lang w:eastAsia="en-ZA"/>
        </w:rPr>
        <w:t>(1)</w:t>
      </w:r>
      <w:r w:rsidRPr="5FEEF3AA">
        <w:rPr>
          <w:rFonts w:eastAsia="Arial"/>
          <w:lang w:eastAsia="en-ZA"/>
        </w:rPr>
        <w:t>(</w:t>
      </w:r>
      <w:r w:rsidRPr="5FEEF3AA">
        <w:rPr>
          <w:rFonts w:eastAsia="Arial"/>
          <w:i/>
          <w:iCs/>
          <w:lang w:eastAsia="en-ZA"/>
        </w:rPr>
        <w:t>b</w:t>
      </w:r>
      <w:r w:rsidRPr="5FEEF3AA">
        <w:rPr>
          <w:rFonts w:eastAsia="Arial"/>
          <w:lang w:eastAsia="en-ZA"/>
        </w:rPr>
        <w:t xml:space="preserve">): </w:t>
      </w:r>
      <w:r w:rsidRPr="5FEEF3AA">
        <w:rPr>
          <w:lang w:eastAsia="en-ZA"/>
        </w:rPr>
        <w:t xml:space="preserve">See notes on </w:t>
      </w:r>
      <w:r w:rsidRPr="5FEEF3AA">
        <w:rPr>
          <w:rFonts w:cs="Arial"/>
          <w:b/>
          <w:bCs/>
          <w:sz w:val="24"/>
        </w:rPr>
        <w:t>CLARIFYING THE 18-MONTH PERIOD IN RELATION TO SHAREHOLDING BY GROUP ENTITIES</w:t>
      </w:r>
      <w:r w:rsidRPr="5FEEF3AA">
        <w:rPr>
          <w:rFonts w:eastAsia="Arial"/>
          <w:b/>
          <w:bCs/>
          <w:lang w:eastAsia="en-ZA"/>
        </w:rPr>
        <w:t xml:space="preserve"> </w:t>
      </w:r>
    </w:p>
    <w:p w14:paraId="7B639398" w14:textId="77777777" w:rsidR="000B5D07" w:rsidRPr="003B1993" w:rsidRDefault="000B5D07" w:rsidP="003B1993">
      <w:pPr>
        <w:rPr>
          <w:rFonts w:eastAsia="Arial"/>
          <w:b/>
          <w:bCs/>
          <w:lang w:eastAsia="en-ZA"/>
        </w:rPr>
      </w:pPr>
    </w:p>
    <w:bookmarkEnd w:id="388"/>
    <w:p w14:paraId="0328D807" w14:textId="77777777" w:rsidR="002D0F50" w:rsidRPr="00BA1CD0" w:rsidRDefault="002D0F50" w:rsidP="002D0F50">
      <w:pPr>
        <w:jc w:val="center"/>
      </w:pPr>
      <w:r w:rsidRPr="00BA1CD0">
        <w:rPr>
          <w:b/>
          <w:bCs/>
          <w:lang w:val="en-US"/>
        </w:rPr>
        <w:t>CLAUSE 36</w:t>
      </w:r>
    </w:p>
    <w:p w14:paraId="0C475D10" w14:textId="77777777" w:rsidR="003B1993" w:rsidRPr="003B1993" w:rsidRDefault="003B1993" w:rsidP="003B1993">
      <w:pPr>
        <w:rPr>
          <w:rFonts w:eastAsia="Arial"/>
        </w:rPr>
      </w:pPr>
      <w:r w:rsidRPr="003B1993">
        <w:rPr>
          <w:rFonts w:eastAsia="Arial"/>
        </w:rPr>
        <w:t>Income Tax Act: Amendment of paragraph 80 of the Eighth Schedule to the Act</w:t>
      </w:r>
    </w:p>
    <w:p w14:paraId="28C9F792" w14:textId="3A1FEB40" w:rsidR="003B1993" w:rsidRPr="003B1993" w:rsidRDefault="61395448" w:rsidP="003B1993">
      <w:pPr>
        <w:rPr>
          <w:rFonts w:eastAsia="Arial"/>
        </w:rPr>
      </w:pPr>
      <w:r w:rsidRPr="5FEEF3AA">
        <w:rPr>
          <w:rFonts w:eastAsia="Arial"/>
        </w:rPr>
        <w:t>The proposed amendments are consequential upon the substitution of paragraph 80(2) and the insertion of paragraph 80(2A) into the Act by the Taxation Laws Amendment Act of 2020.</w:t>
      </w:r>
    </w:p>
    <w:p w14:paraId="3994F047" w14:textId="77777777" w:rsidR="002D0F50" w:rsidRPr="00BA1CD0" w:rsidRDefault="002D0F50" w:rsidP="002D0F50"/>
    <w:p w14:paraId="21D2B4C1" w14:textId="77777777" w:rsidR="002D0F50" w:rsidRPr="00BA1CD0" w:rsidRDefault="002D0F50" w:rsidP="002D0F50">
      <w:pPr>
        <w:jc w:val="center"/>
      </w:pPr>
      <w:r w:rsidRPr="00BA1CD0">
        <w:rPr>
          <w:b/>
          <w:bCs/>
          <w:lang w:val="en-US"/>
        </w:rPr>
        <w:t>CLAUSE 37</w:t>
      </w:r>
    </w:p>
    <w:p w14:paraId="4E743CFC" w14:textId="77777777" w:rsidR="003B1993" w:rsidRPr="003B1993" w:rsidRDefault="003B1993" w:rsidP="003B1993">
      <w:pPr>
        <w:rPr>
          <w:rFonts w:eastAsia="Arial"/>
          <w:lang w:eastAsia="en-ZA"/>
        </w:rPr>
      </w:pPr>
      <w:r w:rsidRPr="003B1993">
        <w:rPr>
          <w:rFonts w:eastAsia="Arial"/>
          <w:lang w:eastAsia="en-ZA"/>
        </w:rPr>
        <w:t xml:space="preserve">Income Tax Act: </w:t>
      </w:r>
      <w:bookmarkStart w:id="389" w:name="_Hlk172720916"/>
      <w:r w:rsidRPr="003B1993">
        <w:rPr>
          <w:rFonts w:eastAsia="Arial"/>
          <w:lang w:eastAsia="en-ZA"/>
        </w:rPr>
        <w:t>Amendment of paragraph 4 of Part I of the Ninth Schedule to the Act</w:t>
      </w:r>
      <w:bookmarkEnd w:id="389"/>
    </w:p>
    <w:p w14:paraId="5C546364" w14:textId="5ABFB359" w:rsidR="003B1993" w:rsidRDefault="61395448" w:rsidP="5FEEF3AA">
      <w:pPr>
        <w:rPr>
          <w:rFonts w:eastAsia="Arial"/>
          <w:lang w:eastAsia="en-ZA"/>
        </w:rPr>
      </w:pPr>
      <w:r w:rsidRPr="5FEEF3AA">
        <w:rPr>
          <w:rFonts w:eastAsia="Arial"/>
          <w:lang w:eastAsia="en-ZA"/>
        </w:rPr>
        <w:t>The proposed amendment to paragraph 4(</w:t>
      </w:r>
      <w:r w:rsidRPr="5FEEF3AA">
        <w:rPr>
          <w:rFonts w:eastAsia="Arial"/>
          <w:i/>
          <w:iCs/>
          <w:lang w:eastAsia="en-ZA"/>
        </w:rPr>
        <w:t>c</w:t>
      </w:r>
      <w:r w:rsidRPr="5FEEF3AA">
        <w:rPr>
          <w:rFonts w:eastAsia="Arial"/>
          <w:lang w:eastAsia="en-ZA"/>
        </w:rPr>
        <w:t>) substitutes a now obsolete reference to “Adult education and training”</w:t>
      </w:r>
      <w:r w:rsidR="747DB830" w:rsidRPr="5FEEF3AA">
        <w:rPr>
          <w:rFonts w:eastAsia="Arial"/>
          <w:lang w:eastAsia="en-ZA"/>
        </w:rPr>
        <w:t>,</w:t>
      </w:r>
      <w:r w:rsidRPr="5FEEF3AA">
        <w:rPr>
          <w:rFonts w:eastAsia="Arial"/>
          <w:lang w:eastAsia="en-ZA"/>
        </w:rPr>
        <w:t xml:space="preserve"> which was defined in the now repealed Adult Education and Training Act, 2000, (Act No. 52 of 2000) with a reference to section 29(1)</w:t>
      </w:r>
      <w:r w:rsidRPr="00D259EF">
        <w:rPr>
          <w:rFonts w:eastAsia="Arial"/>
          <w:i/>
          <w:iCs/>
          <w:lang w:eastAsia="en-ZA"/>
        </w:rPr>
        <w:t>(</w:t>
      </w:r>
      <w:r w:rsidRPr="5FEEF3AA">
        <w:rPr>
          <w:rFonts w:eastAsia="Arial"/>
          <w:i/>
          <w:iCs/>
          <w:lang w:eastAsia="en-ZA"/>
        </w:rPr>
        <w:t>a</w:t>
      </w:r>
      <w:r w:rsidRPr="00D259EF">
        <w:rPr>
          <w:rFonts w:eastAsia="Arial"/>
          <w:i/>
          <w:iCs/>
          <w:lang w:eastAsia="en-ZA"/>
        </w:rPr>
        <w:t>)</w:t>
      </w:r>
      <w:r w:rsidRPr="5FEEF3AA">
        <w:rPr>
          <w:rFonts w:eastAsia="Arial"/>
          <w:lang w:eastAsia="en-ZA"/>
        </w:rPr>
        <w:t xml:space="preserve"> of the Constitution. </w:t>
      </w:r>
    </w:p>
    <w:p w14:paraId="11213447" w14:textId="77777777" w:rsidR="003B1993" w:rsidRPr="003B1993" w:rsidRDefault="003B1993" w:rsidP="003B1993">
      <w:pPr>
        <w:rPr>
          <w:rFonts w:eastAsia="Arial"/>
          <w:lang w:eastAsia="en-ZA"/>
        </w:rPr>
      </w:pPr>
    </w:p>
    <w:p w14:paraId="04C8F308" w14:textId="77777777" w:rsidR="002D0F50" w:rsidRPr="00BA1CD0" w:rsidRDefault="002D0F50" w:rsidP="002D0F50">
      <w:pPr>
        <w:jc w:val="center"/>
      </w:pPr>
      <w:bookmarkStart w:id="390" w:name="_Hlk173408550"/>
      <w:r w:rsidRPr="00BA1CD0">
        <w:rPr>
          <w:b/>
          <w:bCs/>
          <w:lang w:val="en-US"/>
        </w:rPr>
        <w:t>CLAUSE 38</w:t>
      </w:r>
    </w:p>
    <w:p w14:paraId="519BBDC2" w14:textId="77777777" w:rsidR="003B1993" w:rsidRPr="003B1993" w:rsidRDefault="003B1993" w:rsidP="003B1993">
      <w:pPr>
        <w:spacing w:line="257" w:lineRule="auto"/>
        <w:jc w:val="left"/>
        <w:rPr>
          <w:rFonts w:eastAsia="Arial"/>
        </w:rPr>
      </w:pPr>
      <w:r w:rsidRPr="003B1993">
        <w:rPr>
          <w:rFonts w:eastAsia="Arial"/>
        </w:rPr>
        <w:t>Income Tax Act: Amendment of paragraph 3 of Part II of the Ninth Schedule to the Act</w:t>
      </w:r>
    </w:p>
    <w:p w14:paraId="5ECB9B15" w14:textId="6A03EDB4" w:rsidR="003B1993" w:rsidRPr="003B1993" w:rsidRDefault="61395448" w:rsidP="001A6DA7">
      <w:pPr>
        <w:rPr>
          <w:rFonts w:eastAsia="Arial"/>
          <w:lang w:eastAsia="en-ZA"/>
        </w:rPr>
      </w:pPr>
      <w:r w:rsidRPr="5FEEF3AA">
        <w:rPr>
          <w:rFonts w:eastAsia="Arial"/>
          <w:lang w:eastAsia="en-ZA"/>
        </w:rPr>
        <w:t xml:space="preserve">The proposed amendment to paragraph 3(c) substitutes a now obsolete reference to </w:t>
      </w:r>
      <w:r w:rsidR="0522B52D" w:rsidRPr="5FEEF3AA">
        <w:rPr>
          <w:rFonts w:eastAsia="Arial"/>
          <w:lang w:eastAsia="en-ZA"/>
        </w:rPr>
        <w:t xml:space="preserve"> “</w:t>
      </w:r>
      <w:r w:rsidRPr="5FEEF3AA">
        <w:rPr>
          <w:rFonts w:eastAsia="Arial"/>
          <w:lang w:eastAsia="en-ZA"/>
        </w:rPr>
        <w:t>Adult education and training” which was defined in the now repealed Adult Education and Training Act, 2000, (Act No. 52 of 2000) with a reference to section 29(1)</w:t>
      </w:r>
      <w:r w:rsidRPr="00D259EF">
        <w:rPr>
          <w:rFonts w:eastAsia="Arial"/>
          <w:i/>
          <w:iCs/>
          <w:lang w:eastAsia="en-ZA"/>
        </w:rPr>
        <w:t>(</w:t>
      </w:r>
      <w:r w:rsidR="0C7BACB9" w:rsidRPr="00D259EF">
        <w:rPr>
          <w:rFonts w:eastAsia="Arial"/>
          <w:i/>
          <w:iCs/>
          <w:lang w:eastAsia="en-ZA"/>
        </w:rPr>
        <w:t>a</w:t>
      </w:r>
      <w:r w:rsidRPr="00D259EF">
        <w:rPr>
          <w:rFonts w:eastAsia="Arial"/>
          <w:i/>
          <w:iCs/>
          <w:lang w:eastAsia="en-ZA"/>
        </w:rPr>
        <w:t>)</w:t>
      </w:r>
      <w:r w:rsidRPr="5FEEF3AA">
        <w:rPr>
          <w:rFonts w:eastAsia="Arial"/>
          <w:lang w:eastAsia="en-ZA"/>
        </w:rPr>
        <w:t xml:space="preserve"> of the Constitution.</w:t>
      </w:r>
    </w:p>
    <w:bookmarkEnd w:id="390"/>
    <w:p w14:paraId="2056EBBE" w14:textId="77777777" w:rsidR="002D0F50" w:rsidRPr="00BA1CD0" w:rsidRDefault="002D0F50" w:rsidP="002D0F50">
      <w:pPr>
        <w:spacing w:line="257" w:lineRule="auto"/>
        <w:jc w:val="left"/>
      </w:pPr>
    </w:p>
    <w:p w14:paraId="419E9564" w14:textId="77777777" w:rsidR="002D0F50" w:rsidRPr="00BA1CD0" w:rsidRDefault="002D0F50" w:rsidP="002D0F50">
      <w:pPr>
        <w:jc w:val="center"/>
      </w:pPr>
      <w:r w:rsidRPr="00BA1CD0">
        <w:rPr>
          <w:b/>
          <w:bCs/>
          <w:lang w:val="en-US"/>
        </w:rPr>
        <w:t>CLAUSE 39</w:t>
      </w:r>
    </w:p>
    <w:p w14:paraId="40BA749B" w14:textId="77777777" w:rsidR="003B1993" w:rsidRPr="003B1993" w:rsidRDefault="003B1993" w:rsidP="003B1993">
      <w:pPr>
        <w:rPr>
          <w:rFonts w:eastAsia="Arial"/>
          <w:lang w:eastAsia="en-ZA"/>
        </w:rPr>
      </w:pPr>
      <w:r w:rsidRPr="003B1993">
        <w:rPr>
          <w:rFonts w:eastAsia="Arial"/>
          <w:lang w:eastAsia="en-ZA"/>
        </w:rPr>
        <w:t>Income Tax Act: Amendment of item 11 of the Eleventh Schedule to the Act</w:t>
      </w:r>
    </w:p>
    <w:p w14:paraId="1F96040C" w14:textId="3770CD6C" w:rsidR="002D0F50" w:rsidRDefault="61395448" w:rsidP="4DA829A6">
      <w:pPr>
        <w:rPr>
          <w:b/>
          <w:bCs/>
        </w:rPr>
      </w:pPr>
      <w:r>
        <w:t xml:space="preserve">The amendment seeks to update the government grant schedule in the Eleventh Schedule in line with the government grants </w:t>
      </w:r>
      <w:r w:rsidR="28FAB421">
        <w:t>payable</w:t>
      </w:r>
      <w:r>
        <w:t xml:space="preserve"> by </w:t>
      </w:r>
      <w:r w:rsidR="4D7F7989">
        <w:t xml:space="preserve">the </w:t>
      </w:r>
      <w:r>
        <w:t>government.</w:t>
      </w:r>
      <w:r w:rsidR="5A208F90" w:rsidRPr="5FEEF3AA">
        <w:rPr>
          <w:b/>
          <w:bCs/>
        </w:rPr>
        <w:t xml:space="preserve">  </w:t>
      </w:r>
    </w:p>
    <w:p w14:paraId="419B539E" w14:textId="77777777" w:rsidR="000B5D07" w:rsidRPr="003B1993" w:rsidRDefault="000B5D07" w:rsidP="003B1993">
      <w:pPr>
        <w:rPr>
          <w:b/>
          <w:bCs/>
          <w:lang w:eastAsia="en-ZA"/>
        </w:rPr>
      </w:pPr>
    </w:p>
    <w:p w14:paraId="59260C56" w14:textId="77777777" w:rsidR="002D0F50" w:rsidRPr="00BA1CD0" w:rsidRDefault="002D0F50" w:rsidP="002D0F50">
      <w:pPr>
        <w:jc w:val="center"/>
        <w:rPr>
          <w:b/>
          <w:lang w:val="en-US"/>
        </w:rPr>
      </w:pPr>
      <w:r w:rsidRPr="00BA1CD0">
        <w:rPr>
          <w:b/>
          <w:bCs/>
          <w:lang w:val="en-US"/>
        </w:rPr>
        <w:t>CLAUSE 40</w:t>
      </w:r>
    </w:p>
    <w:p w14:paraId="5D42B32E" w14:textId="77777777" w:rsidR="003B1993" w:rsidRPr="003B1993" w:rsidRDefault="003B1993" w:rsidP="003B1993">
      <w:pPr>
        <w:autoSpaceDE w:val="0"/>
        <w:autoSpaceDN w:val="0"/>
        <w:adjustRightInd w:val="0"/>
        <w:spacing w:after="0"/>
        <w:jc w:val="left"/>
        <w:rPr>
          <w:rFonts w:eastAsia="Calibri" w:cs="Arial"/>
          <w:color w:val="000000"/>
          <w:szCs w:val="22"/>
        </w:rPr>
      </w:pPr>
      <w:bookmarkStart w:id="391" w:name="_Hlk173341717"/>
      <w:r w:rsidRPr="003B1993">
        <w:rPr>
          <w:rFonts w:eastAsia="Calibri" w:cs="Arial"/>
          <w:color w:val="000000"/>
          <w:szCs w:val="22"/>
        </w:rPr>
        <w:t xml:space="preserve">Customs and Excise Act </w:t>
      </w:r>
      <w:bookmarkEnd w:id="391"/>
      <w:r w:rsidRPr="003B1993">
        <w:rPr>
          <w:rFonts w:eastAsia="Calibri" w:cs="Arial"/>
          <w:color w:val="000000"/>
          <w:szCs w:val="22"/>
        </w:rPr>
        <w:t xml:space="preserve">&amp; Value-Added Tax Act: Continuation of certain amendments of Schedules </w:t>
      </w:r>
    </w:p>
    <w:p w14:paraId="62E0DAD4" w14:textId="77777777" w:rsidR="003B1993" w:rsidRPr="003B1993" w:rsidRDefault="003B1993" w:rsidP="003B1993">
      <w:pPr>
        <w:autoSpaceDE w:val="0"/>
        <w:autoSpaceDN w:val="0"/>
        <w:adjustRightInd w:val="0"/>
        <w:spacing w:after="0"/>
        <w:jc w:val="left"/>
        <w:rPr>
          <w:rFonts w:eastAsia="Calibri" w:cs="Arial"/>
          <w:color w:val="000000"/>
          <w:szCs w:val="22"/>
          <w:highlight w:val="yellow"/>
        </w:rPr>
      </w:pPr>
    </w:p>
    <w:p w14:paraId="6737DF2A" w14:textId="06DE98F0" w:rsidR="003B1993" w:rsidRPr="003B1993" w:rsidRDefault="61395448" w:rsidP="003B1993">
      <w:r>
        <w:t>The proposed clause makes provision for the continuation of certain amendments to the Schedules to the Customs and Excise Act and the V</w:t>
      </w:r>
      <w:r w:rsidR="2CC29DF1">
        <w:t>AT</w:t>
      </w:r>
      <w:r>
        <w:t xml:space="preserve"> Act, effected by notice</w:t>
      </w:r>
      <w:r w:rsidR="16BE08FA">
        <w:t>s</w:t>
      </w:r>
      <w:r>
        <w:t xml:space="preserve"> in the government </w:t>
      </w:r>
      <w:r w:rsidRPr="00D259EF">
        <w:rPr>
          <w:i/>
          <w:iCs/>
        </w:rPr>
        <w:t>Gazette</w:t>
      </w:r>
      <w:r>
        <w:t xml:space="preserve"> during the period 1 October 2023 up to and including 31 October 2024.</w:t>
      </w:r>
    </w:p>
    <w:p w14:paraId="50A350AD" w14:textId="01B3346A" w:rsidR="002D0F50" w:rsidRPr="001858FC" w:rsidRDefault="002D0F50" w:rsidP="001858FC">
      <w:pPr>
        <w:jc w:val="center"/>
        <w:rPr>
          <w:b/>
          <w:bCs/>
          <w:szCs w:val="22"/>
          <w:lang w:val="en-US"/>
        </w:rPr>
      </w:pPr>
      <w:r w:rsidRPr="00BA1CD0">
        <w:rPr>
          <w:b/>
          <w:bCs/>
          <w:szCs w:val="22"/>
          <w:lang w:val="en-US"/>
        </w:rPr>
        <w:t xml:space="preserve"> </w:t>
      </w:r>
    </w:p>
    <w:p w14:paraId="245AEA65" w14:textId="77777777" w:rsidR="002D0F50" w:rsidRPr="00BA1CD0" w:rsidRDefault="002D0F50" w:rsidP="002D0F50">
      <w:pPr>
        <w:jc w:val="center"/>
        <w:rPr>
          <w:b/>
          <w:lang w:val="en-US"/>
        </w:rPr>
      </w:pPr>
      <w:r w:rsidRPr="00BA1CD0">
        <w:rPr>
          <w:b/>
          <w:bCs/>
          <w:lang w:val="en-US"/>
        </w:rPr>
        <w:t>CLAUSE 41</w:t>
      </w:r>
    </w:p>
    <w:p w14:paraId="1CDEFAA1" w14:textId="77777777" w:rsidR="001858FC" w:rsidRPr="001858FC" w:rsidRDefault="001858FC" w:rsidP="001858FC">
      <w:pPr>
        <w:rPr>
          <w:rFonts w:eastAsia="Arial"/>
        </w:rPr>
      </w:pPr>
      <w:r w:rsidRPr="001858FC">
        <w:rPr>
          <w:rFonts w:eastAsia="Arial"/>
        </w:rPr>
        <w:t>Customs and Excise Act: Amendment to Schedule 1</w:t>
      </w:r>
    </w:p>
    <w:p w14:paraId="3141C0DD" w14:textId="0B6C1AC8" w:rsidR="001858FC" w:rsidRPr="001858FC" w:rsidRDefault="001858FC" w:rsidP="4DA829A6">
      <w:pPr>
        <w:rPr>
          <w:rFonts w:eastAsia="Arial"/>
        </w:rPr>
      </w:pPr>
      <w:r w:rsidRPr="4DA829A6">
        <w:rPr>
          <w:rFonts w:eastAsia="Arial"/>
        </w:rPr>
        <w:t>South Africa is a member of the World Customs Organisation (WCO) and a signatory to the Harmonised System Convention (HS) issued by the WCO. The HS is a multipurpose goods nomenclature used as the basis for customs tariffs and for the compilation of trade statistics all over the world. With the implementation of changes in terms of the HS recommended by the WCO for 2002 (HS2002), a new 6-digit tariff structure as well as a new subheading note were introduced to define “light oils and preparations” for the purposes of subheading 2710.11 (now 2710.12). When this change was made on a national level in South Africa, all the national subheadings under 27.10 were transposed to 2710.11 as light oils and preparations, irrespective of whether the oils and preparations complied with new HS subheading Note 4, which specifies a threshold for distillation. These provisions have been applied according to their obvious intent for many years. More recently, however, a technical interpretation has been advanced by some industry members that would give rise to a glaring absurdity and pose a substantial threat to the fiscus if accepted.  </w:t>
      </w:r>
    </w:p>
    <w:p w14:paraId="4290B7F9" w14:textId="62E60C26" w:rsidR="001858FC" w:rsidRPr="001858FC" w:rsidRDefault="58A58716" w:rsidP="001858FC">
      <w:pPr>
        <w:rPr>
          <w:rFonts w:eastAsia="Arial"/>
        </w:rPr>
      </w:pPr>
      <w:r w:rsidRPr="5FEEF3AA">
        <w:rPr>
          <w:rFonts w:eastAsia="Arial"/>
        </w:rPr>
        <w:t>It is, therefore, proposed that the bulk of products that were transposed in 2002 to 2710.11 as light oils and preparations also be transposed to subheading 2710.19 as they may have a distillation point above the threshold provided for in Note 4 applicable to 2710.11 (now 2710.12). It is further proposed that the transposition be done retrospectively from 1 January 2002, being the date the threshold for distillation was introduced at an international level.</w:t>
      </w:r>
      <w:r w:rsidR="292828A4" w:rsidRPr="5FEEF3AA">
        <w:rPr>
          <w:rFonts w:eastAsia="Arial"/>
        </w:rPr>
        <w:t xml:space="preserve"> </w:t>
      </w:r>
    </w:p>
    <w:p w14:paraId="1A23525E" w14:textId="77777777" w:rsidR="002D0F50" w:rsidRDefault="002D0F50" w:rsidP="002D0F50">
      <w:pPr>
        <w:rPr>
          <w:b/>
          <w:bCs/>
          <w:lang w:val="en-US"/>
        </w:rPr>
      </w:pPr>
    </w:p>
    <w:p w14:paraId="581BA66E" w14:textId="77777777" w:rsidR="002D0F50" w:rsidRPr="00482C50" w:rsidRDefault="002D0F50" w:rsidP="002D0F50">
      <w:pPr>
        <w:jc w:val="center"/>
        <w:rPr>
          <w:b/>
          <w:bCs/>
          <w:lang w:val="en-US"/>
        </w:rPr>
      </w:pPr>
      <w:r w:rsidRPr="00482C50">
        <w:rPr>
          <w:b/>
          <w:bCs/>
          <w:lang w:val="en-US"/>
        </w:rPr>
        <w:t>CLAUSE 42</w:t>
      </w:r>
    </w:p>
    <w:p w14:paraId="6665CAC7" w14:textId="77777777" w:rsidR="001858FC" w:rsidRPr="001858FC" w:rsidRDefault="001858FC" w:rsidP="001858FC">
      <w:pPr>
        <w:rPr>
          <w:rFonts w:eastAsia="Arial"/>
        </w:rPr>
      </w:pPr>
      <w:r w:rsidRPr="001858FC">
        <w:rPr>
          <w:rFonts w:eastAsia="Arial"/>
        </w:rPr>
        <w:t>Customs and Excise Act: Amendment to Schedule 4</w:t>
      </w:r>
    </w:p>
    <w:p w14:paraId="6A213278" w14:textId="77777777" w:rsidR="001858FC" w:rsidRPr="001858FC" w:rsidRDefault="001858FC" w:rsidP="4DA829A6">
      <w:pPr>
        <w:rPr>
          <w:rFonts w:eastAsia="Arial"/>
        </w:rPr>
      </w:pPr>
      <w:r w:rsidRPr="4DA829A6">
        <w:rPr>
          <w:rFonts w:eastAsia="Arial"/>
        </w:rPr>
        <w:t>South Africa is a member of the World Customs Organisation (WCO) and a signatory to the Harmonised System Convention (HS) issued by the WCO. The HS is a multipurpose goods nomenclature used as the basis for customs tariffs and for the compilation of trade statistics all over the world. With the implementation of changes in terms of the HS recommended by the WCO for 2002 (HS2002), a new 6-digit tariff structure as well as a new subheading note were introduced to define “light oils and preparations” for the purposes of subheading 2710.11 (now 2710.12). When this change was made on a national level in South Africa, all the national subheadings under 27.10 were transposed to 2710.11 as light oils and preparations, irrespective of whether the oils and preparations complied with new HS subheading Note 4, which specifies a threshold for distillation. These provisions have been applied according to their obvious intent for many years. More recently, however, a technical interpretation has been advanced by some industry members that would give rise to a glaring absurdity and pose a substantial threat to the fiscus if accepted.  </w:t>
      </w:r>
    </w:p>
    <w:p w14:paraId="169A214E" w14:textId="77777777" w:rsidR="001858FC" w:rsidRPr="001858FC" w:rsidRDefault="001858FC" w:rsidP="001858FC">
      <w:pPr>
        <w:rPr>
          <w:rFonts w:eastAsia="Arial"/>
        </w:rPr>
      </w:pPr>
      <w:r w:rsidRPr="001858FC">
        <w:rPr>
          <w:rFonts w:eastAsia="Arial"/>
        </w:rPr>
        <w:t>It is, therefore, proposed that the bulk of products that were transposed in 2002 to 2710.11 as light oils and preparations also be transposed to subheading 2710.19 as they may have a distillation point above the threshold provided for in Note 4 applicable to 2710.11 (now 2710.12). It is further proposed that the transposition be done retrospectively from 1 January 2002, being the date the threshold for distillation was introduced at an international level.</w:t>
      </w:r>
    </w:p>
    <w:p w14:paraId="02BEC0A0" w14:textId="77777777" w:rsidR="002D0F50" w:rsidRDefault="002D0F50" w:rsidP="002D0F50">
      <w:pPr>
        <w:rPr>
          <w:b/>
          <w:bCs/>
          <w:lang w:val="en-US"/>
        </w:rPr>
      </w:pPr>
    </w:p>
    <w:p w14:paraId="35A36862" w14:textId="77777777" w:rsidR="009248A6" w:rsidRDefault="009248A6" w:rsidP="002D0F50">
      <w:pPr>
        <w:rPr>
          <w:b/>
          <w:bCs/>
          <w:lang w:val="en-US"/>
        </w:rPr>
      </w:pPr>
    </w:p>
    <w:p w14:paraId="60365400" w14:textId="77777777" w:rsidR="009248A6" w:rsidRPr="00085324" w:rsidRDefault="009248A6" w:rsidP="002D0F50">
      <w:pPr>
        <w:rPr>
          <w:b/>
          <w:bCs/>
          <w:lang w:val="en-US"/>
        </w:rPr>
      </w:pPr>
    </w:p>
    <w:p w14:paraId="6AF05DF0" w14:textId="77777777" w:rsidR="002D0F50" w:rsidRPr="00BA1CD0" w:rsidRDefault="002D0F50" w:rsidP="002D0F50">
      <w:pPr>
        <w:jc w:val="center"/>
      </w:pPr>
      <w:r w:rsidRPr="00BA1CD0">
        <w:rPr>
          <w:b/>
          <w:bCs/>
          <w:lang w:val="en-US"/>
        </w:rPr>
        <w:t>CLAUSE 4</w:t>
      </w:r>
      <w:r>
        <w:rPr>
          <w:b/>
          <w:bCs/>
          <w:lang w:val="en-US"/>
        </w:rPr>
        <w:t>3</w:t>
      </w:r>
    </w:p>
    <w:p w14:paraId="0633C8F5" w14:textId="77777777" w:rsidR="001858FC" w:rsidRPr="001858FC" w:rsidRDefault="001858FC" w:rsidP="001858FC">
      <w:pPr>
        <w:rPr>
          <w:szCs w:val="22"/>
        </w:rPr>
      </w:pPr>
      <w:r w:rsidRPr="001858FC">
        <w:rPr>
          <w:szCs w:val="22"/>
        </w:rPr>
        <w:t>Customs and Excise Act: Amendment to Schedule 5</w:t>
      </w:r>
    </w:p>
    <w:p w14:paraId="0BB122D1" w14:textId="77777777" w:rsidR="001858FC" w:rsidRPr="001858FC" w:rsidRDefault="001858FC" w:rsidP="001858FC">
      <w:r w:rsidRPr="4DA829A6">
        <w:t>South Africa is a member of the World Customs Organisation (WCO) and a signatory to the Harmonised System Convention (HS) issued by the WCO. The HS is a multipurpose goods nomenclature used as the basis for customs tariffs and for the compilation of trade statistics all over the world. With the implementation of changes in terms of the HS recommended by the WCO for 2002 (HS2002), a new 6-digit tariff structure as well as a new subheading note were introduced to define “light oils and preparations” for the purposes of subheading 2710.11 (now 2710.12). When this change was made on a national level in South Africa, all the national subheadings under 27.10 were transposed to 2710.11 as light oils and preparations, irrespective of whether the oils and preparations complied with new HS subheading Note 4, which specifies a threshold for distillation. These provisions have been applied according to their obvious intent for many years. More recently, however, a technical interpretation has been advanced by some industry members that would give rise to a glaring absurdity and pose a substantial threat to the fiscus if accepted.  </w:t>
      </w:r>
    </w:p>
    <w:p w14:paraId="25916E2A" w14:textId="77777777" w:rsidR="001858FC" w:rsidRPr="001858FC" w:rsidRDefault="001858FC" w:rsidP="001858FC">
      <w:pPr>
        <w:rPr>
          <w:szCs w:val="22"/>
        </w:rPr>
      </w:pPr>
      <w:r w:rsidRPr="001858FC">
        <w:rPr>
          <w:szCs w:val="22"/>
        </w:rPr>
        <w:t>It is, therefore, proposed that the bulk of products that were transposed in 2002 to 2710.11 as light oils and preparations also be transposed to subheading 2710.19 as they may have a distillation point above the threshold provided for in Note 4 applicable to 2710.11 (now 2710.12). It is further proposed that the transposition be done retrospectively from 1 January 2002, being the date the threshold for distillation was introduced at an international level.</w:t>
      </w:r>
    </w:p>
    <w:p w14:paraId="7017E7BC" w14:textId="53CAE3F6" w:rsidR="002D0F50" w:rsidRDefault="002D0F50" w:rsidP="001858FC">
      <w:pPr>
        <w:jc w:val="center"/>
      </w:pPr>
      <w:r w:rsidRPr="00BA1CD0">
        <w:rPr>
          <w:b/>
          <w:bCs/>
          <w:lang w:val="en-US"/>
        </w:rPr>
        <w:t xml:space="preserve"> </w:t>
      </w:r>
    </w:p>
    <w:p w14:paraId="51591AFB" w14:textId="5DAE38F3" w:rsidR="001858FC" w:rsidRPr="00BA1CD0" w:rsidRDefault="001858FC" w:rsidP="001858FC">
      <w:pPr>
        <w:jc w:val="center"/>
      </w:pPr>
      <w:r w:rsidRPr="00BA1CD0">
        <w:rPr>
          <w:b/>
          <w:bCs/>
          <w:lang w:val="en-US"/>
        </w:rPr>
        <w:t xml:space="preserve">CLAUSE </w:t>
      </w:r>
      <w:r>
        <w:rPr>
          <w:b/>
          <w:bCs/>
          <w:lang w:val="en-US"/>
        </w:rPr>
        <w:t>44</w:t>
      </w:r>
    </w:p>
    <w:p w14:paraId="3495D167" w14:textId="77777777" w:rsidR="001858FC" w:rsidRPr="001858FC" w:rsidRDefault="001858FC" w:rsidP="001858FC">
      <w:pPr>
        <w:rPr>
          <w:szCs w:val="22"/>
        </w:rPr>
      </w:pPr>
      <w:r w:rsidRPr="001858FC">
        <w:rPr>
          <w:szCs w:val="22"/>
        </w:rPr>
        <w:t>Customs and Excise Act: Amendment to Schedule 6</w:t>
      </w:r>
    </w:p>
    <w:p w14:paraId="728F2CF7" w14:textId="77777777" w:rsidR="001858FC" w:rsidRPr="001858FC" w:rsidRDefault="001858FC" w:rsidP="001858FC">
      <w:bookmarkStart w:id="392" w:name="_Hlk173345344"/>
      <w:r w:rsidRPr="4DA829A6">
        <w:t>South Africa is a member of the World Customs Organisation (WCO) and a signatory to the Harmonised System Convention (HS) issued by the WCO. The HS is a multipurpose goods nomenclature used as the basis for customs tariffs and for the compilation of trade statistics all over the world. With the implementation of changes in terms of the HS recommended by the WCO for 2002 (HS2002), a new 6-digit tariff structure as well as a new subheading note were introduced to define “light oils and preparations” for the purposes of subheading 2710.11 (now 2710.12). When this change was made on a national level in South Africa, all the national subheadings under 27.10 were transposed to 2710.11 as light oils and preparations, irrespective of whether the oils and preparations complied with new HS subheading Note 4, which specifies a threshold for distillation. These provisions have been applied according to their obvious intent for many years. More recently, however, a technical interpretation has been advanced by some industry members that would give rise to a glaring absurdity and pose a substantial threat to the fiscus if accepted.  </w:t>
      </w:r>
    </w:p>
    <w:p w14:paraId="79BCE3AE" w14:textId="77777777" w:rsidR="001858FC" w:rsidRPr="001858FC" w:rsidRDefault="001858FC" w:rsidP="001858FC">
      <w:pPr>
        <w:rPr>
          <w:szCs w:val="22"/>
          <w:highlight w:val="yellow"/>
        </w:rPr>
      </w:pPr>
      <w:r w:rsidRPr="001858FC">
        <w:rPr>
          <w:szCs w:val="22"/>
        </w:rPr>
        <w:t>It is, therefore, proposed that the bulk of products that were transposed in 2002 to 2710.11 as light oils and preparations also be transposed to subheading 2710.19 as they may have a distillation point above the threshold provided for in Note 4 applicable to 2710.11 (now 2710.12). It is further proposed that the transposition be done retrospectively from 1 January 2002, being the date the threshold for distillation was introduced at an international level.</w:t>
      </w:r>
      <w:bookmarkEnd w:id="392"/>
    </w:p>
    <w:p w14:paraId="12436A18" w14:textId="6C7C0E3A" w:rsidR="00725EA6" w:rsidRDefault="00725EA6" w:rsidP="005C0894">
      <w:pPr>
        <w:tabs>
          <w:tab w:val="center" w:pos="4760"/>
        </w:tabs>
        <w:spacing w:after="224"/>
        <w:jc w:val="left"/>
      </w:pPr>
    </w:p>
    <w:p w14:paraId="2E3D5ECA" w14:textId="77777777" w:rsidR="009248A6" w:rsidRDefault="009248A6" w:rsidP="005C0894">
      <w:pPr>
        <w:tabs>
          <w:tab w:val="center" w:pos="4760"/>
        </w:tabs>
        <w:spacing w:after="224"/>
        <w:jc w:val="left"/>
      </w:pPr>
    </w:p>
    <w:p w14:paraId="1DCEFA50" w14:textId="77777777" w:rsidR="009248A6" w:rsidRDefault="009248A6" w:rsidP="005C0894">
      <w:pPr>
        <w:tabs>
          <w:tab w:val="center" w:pos="4760"/>
        </w:tabs>
        <w:spacing w:after="224"/>
        <w:jc w:val="left"/>
      </w:pPr>
    </w:p>
    <w:p w14:paraId="1ADB54B8" w14:textId="2F98547C" w:rsidR="001858FC" w:rsidRPr="00BA1CD0" w:rsidRDefault="001858FC" w:rsidP="001858FC">
      <w:pPr>
        <w:jc w:val="center"/>
      </w:pPr>
      <w:r w:rsidRPr="00BA1CD0">
        <w:rPr>
          <w:b/>
          <w:bCs/>
          <w:lang w:val="en-US"/>
        </w:rPr>
        <w:t xml:space="preserve">CLAUSE </w:t>
      </w:r>
      <w:r>
        <w:rPr>
          <w:b/>
          <w:bCs/>
          <w:lang w:val="en-US"/>
        </w:rPr>
        <w:t>45</w:t>
      </w:r>
    </w:p>
    <w:p w14:paraId="0B5C1BEC" w14:textId="77777777" w:rsidR="001858FC" w:rsidRPr="001858FC" w:rsidRDefault="001858FC" w:rsidP="001858FC">
      <w:pPr>
        <w:tabs>
          <w:tab w:val="center" w:pos="4760"/>
        </w:tabs>
        <w:spacing w:after="224"/>
        <w:jc w:val="left"/>
        <w:rPr>
          <w:rFonts w:eastAsia="Arial"/>
        </w:rPr>
      </w:pPr>
      <w:r w:rsidRPr="001858FC">
        <w:rPr>
          <w:rFonts w:eastAsia="Arial"/>
        </w:rPr>
        <w:t xml:space="preserve">Value-Added Tax: Amendments to section 1(1)  </w:t>
      </w:r>
    </w:p>
    <w:p w14:paraId="213A902F" w14:textId="189578FF" w:rsidR="001858FC" w:rsidRDefault="001858FC" w:rsidP="005C0894">
      <w:pPr>
        <w:tabs>
          <w:tab w:val="center" w:pos="4760"/>
        </w:tabs>
        <w:spacing w:after="224"/>
        <w:jc w:val="left"/>
        <w:rPr>
          <w:rFonts w:eastAsia="Arial"/>
          <w:b/>
          <w:bCs/>
        </w:rPr>
      </w:pPr>
      <w:r w:rsidRPr="001858FC">
        <w:rPr>
          <w:rFonts w:eastAsia="Arial"/>
        </w:rPr>
        <w:t xml:space="preserve">See notes on </w:t>
      </w:r>
      <w:bookmarkStart w:id="393" w:name="_Hlk172640445"/>
      <w:r w:rsidRPr="001858FC">
        <w:rPr>
          <w:rFonts w:eastAsia="Arial"/>
          <w:b/>
          <w:bCs/>
        </w:rPr>
        <w:t xml:space="preserve">CLARIFYING THE VAT TREATMENT OF SUPPLY OF SERVICES TO NON-RESIDENT SUBSIDIARIES OF COMPANIES BASED IN THE REPUBLIC </w:t>
      </w:r>
      <w:bookmarkEnd w:id="393"/>
    </w:p>
    <w:p w14:paraId="5D80C96F" w14:textId="77777777" w:rsidR="009248A6" w:rsidRPr="00715CDF" w:rsidRDefault="009248A6" w:rsidP="005C0894">
      <w:pPr>
        <w:tabs>
          <w:tab w:val="center" w:pos="4760"/>
        </w:tabs>
        <w:spacing w:after="224"/>
        <w:jc w:val="left"/>
        <w:rPr>
          <w:rFonts w:eastAsia="Arial"/>
          <w:b/>
          <w:bCs/>
        </w:rPr>
      </w:pPr>
    </w:p>
    <w:p w14:paraId="0CB7798C" w14:textId="46F85289" w:rsidR="001858FC" w:rsidRPr="00BA1CD0" w:rsidRDefault="001858FC" w:rsidP="001858FC">
      <w:pPr>
        <w:jc w:val="center"/>
      </w:pPr>
      <w:r w:rsidRPr="00BA1CD0">
        <w:rPr>
          <w:b/>
          <w:bCs/>
          <w:lang w:val="en-US"/>
        </w:rPr>
        <w:t xml:space="preserve">CLAUSE </w:t>
      </w:r>
      <w:r>
        <w:rPr>
          <w:b/>
          <w:bCs/>
          <w:lang w:val="en-US"/>
        </w:rPr>
        <w:t>46</w:t>
      </w:r>
    </w:p>
    <w:p w14:paraId="3BC5538E" w14:textId="77777777" w:rsidR="001858FC" w:rsidRDefault="001858FC" w:rsidP="001858FC">
      <w:pPr>
        <w:rPr>
          <w:rFonts w:eastAsia="Arial"/>
          <w:lang w:eastAsia="en-ZA"/>
        </w:rPr>
      </w:pPr>
      <w:r w:rsidRPr="001858FC">
        <w:rPr>
          <w:rFonts w:eastAsia="Arial"/>
          <w:lang w:eastAsia="en-ZA"/>
        </w:rPr>
        <w:t>Value-Added Tax: Amendments to section 8</w:t>
      </w:r>
    </w:p>
    <w:p w14:paraId="4546EFCC" w14:textId="77777777" w:rsidR="00C74AB2" w:rsidRPr="00C74AB2" w:rsidRDefault="00C74AB2" w:rsidP="00C74AB2">
      <w:pPr>
        <w:rPr>
          <w:rFonts w:eastAsia="Arial"/>
          <w:lang w:eastAsia="en-ZA"/>
        </w:rPr>
      </w:pPr>
      <w:r w:rsidRPr="00C74AB2">
        <w:rPr>
          <w:rFonts w:eastAsia="Arial"/>
          <w:lang w:eastAsia="en-ZA"/>
        </w:rPr>
        <w:t>Subclause (1)(</w:t>
      </w:r>
      <w:r w:rsidRPr="00C74AB2">
        <w:rPr>
          <w:rFonts w:eastAsia="Arial"/>
          <w:i/>
          <w:iCs/>
          <w:lang w:eastAsia="en-ZA"/>
        </w:rPr>
        <w:t>a</w:t>
      </w:r>
      <w:r w:rsidRPr="00C74AB2">
        <w:rPr>
          <w:rFonts w:eastAsia="Arial"/>
          <w:lang w:eastAsia="en-ZA"/>
        </w:rPr>
        <w:t>): The amendment is textual</w:t>
      </w:r>
    </w:p>
    <w:p w14:paraId="1C234402" w14:textId="13DB761C" w:rsidR="001858FC" w:rsidRDefault="58A58716" w:rsidP="001858FC">
      <w:pPr>
        <w:rPr>
          <w:b/>
          <w:bCs/>
          <w:lang w:eastAsia="en-ZA"/>
        </w:rPr>
      </w:pPr>
      <w:r w:rsidRPr="5FEEF3AA">
        <w:rPr>
          <w:rFonts w:eastAsia="Arial" w:cs="Arial"/>
          <w:color w:val="000000" w:themeColor="text1"/>
          <w:lang w:eastAsia="en-ZA"/>
        </w:rPr>
        <w:t xml:space="preserve">Subclause </w:t>
      </w:r>
      <w:r w:rsidR="1485B3F8" w:rsidRPr="5FEEF3AA">
        <w:rPr>
          <w:rFonts w:eastAsia="Arial" w:cs="Arial"/>
          <w:color w:val="000000" w:themeColor="text1"/>
          <w:lang w:eastAsia="en-ZA"/>
        </w:rPr>
        <w:t>(1)</w:t>
      </w:r>
      <w:r w:rsidRPr="5FEEF3AA">
        <w:rPr>
          <w:rFonts w:eastAsia="Arial" w:cs="Arial"/>
          <w:color w:val="000000" w:themeColor="text1"/>
          <w:lang w:eastAsia="en-ZA"/>
        </w:rPr>
        <w:t>(</w:t>
      </w:r>
      <w:r w:rsidR="00117344">
        <w:rPr>
          <w:rFonts w:eastAsia="Arial" w:cs="Arial"/>
          <w:i/>
          <w:iCs/>
          <w:color w:val="000000" w:themeColor="text1"/>
          <w:lang w:eastAsia="en-ZA"/>
        </w:rPr>
        <w:t>b</w:t>
      </w:r>
      <w:r w:rsidRPr="5FEEF3AA">
        <w:rPr>
          <w:rFonts w:eastAsia="Arial" w:cs="Arial"/>
          <w:color w:val="000000" w:themeColor="text1"/>
          <w:lang w:eastAsia="en-ZA"/>
        </w:rPr>
        <w:t xml:space="preserve">): </w:t>
      </w:r>
      <w:bookmarkStart w:id="394" w:name="_Hlk172728509"/>
      <w:r w:rsidR="00E54B08" w:rsidRPr="00E54B08">
        <w:rPr>
          <w:rFonts w:eastAsia="Arial" w:cs="Arial"/>
          <w:color w:val="000000" w:themeColor="text1"/>
          <w:lang w:eastAsia="en-ZA"/>
        </w:rPr>
        <w:t>This amendment is deemed to have come into operation on 1 January 2023.</w:t>
      </w:r>
      <w:r w:rsidR="00E54B08">
        <w:rPr>
          <w:rFonts w:eastAsia="Arial" w:cs="Arial"/>
          <w:color w:val="000000" w:themeColor="text1"/>
          <w:lang w:eastAsia="en-ZA"/>
        </w:rPr>
        <w:t xml:space="preserve"> </w:t>
      </w:r>
      <w:r w:rsidRPr="5FEEF3AA">
        <w:rPr>
          <w:rFonts w:eastAsia="Arial" w:cs="Arial"/>
          <w:color w:val="000000" w:themeColor="text1"/>
          <w:lang w:eastAsia="en-ZA"/>
        </w:rPr>
        <w:t>See notes on</w:t>
      </w:r>
      <w:r w:rsidRPr="5FEEF3AA">
        <w:rPr>
          <w:lang w:eastAsia="en-ZA"/>
        </w:rPr>
        <w:t xml:space="preserve"> </w:t>
      </w:r>
      <w:r w:rsidRPr="5FEEF3AA">
        <w:rPr>
          <w:b/>
          <w:bCs/>
          <w:lang w:eastAsia="en-ZA"/>
        </w:rPr>
        <w:t xml:space="preserve">PROVIDING VAT RELIEF FOR NON-RESIDENT LESSORS OF PARTS OF SHIPS, AIRCRAFT OR ROLLING STOCK REQUIRED TO DEREGISTER AS A RESULT OF RECENT AMENDMENTS TO THE VAT ACT  </w:t>
      </w:r>
      <w:bookmarkEnd w:id="394"/>
    </w:p>
    <w:p w14:paraId="1145EB6E" w14:textId="0AA70D64" w:rsidR="00144D58" w:rsidRPr="00E54B08" w:rsidRDefault="00144D58" w:rsidP="001858FC">
      <w:pPr>
        <w:rPr>
          <w:rFonts w:eastAsia="Arial" w:cs="Arial"/>
          <w:color w:val="000000" w:themeColor="text1"/>
          <w:lang w:eastAsia="en-ZA"/>
        </w:rPr>
      </w:pPr>
      <w:r w:rsidRPr="00144D58">
        <w:rPr>
          <w:rFonts w:eastAsia="Arial" w:cs="Arial"/>
          <w:color w:val="000000" w:themeColor="text1"/>
          <w:lang w:eastAsia="en-ZA"/>
        </w:rPr>
        <w:t>Subclause (1)(</w:t>
      </w:r>
      <w:r w:rsidRPr="00144D58">
        <w:rPr>
          <w:rFonts w:eastAsia="Arial" w:cs="Arial"/>
          <w:i/>
          <w:iCs/>
          <w:color w:val="000000" w:themeColor="text1"/>
          <w:lang w:eastAsia="en-ZA"/>
        </w:rPr>
        <w:t>c</w:t>
      </w:r>
      <w:r w:rsidRPr="00144D58">
        <w:rPr>
          <w:rFonts w:eastAsia="Arial" w:cs="Arial"/>
          <w:color w:val="000000" w:themeColor="text1"/>
          <w:lang w:eastAsia="en-ZA"/>
        </w:rPr>
        <w:t>):</w:t>
      </w:r>
      <w:r w:rsidRPr="00144D58">
        <w:rPr>
          <w:b/>
          <w:bCs/>
          <w:lang w:eastAsia="en-ZA"/>
        </w:rPr>
        <w:t xml:space="preserve"> </w:t>
      </w:r>
      <w:r w:rsidRPr="00144D58">
        <w:rPr>
          <w:rFonts w:eastAsia="Arial" w:cs="Arial"/>
          <w:color w:val="000000" w:themeColor="text1"/>
          <w:lang w:eastAsia="en-ZA"/>
        </w:rPr>
        <w:t>This amendment is deemed to have come into operation on 1 January 2025.</w:t>
      </w:r>
      <w:r w:rsidRPr="00144D58">
        <w:rPr>
          <w:b/>
          <w:bCs/>
          <w:lang w:eastAsia="en-ZA"/>
        </w:rPr>
        <w:t xml:space="preserve"> </w:t>
      </w:r>
      <w:r w:rsidRPr="000554FD">
        <w:rPr>
          <w:rFonts w:eastAsia="Arial"/>
          <w:lang w:eastAsia="en-ZA"/>
        </w:rPr>
        <w:t>See notes on</w:t>
      </w:r>
      <w:r w:rsidRPr="00144D58">
        <w:rPr>
          <w:b/>
          <w:bCs/>
          <w:lang w:eastAsia="en-ZA"/>
        </w:rPr>
        <w:t xml:space="preserve"> REVIEWING THE FOREIGN DONOR FUNDED PROJECT REGIME   </w:t>
      </w:r>
    </w:p>
    <w:p w14:paraId="69B2B31E" w14:textId="7181ACC8" w:rsidR="001858FC" w:rsidRDefault="58A58716" w:rsidP="001858FC">
      <w:pPr>
        <w:rPr>
          <w:rFonts w:eastAsia="Arial"/>
          <w:lang w:eastAsia="en-ZA"/>
        </w:rPr>
      </w:pPr>
      <w:r w:rsidRPr="5FEEF3AA">
        <w:rPr>
          <w:rFonts w:eastAsia="Arial"/>
          <w:lang w:eastAsia="en-ZA"/>
        </w:rPr>
        <w:t xml:space="preserve"> </w:t>
      </w:r>
    </w:p>
    <w:p w14:paraId="57C36BA6" w14:textId="47903F78" w:rsidR="001858FC" w:rsidRPr="00BA1CD0" w:rsidRDefault="001858FC" w:rsidP="001858FC">
      <w:pPr>
        <w:jc w:val="center"/>
      </w:pPr>
      <w:r w:rsidRPr="00BA1CD0">
        <w:rPr>
          <w:b/>
          <w:bCs/>
          <w:lang w:val="en-US"/>
        </w:rPr>
        <w:t xml:space="preserve">CLAUSE </w:t>
      </w:r>
      <w:r>
        <w:rPr>
          <w:b/>
          <w:bCs/>
          <w:lang w:val="en-US"/>
        </w:rPr>
        <w:t>47</w:t>
      </w:r>
    </w:p>
    <w:p w14:paraId="7DD5134C" w14:textId="77777777" w:rsidR="001858FC" w:rsidRPr="001858FC" w:rsidRDefault="001858FC" w:rsidP="001858FC">
      <w:pPr>
        <w:rPr>
          <w:rFonts w:eastAsia="Arial"/>
          <w:lang w:eastAsia="en-ZA"/>
        </w:rPr>
      </w:pPr>
      <w:r w:rsidRPr="001858FC">
        <w:rPr>
          <w:rFonts w:eastAsia="Arial"/>
          <w:lang w:eastAsia="en-ZA"/>
        </w:rPr>
        <w:t>Value-Added Tax: Amendments to section 8A</w:t>
      </w:r>
    </w:p>
    <w:p w14:paraId="72524CE8" w14:textId="6B03B029" w:rsidR="001858FC" w:rsidRPr="001858FC" w:rsidRDefault="58A58716" w:rsidP="001858FC">
      <w:pPr>
        <w:rPr>
          <w:b/>
          <w:bCs/>
          <w:lang w:eastAsia="en-ZA"/>
        </w:rPr>
      </w:pPr>
      <w:r w:rsidRPr="5FEEF3AA">
        <w:rPr>
          <w:rFonts w:eastAsia="Arial" w:cs="Arial"/>
          <w:color w:val="000000" w:themeColor="text1"/>
          <w:lang w:eastAsia="en-ZA"/>
        </w:rPr>
        <w:t>See notes on</w:t>
      </w:r>
      <w:r w:rsidRPr="5FEEF3AA">
        <w:rPr>
          <w:lang w:eastAsia="en-ZA"/>
        </w:rPr>
        <w:t xml:space="preserve"> </w:t>
      </w:r>
      <w:r w:rsidRPr="5FEEF3AA">
        <w:rPr>
          <w:b/>
          <w:bCs/>
          <w:lang w:eastAsia="en-ZA"/>
        </w:rPr>
        <w:t>CLARIFYING THE VAT TREATMENT OF</w:t>
      </w:r>
      <w:r w:rsidR="000554FD">
        <w:rPr>
          <w:b/>
          <w:bCs/>
          <w:lang w:eastAsia="en-ZA"/>
        </w:rPr>
        <w:t xml:space="preserve"> THE</w:t>
      </w:r>
      <w:r w:rsidRPr="5FEEF3AA">
        <w:rPr>
          <w:b/>
          <w:bCs/>
          <w:lang w:eastAsia="en-ZA"/>
        </w:rPr>
        <w:t xml:space="preserve"> MUDARABA ISLAMIC FINANCING ARRANGEMENT</w:t>
      </w:r>
      <w:r w:rsidR="02114538" w:rsidRPr="5FEEF3AA">
        <w:rPr>
          <w:b/>
          <w:bCs/>
          <w:lang w:eastAsia="en-ZA"/>
        </w:rPr>
        <w:t>S</w:t>
      </w:r>
      <w:r w:rsidRPr="5FEEF3AA">
        <w:rPr>
          <w:b/>
          <w:bCs/>
          <w:lang w:eastAsia="en-ZA"/>
        </w:rPr>
        <w:t xml:space="preserve"> </w:t>
      </w:r>
    </w:p>
    <w:p w14:paraId="7C7FE161" w14:textId="77777777" w:rsidR="001858FC" w:rsidRDefault="001858FC" w:rsidP="001858FC">
      <w:pPr>
        <w:rPr>
          <w:rFonts w:eastAsia="Arial"/>
          <w:lang w:eastAsia="en-ZA"/>
        </w:rPr>
      </w:pPr>
    </w:p>
    <w:p w14:paraId="3437B7CF" w14:textId="5E841993" w:rsidR="001858FC" w:rsidRPr="00BA1CD0" w:rsidRDefault="001858FC" w:rsidP="001858FC">
      <w:pPr>
        <w:jc w:val="center"/>
      </w:pPr>
      <w:r w:rsidRPr="00BA1CD0">
        <w:rPr>
          <w:b/>
          <w:bCs/>
          <w:lang w:val="en-US"/>
        </w:rPr>
        <w:t xml:space="preserve">CLAUSE </w:t>
      </w:r>
      <w:r>
        <w:rPr>
          <w:b/>
          <w:bCs/>
          <w:lang w:val="en-US"/>
        </w:rPr>
        <w:t>48</w:t>
      </w:r>
    </w:p>
    <w:p w14:paraId="1941DD6F" w14:textId="0422F28C" w:rsidR="001858FC" w:rsidRPr="001858FC" w:rsidRDefault="58A58716" w:rsidP="001858FC">
      <w:pPr>
        <w:rPr>
          <w:rFonts w:eastAsia="Arial"/>
          <w:lang w:eastAsia="en-ZA"/>
        </w:rPr>
      </w:pPr>
      <w:r w:rsidRPr="5FEEF3AA">
        <w:rPr>
          <w:rFonts w:eastAsia="Arial"/>
          <w:lang w:eastAsia="en-ZA"/>
        </w:rPr>
        <w:t>Value-Added Tax: Amendments to section 1</w:t>
      </w:r>
      <w:r w:rsidR="00621959">
        <w:rPr>
          <w:rFonts w:eastAsia="Arial"/>
          <w:lang w:eastAsia="en-ZA"/>
        </w:rPr>
        <w:t>1</w:t>
      </w:r>
    </w:p>
    <w:p w14:paraId="0ED8A7CB" w14:textId="62365696" w:rsidR="001858FC" w:rsidRPr="001858FC" w:rsidRDefault="00B94931" w:rsidP="001858FC">
      <w:pPr>
        <w:rPr>
          <w:b/>
          <w:bCs/>
          <w:lang w:eastAsia="en-ZA"/>
        </w:rPr>
      </w:pPr>
      <w:r w:rsidRPr="00B94931">
        <w:rPr>
          <w:rFonts w:eastAsia="Arial" w:cs="Arial"/>
          <w:color w:val="000000" w:themeColor="text1"/>
          <w:lang w:eastAsia="en-ZA"/>
        </w:rPr>
        <w:t>These amendments are consequential to the amendments to the Customs and Excise Act</w:t>
      </w:r>
      <w:r>
        <w:rPr>
          <w:rFonts w:eastAsia="Arial" w:cs="Arial"/>
          <w:color w:val="000000" w:themeColor="text1"/>
          <w:lang w:eastAsia="en-ZA"/>
        </w:rPr>
        <w:t xml:space="preserve">. </w:t>
      </w:r>
      <w:r w:rsidR="58A58716" w:rsidRPr="5FEEF3AA">
        <w:rPr>
          <w:rFonts w:eastAsia="Arial" w:cs="Arial"/>
          <w:color w:val="000000" w:themeColor="text1"/>
          <w:lang w:eastAsia="en-ZA"/>
        </w:rPr>
        <w:t>See</w:t>
      </w:r>
      <w:r w:rsidR="00621959">
        <w:rPr>
          <w:rFonts w:eastAsia="Arial" w:cs="Arial"/>
          <w:color w:val="000000" w:themeColor="text1"/>
          <w:lang w:eastAsia="en-ZA"/>
        </w:rPr>
        <w:t xml:space="preserve"> Clause 41-44.</w:t>
      </w:r>
      <w:r w:rsidR="58A58716" w:rsidRPr="5FEEF3AA">
        <w:rPr>
          <w:rFonts w:eastAsia="Arial" w:cs="Arial"/>
          <w:color w:val="000000" w:themeColor="text1"/>
          <w:lang w:eastAsia="en-ZA"/>
        </w:rPr>
        <w:t xml:space="preserve"> </w:t>
      </w:r>
    </w:p>
    <w:p w14:paraId="12FA671D" w14:textId="77777777" w:rsidR="001858FC" w:rsidRDefault="001858FC" w:rsidP="001858FC">
      <w:pPr>
        <w:rPr>
          <w:rFonts w:eastAsia="Arial"/>
          <w:lang w:eastAsia="en-ZA"/>
        </w:rPr>
      </w:pPr>
    </w:p>
    <w:p w14:paraId="772096BB" w14:textId="4DD8DB2E" w:rsidR="001858FC" w:rsidRPr="00BA1CD0" w:rsidRDefault="001858FC" w:rsidP="001858FC">
      <w:pPr>
        <w:jc w:val="center"/>
      </w:pPr>
      <w:bookmarkStart w:id="395" w:name="_Hlk173408872"/>
      <w:r w:rsidRPr="00BA1CD0">
        <w:rPr>
          <w:b/>
          <w:bCs/>
          <w:lang w:val="en-US"/>
        </w:rPr>
        <w:t xml:space="preserve">CLAUSE </w:t>
      </w:r>
      <w:r>
        <w:rPr>
          <w:b/>
          <w:bCs/>
          <w:lang w:val="en-US"/>
        </w:rPr>
        <w:t>49</w:t>
      </w:r>
    </w:p>
    <w:p w14:paraId="642116C7" w14:textId="403AAA2E" w:rsidR="001858FC" w:rsidRPr="001858FC" w:rsidRDefault="58A58716" w:rsidP="001858FC">
      <w:pPr>
        <w:rPr>
          <w:rFonts w:eastAsia="Arial"/>
          <w:lang w:eastAsia="en-ZA"/>
        </w:rPr>
      </w:pPr>
      <w:r w:rsidRPr="5FEEF3AA">
        <w:rPr>
          <w:rFonts w:eastAsia="Arial"/>
          <w:lang w:eastAsia="en-ZA"/>
        </w:rPr>
        <w:t xml:space="preserve">Value-Added Tax: Amendments to section </w:t>
      </w:r>
      <w:r w:rsidR="005B7787">
        <w:rPr>
          <w:rFonts w:eastAsia="Arial"/>
          <w:lang w:eastAsia="en-ZA"/>
        </w:rPr>
        <w:t>22</w:t>
      </w:r>
    </w:p>
    <w:p w14:paraId="73B45FEB" w14:textId="77777777" w:rsidR="00FE56C0" w:rsidRPr="00FE56C0" w:rsidRDefault="58A58716" w:rsidP="00FE56C0">
      <w:pPr>
        <w:rPr>
          <w:rFonts w:eastAsia="Arial"/>
          <w:b/>
          <w:bCs/>
          <w:lang w:eastAsia="en-ZA"/>
        </w:rPr>
      </w:pPr>
      <w:r w:rsidRPr="5FEEF3AA">
        <w:rPr>
          <w:rFonts w:eastAsia="Arial"/>
          <w:lang w:eastAsia="en-ZA"/>
        </w:rPr>
        <w:t xml:space="preserve">See notes on </w:t>
      </w:r>
      <w:r w:rsidR="00FE56C0" w:rsidRPr="00FE56C0">
        <w:rPr>
          <w:rFonts w:eastAsia="Arial"/>
          <w:b/>
          <w:bCs/>
          <w:lang w:eastAsia="en-ZA"/>
        </w:rPr>
        <w:t>VAT CLAW-BACK ON IRRECVERABLE DEBTS SUBSEQUENTLY RECOVERED</w:t>
      </w:r>
    </w:p>
    <w:bookmarkEnd w:id="395"/>
    <w:p w14:paraId="3C7AC1E5" w14:textId="77777777" w:rsidR="001858FC" w:rsidRDefault="001858FC" w:rsidP="001858FC">
      <w:pPr>
        <w:rPr>
          <w:rFonts w:eastAsia="Arial"/>
          <w:lang w:eastAsia="en-ZA"/>
        </w:rPr>
      </w:pPr>
    </w:p>
    <w:p w14:paraId="7A0066F8" w14:textId="77777777" w:rsidR="009248A6" w:rsidRDefault="009248A6" w:rsidP="001858FC">
      <w:pPr>
        <w:rPr>
          <w:rFonts w:eastAsia="Arial"/>
          <w:lang w:eastAsia="en-ZA"/>
        </w:rPr>
      </w:pPr>
    </w:p>
    <w:p w14:paraId="53E78E7C" w14:textId="5EF12B5D" w:rsidR="001858FC" w:rsidRPr="00BA1CD0" w:rsidRDefault="001858FC" w:rsidP="001858FC">
      <w:pPr>
        <w:jc w:val="center"/>
      </w:pPr>
      <w:r w:rsidRPr="00BA1CD0">
        <w:rPr>
          <w:b/>
          <w:bCs/>
          <w:lang w:val="en-US"/>
        </w:rPr>
        <w:t xml:space="preserve">CLAUSE </w:t>
      </w:r>
      <w:r>
        <w:rPr>
          <w:b/>
          <w:bCs/>
          <w:lang w:val="en-US"/>
        </w:rPr>
        <w:t>50</w:t>
      </w:r>
    </w:p>
    <w:p w14:paraId="471FE7FA" w14:textId="7162DC1F" w:rsidR="001858FC" w:rsidRPr="001858FC" w:rsidRDefault="58A58716" w:rsidP="001858FC">
      <w:pPr>
        <w:rPr>
          <w:rFonts w:eastAsia="Arial"/>
          <w:lang w:eastAsia="en-ZA"/>
        </w:rPr>
      </w:pPr>
      <w:r w:rsidRPr="5FEEF3AA">
        <w:rPr>
          <w:rFonts w:eastAsia="Arial"/>
          <w:lang w:eastAsia="en-ZA"/>
        </w:rPr>
        <w:t xml:space="preserve">Value-Added Tax: Amendments to section </w:t>
      </w:r>
      <w:r w:rsidR="00AD0EBA">
        <w:rPr>
          <w:rFonts w:eastAsia="Arial"/>
          <w:lang w:eastAsia="en-ZA"/>
        </w:rPr>
        <w:t>50</w:t>
      </w:r>
    </w:p>
    <w:p w14:paraId="03A4DAF3" w14:textId="3E0F8890" w:rsidR="001858FC" w:rsidRDefault="58A58716" w:rsidP="001858FC">
      <w:pPr>
        <w:rPr>
          <w:rFonts w:eastAsia="Arial"/>
          <w:b/>
          <w:bCs/>
          <w:lang w:eastAsia="en-ZA"/>
        </w:rPr>
      </w:pPr>
      <w:r w:rsidRPr="5FEEF3AA">
        <w:rPr>
          <w:rFonts w:eastAsia="Arial"/>
          <w:lang w:eastAsia="en-ZA"/>
        </w:rPr>
        <w:t xml:space="preserve">See notes on </w:t>
      </w:r>
      <w:bookmarkStart w:id="396" w:name="_Hlk193356430"/>
      <w:r w:rsidR="00562B71" w:rsidRPr="00562B71">
        <w:rPr>
          <w:rFonts w:eastAsia="Arial"/>
          <w:b/>
          <w:bCs/>
          <w:lang w:eastAsia="en-ZA"/>
        </w:rPr>
        <w:t>REVIEWING THE FOREIGN DONOR FUNDED PROJECT REGIME</w:t>
      </w:r>
      <w:bookmarkEnd w:id="396"/>
      <w:r w:rsidR="00562B71" w:rsidRPr="00562B71">
        <w:rPr>
          <w:rFonts w:eastAsia="Arial"/>
          <w:b/>
          <w:bCs/>
          <w:lang w:eastAsia="en-ZA"/>
        </w:rPr>
        <w:t xml:space="preserve">   </w:t>
      </w:r>
    </w:p>
    <w:p w14:paraId="08490186" w14:textId="77777777" w:rsidR="00562B71" w:rsidRDefault="00562B71" w:rsidP="001858FC">
      <w:pPr>
        <w:rPr>
          <w:rFonts w:eastAsia="Arial"/>
          <w:b/>
          <w:bCs/>
          <w:lang w:eastAsia="en-ZA"/>
        </w:rPr>
      </w:pPr>
    </w:p>
    <w:p w14:paraId="0124AD83" w14:textId="1D828D30" w:rsidR="001858FC" w:rsidRPr="00BA1CD0" w:rsidRDefault="001858FC" w:rsidP="001858FC">
      <w:pPr>
        <w:jc w:val="center"/>
      </w:pPr>
      <w:r w:rsidRPr="00BA1CD0">
        <w:rPr>
          <w:b/>
          <w:bCs/>
          <w:lang w:val="en-US"/>
        </w:rPr>
        <w:t xml:space="preserve">CLAUSE </w:t>
      </w:r>
      <w:r>
        <w:rPr>
          <w:b/>
          <w:bCs/>
          <w:lang w:val="en-US"/>
        </w:rPr>
        <w:t>51</w:t>
      </w:r>
    </w:p>
    <w:p w14:paraId="4E94007B" w14:textId="2B5C75E2" w:rsidR="001858FC" w:rsidRPr="005C0894" w:rsidRDefault="58A58716" w:rsidP="001858FC">
      <w:pPr>
        <w:rPr>
          <w:rFonts w:eastAsia="Arial"/>
          <w:lang w:eastAsia="en-ZA"/>
        </w:rPr>
      </w:pPr>
      <w:r w:rsidRPr="5FEEF3AA">
        <w:rPr>
          <w:rFonts w:eastAsia="Arial"/>
          <w:lang w:eastAsia="en-ZA"/>
        </w:rPr>
        <w:t xml:space="preserve">Value-Added Tax: </w:t>
      </w:r>
      <w:r w:rsidR="00971BE4">
        <w:rPr>
          <w:rFonts w:eastAsia="Arial"/>
          <w:lang w:eastAsia="en-ZA"/>
        </w:rPr>
        <w:t>Amendments to</w:t>
      </w:r>
      <w:r w:rsidRPr="5FEEF3AA">
        <w:rPr>
          <w:rFonts w:eastAsia="Arial"/>
          <w:lang w:eastAsia="en-ZA"/>
        </w:rPr>
        <w:t xml:space="preserve"> section </w:t>
      </w:r>
      <w:r w:rsidR="00562B71">
        <w:rPr>
          <w:rFonts w:eastAsia="Arial"/>
          <w:lang w:eastAsia="en-ZA"/>
        </w:rPr>
        <w:t>54</w:t>
      </w:r>
    </w:p>
    <w:p w14:paraId="5A6C8A44" w14:textId="56A3A773" w:rsidR="001B16DA" w:rsidRPr="001B16DA" w:rsidRDefault="001B16DA" w:rsidP="001B16DA">
      <w:pPr>
        <w:rPr>
          <w:rFonts w:eastAsia="Arial"/>
          <w:lang w:eastAsia="en-ZA"/>
        </w:rPr>
      </w:pPr>
      <w:r w:rsidRPr="001B16DA">
        <w:rPr>
          <w:rFonts w:eastAsia="Arial"/>
          <w:lang w:eastAsia="en-ZA"/>
        </w:rPr>
        <w:t xml:space="preserve">These amendments are linked to the </w:t>
      </w:r>
      <w:r w:rsidRPr="001B16DA">
        <w:rPr>
          <w:rFonts w:eastAsia="Arial"/>
          <w:b/>
          <w:bCs/>
          <w:lang w:eastAsia="en-ZA"/>
        </w:rPr>
        <w:t>REGULATIONS PRESCRIBING ELECTRONIC SERVICES FOR THE PURPOSE OF THE DEFINITION OF “ELECTRONIC SERVICES” IN SECTION 1(1) OF THE VALUE-ADDED TAX ACT, 1991</w:t>
      </w:r>
      <w:r w:rsidRPr="001B16DA">
        <w:rPr>
          <w:rFonts w:eastAsia="Arial"/>
          <w:bCs/>
          <w:lang w:eastAsia="en-ZA"/>
        </w:rPr>
        <w:t>. In terms of the Explanatory Memorandum to the amendments to those regulations, the reason for these amendments is as follows: “</w:t>
      </w:r>
      <w:r w:rsidRPr="001B16DA">
        <w:rPr>
          <w:rFonts w:eastAsia="Arial"/>
          <w:lang w:eastAsia="en-ZA"/>
        </w:rPr>
        <w:t xml:space="preserve">The first amendment relates to the requirement that the underlying supplier (the principal) is not a registered vendor. This requirement is being deleted since it is the intention to hold the intermediary responsible for all supplies made through its platform, including supplies made by principals that are not residents of the Republic, irrespective of their VAT status in the Republic, where such principal and intermediary have agreed, in writing, that the supply will be treated as being that of the intermediary. The policy rationale behind this is to ease the administrative burden on the principal, to ensure that VAT is not accounted for twice (by the principal and the intermediary) on the same supply and to facilitate ease of compliance checks and audits. </w:t>
      </w:r>
    </w:p>
    <w:p w14:paraId="110144D2" w14:textId="77777777" w:rsidR="001B16DA" w:rsidRPr="001B16DA" w:rsidRDefault="001B16DA" w:rsidP="001B16DA">
      <w:pPr>
        <w:rPr>
          <w:rFonts w:eastAsia="Arial"/>
          <w:bCs/>
          <w:lang w:eastAsia="en-ZA"/>
        </w:rPr>
      </w:pPr>
      <w:r w:rsidRPr="001B16DA">
        <w:rPr>
          <w:rFonts w:eastAsia="Arial"/>
          <w:lang w:eastAsia="en-ZA"/>
        </w:rPr>
        <w:t>The second amendment to this section is to introduce a second sub-section that introduces the concept of a joint and several liability for both the principal and the intermediary in instances where both parties have agreed to treat the supplies as being made by the intermediary. Both parties will be held jointly and severally liable for performing the duties of the principal or the intermediary under the VAT Act and paying the tax imposed by the VAT Act in respect of those taxable supplies that were made under the agreement.”</w:t>
      </w:r>
    </w:p>
    <w:p w14:paraId="1493121C" w14:textId="77777777" w:rsidR="00803131" w:rsidRDefault="00803131" w:rsidP="001858FC">
      <w:pPr>
        <w:rPr>
          <w:rFonts w:eastAsia="Arial"/>
          <w:b/>
          <w:bCs/>
          <w:lang w:eastAsia="en-ZA"/>
        </w:rPr>
      </w:pPr>
    </w:p>
    <w:p w14:paraId="4EEE5B03" w14:textId="4C2625F5" w:rsidR="001858FC" w:rsidRPr="00BA1CD0" w:rsidRDefault="001858FC" w:rsidP="001858FC">
      <w:pPr>
        <w:jc w:val="center"/>
      </w:pPr>
      <w:r w:rsidRPr="00BA1CD0">
        <w:rPr>
          <w:b/>
          <w:bCs/>
          <w:lang w:val="en-US"/>
        </w:rPr>
        <w:t xml:space="preserve">CLAUSE </w:t>
      </w:r>
      <w:r>
        <w:rPr>
          <w:b/>
          <w:bCs/>
          <w:lang w:val="en-US"/>
        </w:rPr>
        <w:t>52</w:t>
      </w:r>
    </w:p>
    <w:p w14:paraId="5AF44BD4" w14:textId="77777777" w:rsidR="00384E42" w:rsidRDefault="58A58716" w:rsidP="001858FC">
      <w:pPr>
        <w:rPr>
          <w:rFonts w:eastAsia="Arial"/>
          <w:lang w:eastAsia="en-ZA"/>
        </w:rPr>
      </w:pPr>
      <w:r w:rsidRPr="5FEEF3AA">
        <w:rPr>
          <w:rFonts w:eastAsia="Arial"/>
          <w:lang w:eastAsia="en-ZA"/>
        </w:rPr>
        <w:t xml:space="preserve">Value-Added Tax: </w:t>
      </w:r>
      <w:r w:rsidR="00902F2F" w:rsidRPr="00902F2F">
        <w:rPr>
          <w:rFonts w:eastAsia="Arial"/>
          <w:lang w:eastAsia="en-ZA"/>
        </w:rPr>
        <w:t xml:space="preserve">Amendments to Schedule 1 of the VAT Act </w:t>
      </w:r>
    </w:p>
    <w:p w14:paraId="4A8936BE" w14:textId="77777777" w:rsidR="00237477" w:rsidRPr="00237477" w:rsidRDefault="00237477" w:rsidP="00237477">
      <w:pPr>
        <w:rPr>
          <w:rFonts w:eastAsia="Arial"/>
          <w:b/>
          <w:bCs/>
          <w:lang w:eastAsia="en-ZA"/>
        </w:rPr>
      </w:pPr>
      <w:r w:rsidRPr="00237477">
        <w:rPr>
          <w:rFonts w:eastAsia="Arial"/>
          <w:lang w:eastAsia="en-ZA"/>
        </w:rPr>
        <w:t>These amendments are consequential to the amendments to the Customs and Excise Act. See Clauses 41-44.</w:t>
      </w:r>
      <w:r w:rsidRPr="00237477">
        <w:rPr>
          <w:rFonts w:eastAsia="Arial"/>
          <w:b/>
          <w:bCs/>
          <w:lang w:eastAsia="en-ZA"/>
        </w:rPr>
        <w:t xml:space="preserve">  </w:t>
      </w:r>
    </w:p>
    <w:p w14:paraId="4B3C0762" w14:textId="77777777" w:rsidR="001858FC" w:rsidRDefault="001858FC" w:rsidP="001858FC">
      <w:pPr>
        <w:rPr>
          <w:rFonts w:eastAsia="Arial"/>
          <w:b/>
          <w:bCs/>
          <w:lang w:eastAsia="en-ZA"/>
        </w:rPr>
      </w:pPr>
    </w:p>
    <w:p w14:paraId="60A976F5" w14:textId="277F713B" w:rsidR="001858FC" w:rsidRPr="00BA1CD0" w:rsidRDefault="001858FC" w:rsidP="001858FC">
      <w:pPr>
        <w:jc w:val="center"/>
      </w:pPr>
      <w:r w:rsidRPr="00BA1CD0">
        <w:rPr>
          <w:b/>
          <w:bCs/>
          <w:lang w:val="en-US"/>
        </w:rPr>
        <w:t xml:space="preserve">CLAUSE </w:t>
      </w:r>
      <w:r>
        <w:rPr>
          <w:b/>
          <w:bCs/>
          <w:lang w:val="en-US"/>
        </w:rPr>
        <w:t>53</w:t>
      </w:r>
    </w:p>
    <w:p w14:paraId="6D2D531E" w14:textId="77777777" w:rsidR="001858FC" w:rsidRPr="001858FC" w:rsidRDefault="001858FC" w:rsidP="001858FC">
      <w:pPr>
        <w:rPr>
          <w:rFonts w:eastAsia="Arial"/>
          <w:lang w:eastAsia="en-ZA"/>
        </w:rPr>
      </w:pPr>
      <w:r w:rsidRPr="001858FC">
        <w:rPr>
          <w:rFonts w:eastAsia="Arial"/>
          <w:lang w:eastAsia="en-ZA"/>
        </w:rPr>
        <w:t>Securities Transfer Tax Act: Amendments to section 1</w:t>
      </w:r>
    </w:p>
    <w:p w14:paraId="7EDA9D7B" w14:textId="77777777" w:rsidR="001858FC" w:rsidRPr="001858FC" w:rsidRDefault="58A58716" w:rsidP="5FEEF3AA">
      <w:pPr>
        <w:rPr>
          <w:rFonts w:eastAsia="Arial" w:cs="Arial"/>
          <w:color w:val="000000"/>
          <w:lang w:eastAsia="en-ZA"/>
        </w:rPr>
      </w:pPr>
      <w:r w:rsidRPr="5FEEF3AA">
        <w:rPr>
          <w:rFonts w:eastAsia="Arial" w:cs="Arial"/>
          <w:color w:val="000000" w:themeColor="text1"/>
          <w:lang w:eastAsia="en-ZA"/>
        </w:rPr>
        <w:t xml:space="preserve">The proposed amendment to the definition of “collateral arrangement” is a clarification that seeks to correct the reference to that of an identical share or bond as contemplated in paragraph </w:t>
      </w:r>
      <w:r w:rsidRPr="00D259EF">
        <w:rPr>
          <w:rFonts w:eastAsia="Arial" w:cs="Arial"/>
          <w:i/>
          <w:iCs/>
          <w:color w:val="000000" w:themeColor="text1"/>
          <w:lang w:eastAsia="en-ZA"/>
        </w:rPr>
        <w:t>(c)</w:t>
      </w:r>
      <w:r w:rsidRPr="5FEEF3AA">
        <w:rPr>
          <w:rFonts w:eastAsia="Arial" w:cs="Arial"/>
          <w:color w:val="000000" w:themeColor="text1"/>
          <w:lang w:eastAsia="en-ZA"/>
        </w:rPr>
        <w:t xml:space="preserve"> of that definition as to ensure the </w:t>
      </w:r>
      <w:r>
        <w:t>definition correctly describes the consequence of not returning an identical share or bond within a period of 24 months</w:t>
      </w:r>
      <w:r w:rsidRPr="5FEEF3AA">
        <w:rPr>
          <w:rFonts w:eastAsia="Arial" w:cs="Arial"/>
          <w:color w:val="000000" w:themeColor="text1"/>
          <w:lang w:eastAsia="en-ZA"/>
        </w:rPr>
        <w:t>.</w:t>
      </w:r>
    </w:p>
    <w:p w14:paraId="0E1D5F12" w14:textId="77777777" w:rsidR="001858FC" w:rsidRDefault="001858FC" w:rsidP="001858FC">
      <w:pPr>
        <w:rPr>
          <w:rFonts w:eastAsia="Arial"/>
          <w:b/>
          <w:bCs/>
          <w:lang w:eastAsia="en-ZA"/>
        </w:rPr>
      </w:pPr>
    </w:p>
    <w:p w14:paraId="1CAA1FFE" w14:textId="6143BCCC" w:rsidR="001858FC" w:rsidRPr="00BA1CD0" w:rsidRDefault="58A58716" w:rsidP="001858FC">
      <w:pPr>
        <w:jc w:val="center"/>
      </w:pPr>
      <w:bookmarkStart w:id="397" w:name="_Hlk173409123"/>
      <w:r w:rsidRPr="5FEEF3AA">
        <w:rPr>
          <w:b/>
          <w:bCs/>
          <w:lang w:val="en-US"/>
        </w:rPr>
        <w:t>CLAUSE 5</w:t>
      </w:r>
      <w:r w:rsidR="678B26E8" w:rsidRPr="5FEEF3AA">
        <w:rPr>
          <w:b/>
          <w:bCs/>
          <w:lang w:val="en-US"/>
        </w:rPr>
        <w:t>4</w:t>
      </w:r>
    </w:p>
    <w:p w14:paraId="61A45E31" w14:textId="77777777" w:rsidR="001858FC" w:rsidRPr="001858FC" w:rsidRDefault="001858FC" w:rsidP="001858FC">
      <w:pPr>
        <w:rPr>
          <w:rFonts w:eastAsia="Arial"/>
          <w:lang w:eastAsia="en-ZA"/>
        </w:rPr>
      </w:pPr>
      <w:r w:rsidRPr="001858FC">
        <w:rPr>
          <w:rFonts w:eastAsia="Arial"/>
          <w:lang w:eastAsia="en-ZA"/>
        </w:rPr>
        <w:t>Securities Transfer Tax Act: Amendments to section 8</w:t>
      </w:r>
    </w:p>
    <w:p w14:paraId="79BE78AE" w14:textId="7EAEDB3C" w:rsidR="001858FC" w:rsidRPr="001858FC" w:rsidRDefault="58A58716" w:rsidP="4DA829A6">
      <w:r>
        <w:t xml:space="preserve">The proposed amendment is a technical </w:t>
      </w:r>
      <w:r w:rsidR="41BE1C11">
        <w:t>correction</w:t>
      </w:r>
      <w:r>
        <w:t xml:space="preserve"> that seeks to correct a grammatical error with reference to the spelling of “</w:t>
      </w:r>
      <w:proofErr w:type="spellStart"/>
      <w:r w:rsidRPr="5FEEF3AA">
        <w:rPr>
          <w:i/>
          <w:iCs/>
        </w:rPr>
        <w:t>intestato</w:t>
      </w:r>
      <w:proofErr w:type="spellEnd"/>
      <w:r>
        <w:t>”.</w:t>
      </w:r>
    </w:p>
    <w:bookmarkEnd w:id="397"/>
    <w:p w14:paraId="4FC5240D" w14:textId="77777777" w:rsidR="001858FC" w:rsidRPr="001858FC" w:rsidRDefault="001858FC" w:rsidP="001858FC">
      <w:pPr>
        <w:rPr>
          <w:rFonts w:eastAsia="Arial"/>
          <w:b/>
          <w:bCs/>
          <w:lang w:eastAsia="en-ZA"/>
        </w:rPr>
      </w:pPr>
    </w:p>
    <w:p w14:paraId="1BF813D4" w14:textId="65CE1E1B" w:rsidR="001858FC" w:rsidRPr="00BA1CD0" w:rsidRDefault="58A58716" w:rsidP="001858FC">
      <w:pPr>
        <w:jc w:val="center"/>
      </w:pPr>
      <w:r w:rsidRPr="5FEEF3AA">
        <w:rPr>
          <w:b/>
          <w:bCs/>
          <w:lang w:val="en-US"/>
        </w:rPr>
        <w:t>CLAUSE 5</w:t>
      </w:r>
      <w:r w:rsidR="096A8E68" w:rsidRPr="5FEEF3AA">
        <w:rPr>
          <w:b/>
          <w:bCs/>
          <w:lang w:val="en-US"/>
        </w:rPr>
        <w:t>5</w:t>
      </w:r>
    </w:p>
    <w:p w14:paraId="0D322959" w14:textId="2F65CF18" w:rsidR="002420ED" w:rsidRPr="002420ED" w:rsidRDefault="37452259" w:rsidP="002420ED">
      <w:pPr>
        <w:rPr>
          <w:rFonts w:eastAsia="Arial"/>
          <w:lang w:eastAsia="en-ZA"/>
        </w:rPr>
      </w:pPr>
      <w:r w:rsidRPr="5FEEF3AA">
        <w:rPr>
          <w:rFonts w:eastAsia="Arial"/>
          <w:lang w:eastAsia="en-ZA"/>
        </w:rPr>
        <w:t xml:space="preserve">Mineral and Petroleum Resources Royalty Act: Amendment </w:t>
      </w:r>
      <w:r w:rsidR="20F38C4B" w:rsidRPr="5FEEF3AA">
        <w:rPr>
          <w:rFonts w:eastAsia="Arial"/>
          <w:lang w:eastAsia="en-ZA"/>
        </w:rPr>
        <w:t>of</w:t>
      </w:r>
      <w:r w:rsidRPr="5FEEF3AA">
        <w:rPr>
          <w:rFonts w:eastAsia="Arial"/>
          <w:lang w:eastAsia="en-ZA"/>
        </w:rPr>
        <w:t xml:space="preserve"> section 6A</w:t>
      </w:r>
    </w:p>
    <w:p w14:paraId="5868EB82" w14:textId="01A1D546" w:rsidR="002420ED" w:rsidRPr="002420ED" w:rsidRDefault="37452259" w:rsidP="002420ED">
      <w:pPr>
        <w:rPr>
          <w:rFonts w:eastAsia="Arial"/>
          <w:b/>
          <w:bCs/>
          <w:lang w:eastAsia="en-ZA"/>
        </w:rPr>
      </w:pPr>
      <w:r w:rsidRPr="5FEEF3AA">
        <w:rPr>
          <w:rFonts w:eastAsia="Arial"/>
          <w:lang w:eastAsia="en-ZA"/>
        </w:rPr>
        <w:t>The proposed amendments seek to align the wording in both section 6A(1)(</w:t>
      </w:r>
      <w:r w:rsidRPr="5FEEF3AA">
        <w:rPr>
          <w:rFonts w:eastAsia="Arial"/>
          <w:i/>
          <w:iCs/>
          <w:lang w:eastAsia="en-ZA"/>
        </w:rPr>
        <w:t>a</w:t>
      </w:r>
      <w:r w:rsidRPr="5FEEF3AA">
        <w:rPr>
          <w:rFonts w:eastAsia="Arial"/>
          <w:lang w:eastAsia="en-ZA"/>
        </w:rPr>
        <w:t>) and section 6A(1A)(</w:t>
      </w:r>
      <w:r w:rsidRPr="5FEEF3AA">
        <w:rPr>
          <w:rFonts w:eastAsia="Arial"/>
          <w:i/>
          <w:iCs/>
          <w:lang w:eastAsia="en-ZA"/>
        </w:rPr>
        <w:t>a</w:t>
      </w:r>
      <w:r w:rsidRPr="5FEEF3AA">
        <w:rPr>
          <w:rFonts w:eastAsia="Arial"/>
          <w:lang w:eastAsia="en-ZA"/>
        </w:rPr>
        <w:t>) of the Mineral and Petroleum Resources Royalty Act to the wording of section 6(1)(</w:t>
      </w:r>
      <w:r w:rsidRPr="5FEEF3AA">
        <w:rPr>
          <w:rFonts w:eastAsia="Arial"/>
          <w:i/>
          <w:iCs/>
          <w:lang w:eastAsia="en-ZA"/>
        </w:rPr>
        <w:t>b</w:t>
      </w:r>
      <w:r w:rsidRPr="5FEEF3AA">
        <w:rPr>
          <w:rFonts w:eastAsia="Arial"/>
          <w:lang w:eastAsia="en-ZA"/>
        </w:rPr>
        <w:t>) and section 6(2)(</w:t>
      </w:r>
      <w:r w:rsidRPr="5FEEF3AA">
        <w:rPr>
          <w:rFonts w:eastAsia="Arial"/>
          <w:i/>
          <w:iCs/>
          <w:lang w:eastAsia="en-ZA"/>
        </w:rPr>
        <w:t>b</w:t>
      </w:r>
      <w:r w:rsidRPr="5FEEF3AA">
        <w:rPr>
          <w:rFonts w:eastAsia="Arial"/>
          <w:lang w:eastAsia="en-ZA"/>
        </w:rPr>
        <w:t>) of that Act respectively, in an effort to clarify that the gross sales would be the amount that would have been received or accrued during the year of assessment in respect of the transfer of that mineral resource had that resource been transferred at the condition specified or the minimum of the range of conditions specified for that mineral resource.</w:t>
      </w:r>
    </w:p>
    <w:p w14:paraId="6D80FF5B" w14:textId="77777777" w:rsidR="001858FC" w:rsidRDefault="001858FC" w:rsidP="001858FC">
      <w:pPr>
        <w:rPr>
          <w:rFonts w:eastAsia="Arial"/>
          <w:b/>
          <w:bCs/>
          <w:lang w:eastAsia="en-ZA"/>
        </w:rPr>
      </w:pPr>
    </w:p>
    <w:p w14:paraId="3027A127" w14:textId="387FA2C4" w:rsidR="002420ED" w:rsidRPr="00BA1CD0" w:rsidRDefault="37452259" w:rsidP="002420ED">
      <w:pPr>
        <w:jc w:val="center"/>
      </w:pPr>
      <w:r w:rsidRPr="5FEEF3AA">
        <w:rPr>
          <w:b/>
          <w:bCs/>
          <w:lang w:val="en-US"/>
        </w:rPr>
        <w:t>CLAUSE 5</w:t>
      </w:r>
      <w:r w:rsidR="550A0EFA" w:rsidRPr="5FEEF3AA">
        <w:rPr>
          <w:b/>
          <w:bCs/>
          <w:lang w:val="en-US"/>
        </w:rPr>
        <w:t>6</w:t>
      </w:r>
    </w:p>
    <w:p w14:paraId="4C21DA8E" w14:textId="139405DC" w:rsidR="002420ED" w:rsidRPr="002420ED" w:rsidRDefault="37452259" w:rsidP="002420ED">
      <w:pPr>
        <w:rPr>
          <w:rFonts w:eastAsia="Arial"/>
          <w:lang w:eastAsia="en-ZA"/>
        </w:rPr>
      </w:pPr>
      <w:bookmarkStart w:id="398" w:name="_Hlk172728582"/>
      <w:r w:rsidRPr="5FEEF3AA">
        <w:rPr>
          <w:rFonts w:eastAsia="Arial"/>
          <w:lang w:eastAsia="en-ZA"/>
        </w:rPr>
        <w:t xml:space="preserve">Employment Tax Incentive Act: Amendment </w:t>
      </w:r>
      <w:r w:rsidR="4AE844A7" w:rsidRPr="5FEEF3AA">
        <w:rPr>
          <w:rFonts w:eastAsia="Arial"/>
          <w:lang w:eastAsia="en-ZA"/>
        </w:rPr>
        <w:t>of</w:t>
      </w:r>
      <w:r w:rsidRPr="5FEEF3AA">
        <w:rPr>
          <w:rFonts w:eastAsia="Arial"/>
          <w:lang w:eastAsia="en-ZA"/>
        </w:rPr>
        <w:t xml:space="preserve"> section 1</w:t>
      </w:r>
    </w:p>
    <w:p w14:paraId="49CA5C57" w14:textId="77777777" w:rsidR="002420ED" w:rsidRPr="002420ED" w:rsidRDefault="002420ED" w:rsidP="002420ED">
      <w:pPr>
        <w:rPr>
          <w:b/>
          <w:bCs/>
          <w:lang w:eastAsia="en-ZA"/>
        </w:rPr>
      </w:pPr>
      <w:bookmarkStart w:id="399" w:name="_Hlk172728602"/>
      <w:bookmarkEnd w:id="398"/>
      <w:r w:rsidRPr="002420ED">
        <w:rPr>
          <w:rFonts w:eastAsia="Arial" w:cs="Arial"/>
          <w:color w:val="000000"/>
          <w:szCs w:val="22"/>
          <w:lang w:eastAsia="en-ZA"/>
        </w:rPr>
        <w:t>See notes on</w:t>
      </w:r>
      <w:r w:rsidRPr="002420ED">
        <w:rPr>
          <w:lang w:eastAsia="en-ZA"/>
        </w:rPr>
        <w:t xml:space="preserve"> </w:t>
      </w:r>
      <w:r w:rsidRPr="002420ED">
        <w:rPr>
          <w:b/>
          <w:bCs/>
          <w:lang w:eastAsia="en-ZA"/>
        </w:rPr>
        <w:t xml:space="preserve">CURBING THE ABUSE OF THE EMPLOYMENT TAX INCENTIVE SCHEME </w:t>
      </w:r>
      <w:bookmarkEnd w:id="399"/>
    </w:p>
    <w:p w14:paraId="1EC05D67" w14:textId="77777777" w:rsidR="000C622E" w:rsidRDefault="000C622E" w:rsidP="001858FC">
      <w:pPr>
        <w:rPr>
          <w:rFonts w:eastAsia="Arial"/>
          <w:b/>
          <w:bCs/>
          <w:lang w:eastAsia="en-ZA"/>
        </w:rPr>
      </w:pPr>
    </w:p>
    <w:p w14:paraId="19906F86" w14:textId="27BA621D" w:rsidR="002420ED" w:rsidRPr="00BA1CD0" w:rsidRDefault="37452259" w:rsidP="002420ED">
      <w:pPr>
        <w:jc w:val="center"/>
      </w:pPr>
      <w:r w:rsidRPr="5FEEF3AA">
        <w:rPr>
          <w:b/>
          <w:bCs/>
          <w:lang w:val="en-US"/>
        </w:rPr>
        <w:t>CLAUSE 5</w:t>
      </w:r>
      <w:r w:rsidR="1FD2A0AA" w:rsidRPr="5FEEF3AA">
        <w:rPr>
          <w:b/>
          <w:bCs/>
          <w:lang w:val="en-US"/>
        </w:rPr>
        <w:t>7</w:t>
      </w:r>
    </w:p>
    <w:p w14:paraId="3CED0225" w14:textId="3452B5D2" w:rsidR="002420ED" w:rsidRPr="002420ED" w:rsidRDefault="37452259" w:rsidP="002420ED">
      <w:pPr>
        <w:rPr>
          <w:rFonts w:eastAsia="Arial"/>
          <w:lang w:eastAsia="en-ZA"/>
        </w:rPr>
      </w:pPr>
      <w:r w:rsidRPr="5FEEF3AA">
        <w:rPr>
          <w:rFonts w:eastAsia="Arial"/>
          <w:lang w:eastAsia="en-ZA"/>
        </w:rPr>
        <w:t xml:space="preserve">Employment Tax Incentive Act: Amendment </w:t>
      </w:r>
      <w:r w:rsidR="3981D574" w:rsidRPr="5FEEF3AA">
        <w:rPr>
          <w:rFonts w:eastAsia="Arial"/>
          <w:lang w:eastAsia="en-ZA"/>
        </w:rPr>
        <w:t>of</w:t>
      </w:r>
      <w:r w:rsidRPr="5FEEF3AA">
        <w:rPr>
          <w:rFonts w:eastAsia="Arial"/>
          <w:lang w:eastAsia="en-ZA"/>
        </w:rPr>
        <w:t xml:space="preserve"> section 5</w:t>
      </w:r>
    </w:p>
    <w:p w14:paraId="6B78213A" w14:textId="64161779" w:rsidR="002420ED" w:rsidRDefault="37452259" w:rsidP="002420ED">
      <w:pPr>
        <w:rPr>
          <w:b/>
          <w:bCs/>
          <w:lang w:eastAsia="en-ZA"/>
        </w:rPr>
      </w:pPr>
      <w:r w:rsidRPr="5FEEF3AA">
        <w:rPr>
          <w:rFonts w:eastAsia="Arial" w:cs="Arial"/>
          <w:color w:val="000000" w:themeColor="text1"/>
          <w:lang w:eastAsia="en-ZA"/>
        </w:rPr>
        <w:t>See notes on</w:t>
      </w:r>
      <w:r w:rsidRPr="5FEEF3AA">
        <w:rPr>
          <w:lang w:eastAsia="en-ZA"/>
        </w:rPr>
        <w:t xml:space="preserve"> </w:t>
      </w:r>
      <w:r w:rsidRPr="5FEEF3AA">
        <w:rPr>
          <w:b/>
          <w:bCs/>
          <w:lang w:eastAsia="en-ZA"/>
        </w:rPr>
        <w:t xml:space="preserve">CURBING THE ABUSE OF THE EMPLOYMENT TAX INCENTIVE SCHEME </w:t>
      </w:r>
    </w:p>
    <w:p w14:paraId="76A2C563" w14:textId="77777777" w:rsidR="002420ED" w:rsidRPr="002420ED" w:rsidRDefault="002420ED" w:rsidP="002420ED">
      <w:pPr>
        <w:rPr>
          <w:b/>
          <w:bCs/>
          <w:lang w:eastAsia="en-ZA"/>
        </w:rPr>
      </w:pPr>
    </w:p>
    <w:p w14:paraId="04EBCFF0" w14:textId="3E8F6329" w:rsidR="002420ED" w:rsidRPr="00BA1CD0" w:rsidRDefault="37452259" w:rsidP="002420ED">
      <w:pPr>
        <w:jc w:val="center"/>
      </w:pPr>
      <w:r w:rsidRPr="5FEEF3AA">
        <w:rPr>
          <w:b/>
          <w:bCs/>
          <w:lang w:val="en-US"/>
        </w:rPr>
        <w:t xml:space="preserve">CLAUSE </w:t>
      </w:r>
      <w:r w:rsidR="620AC66C" w:rsidRPr="5FEEF3AA">
        <w:rPr>
          <w:b/>
          <w:bCs/>
          <w:lang w:val="en-US"/>
        </w:rPr>
        <w:t>58</w:t>
      </w:r>
    </w:p>
    <w:p w14:paraId="7C639623" w14:textId="1DDBEC72" w:rsidR="002420ED" w:rsidRPr="002420ED" w:rsidRDefault="37452259" w:rsidP="002420ED">
      <w:pPr>
        <w:rPr>
          <w:rFonts w:eastAsia="Arial"/>
          <w:lang w:eastAsia="en-ZA"/>
        </w:rPr>
      </w:pPr>
      <w:r w:rsidRPr="5FEEF3AA">
        <w:rPr>
          <w:rFonts w:eastAsia="Arial"/>
          <w:lang w:eastAsia="en-ZA"/>
        </w:rPr>
        <w:t xml:space="preserve">Taxation Laws Amendment Act of 2013: Amendment </w:t>
      </w:r>
      <w:r w:rsidR="777889A8" w:rsidRPr="5FEEF3AA">
        <w:rPr>
          <w:rFonts w:eastAsia="Arial"/>
          <w:lang w:eastAsia="en-ZA"/>
        </w:rPr>
        <w:t>of</w:t>
      </w:r>
      <w:r w:rsidRPr="5FEEF3AA">
        <w:rPr>
          <w:rFonts w:eastAsia="Arial"/>
          <w:lang w:eastAsia="en-ZA"/>
        </w:rPr>
        <w:t xml:space="preserve"> section 13</w:t>
      </w:r>
    </w:p>
    <w:p w14:paraId="1383B281" w14:textId="77777777" w:rsidR="002420ED" w:rsidRPr="002420ED" w:rsidRDefault="002420ED" w:rsidP="002420ED">
      <w:pPr>
        <w:rPr>
          <w:rFonts w:eastAsia="Arial"/>
          <w:lang w:eastAsia="en-ZA"/>
        </w:rPr>
      </w:pPr>
      <w:r w:rsidRPr="002420ED">
        <w:rPr>
          <w:szCs w:val="22"/>
        </w:rPr>
        <w:t>The proposed amendment postpones the effective date of amendments to sections 8F(3)(</w:t>
      </w:r>
      <w:r w:rsidRPr="002420ED">
        <w:rPr>
          <w:i/>
          <w:iCs/>
          <w:szCs w:val="22"/>
        </w:rPr>
        <w:t>b</w:t>
      </w:r>
      <w:r w:rsidRPr="002420ED">
        <w:rPr>
          <w:szCs w:val="22"/>
        </w:rPr>
        <w:t>)(ii), 8F(3)(</w:t>
      </w:r>
      <w:r w:rsidRPr="002420ED">
        <w:rPr>
          <w:i/>
          <w:iCs/>
          <w:szCs w:val="22"/>
        </w:rPr>
        <w:t>c</w:t>
      </w:r>
      <w:r w:rsidRPr="002420ED">
        <w:rPr>
          <w:szCs w:val="22"/>
        </w:rPr>
        <w:t>)(ii) and 8F(3)(</w:t>
      </w:r>
      <w:r w:rsidRPr="002420ED">
        <w:rPr>
          <w:i/>
          <w:iCs/>
          <w:szCs w:val="22"/>
        </w:rPr>
        <w:t>d</w:t>
      </w:r>
      <w:r w:rsidRPr="002420ED">
        <w:rPr>
          <w:szCs w:val="22"/>
        </w:rPr>
        <w:t>) from 1 January 2025 to 1 January 2026</w:t>
      </w:r>
    </w:p>
    <w:p w14:paraId="06596A53" w14:textId="77777777" w:rsidR="006F736D" w:rsidRDefault="006F736D" w:rsidP="001858FC">
      <w:pPr>
        <w:rPr>
          <w:rFonts w:eastAsia="Arial"/>
          <w:b/>
          <w:bCs/>
          <w:lang w:eastAsia="en-ZA"/>
        </w:rPr>
      </w:pPr>
    </w:p>
    <w:p w14:paraId="33615DB2" w14:textId="190A8F02" w:rsidR="002420ED" w:rsidRPr="00BA1CD0" w:rsidRDefault="37452259" w:rsidP="002420ED">
      <w:pPr>
        <w:jc w:val="center"/>
      </w:pPr>
      <w:r w:rsidRPr="5FEEF3AA">
        <w:rPr>
          <w:b/>
          <w:bCs/>
          <w:lang w:val="en-US"/>
        </w:rPr>
        <w:t xml:space="preserve">CLAUSE </w:t>
      </w:r>
      <w:r w:rsidR="4D647D8D" w:rsidRPr="5FEEF3AA">
        <w:rPr>
          <w:b/>
          <w:bCs/>
          <w:lang w:val="en-US"/>
        </w:rPr>
        <w:t>59</w:t>
      </w:r>
    </w:p>
    <w:p w14:paraId="626463F7" w14:textId="451CFF0A" w:rsidR="002420ED" w:rsidRPr="002420ED" w:rsidRDefault="37452259" w:rsidP="002420ED">
      <w:pPr>
        <w:rPr>
          <w:rFonts w:eastAsia="Arial"/>
          <w:lang w:eastAsia="en-ZA"/>
        </w:rPr>
      </w:pPr>
      <w:r w:rsidRPr="5FEEF3AA">
        <w:rPr>
          <w:rFonts w:eastAsia="Arial"/>
          <w:lang w:eastAsia="en-ZA"/>
        </w:rPr>
        <w:t xml:space="preserve">Taxation Laws Amendment Act of 2013: Amendment </w:t>
      </w:r>
      <w:r w:rsidR="04FCEC6C" w:rsidRPr="5FEEF3AA">
        <w:rPr>
          <w:rFonts w:eastAsia="Arial"/>
          <w:lang w:eastAsia="en-ZA"/>
        </w:rPr>
        <w:t>of</w:t>
      </w:r>
      <w:r w:rsidRPr="5FEEF3AA">
        <w:rPr>
          <w:rFonts w:eastAsia="Arial"/>
          <w:lang w:eastAsia="en-ZA"/>
        </w:rPr>
        <w:t xml:space="preserve"> section 15</w:t>
      </w:r>
    </w:p>
    <w:p w14:paraId="2F326DBA" w14:textId="4E5C8A5E" w:rsidR="002420ED" w:rsidRPr="009248A6" w:rsidRDefault="002420ED" w:rsidP="001858FC">
      <w:pPr>
        <w:rPr>
          <w:b/>
          <w:bCs/>
          <w:lang w:eastAsia="en-ZA"/>
        </w:rPr>
      </w:pPr>
      <w:r w:rsidRPr="002420ED">
        <w:rPr>
          <w:szCs w:val="22"/>
        </w:rPr>
        <w:t>The proposed amendment postpones the effective date of amendments to sections 8FA(3)(</w:t>
      </w:r>
      <w:r w:rsidRPr="002420ED">
        <w:rPr>
          <w:i/>
          <w:iCs/>
          <w:szCs w:val="22"/>
        </w:rPr>
        <w:t>b</w:t>
      </w:r>
      <w:r w:rsidRPr="002420ED">
        <w:rPr>
          <w:szCs w:val="22"/>
        </w:rPr>
        <w:t>)(ii), 8FA(3)(</w:t>
      </w:r>
      <w:r w:rsidRPr="002420ED">
        <w:rPr>
          <w:i/>
          <w:iCs/>
          <w:szCs w:val="22"/>
        </w:rPr>
        <w:t>c</w:t>
      </w:r>
      <w:r w:rsidRPr="002420ED">
        <w:rPr>
          <w:szCs w:val="22"/>
        </w:rPr>
        <w:t>)(ii) and 8FA(3)(</w:t>
      </w:r>
      <w:r w:rsidRPr="002420ED">
        <w:rPr>
          <w:i/>
          <w:iCs/>
          <w:szCs w:val="22"/>
        </w:rPr>
        <w:t>d</w:t>
      </w:r>
      <w:r w:rsidRPr="002420ED">
        <w:rPr>
          <w:szCs w:val="22"/>
        </w:rPr>
        <w:t>) from 1 January 2025 to 1 January 2026.</w:t>
      </w:r>
    </w:p>
    <w:p w14:paraId="264D296A" w14:textId="04710F22" w:rsidR="002420ED" w:rsidRPr="00BA1CD0" w:rsidRDefault="37452259" w:rsidP="002420ED">
      <w:pPr>
        <w:jc w:val="center"/>
      </w:pPr>
      <w:r w:rsidRPr="5FEEF3AA">
        <w:rPr>
          <w:b/>
          <w:bCs/>
          <w:lang w:val="en-US"/>
        </w:rPr>
        <w:t>CLAUSE 6</w:t>
      </w:r>
      <w:r w:rsidR="47A5E42A" w:rsidRPr="5FEEF3AA">
        <w:rPr>
          <w:b/>
          <w:bCs/>
          <w:lang w:val="en-US"/>
        </w:rPr>
        <w:t>0</w:t>
      </w:r>
    </w:p>
    <w:p w14:paraId="56CDA61A" w14:textId="005E3F6E" w:rsidR="002420ED" w:rsidRPr="002420ED" w:rsidRDefault="37452259" w:rsidP="002420ED">
      <w:pPr>
        <w:rPr>
          <w:rFonts w:eastAsia="Arial"/>
          <w:lang w:eastAsia="en-ZA"/>
        </w:rPr>
      </w:pPr>
      <w:r w:rsidRPr="5FEEF3AA">
        <w:rPr>
          <w:rFonts w:eastAsia="Arial"/>
          <w:lang w:eastAsia="en-ZA"/>
        </w:rPr>
        <w:t xml:space="preserve">Taxation Laws Amendment Act of 2013: Amendment </w:t>
      </w:r>
      <w:r w:rsidR="49569400" w:rsidRPr="5FEEF3AA">
        <w:rPr>
          <w:rFonts w:eastAsia="Arial"/>
          <w:lang w:eastAsia="en-ZA"/>
        </w:rPr>
        <w:t>of</w:t>
      </w:r>
      <w:r w:rsidRPr="5FEEF3AA">
        <w:rPr>
          <w:rFonts w:eastAsia="Arial"/>
          <w:lang w:eastAsia="en-ZA"/>
        </w:rPr>
        <w:t xml:space="preserve"> section 62</w:t>
      </w:r>
    </w:p>
    <w:p w14:paraId="2A6A25DD" w14:textId="3AB41BA7" w:rsidR="002420ED" w:rsidRPr="002420ED" w:rsidRDefault="37452259" w:rsidP="002420ED">
      <w:pPr>
        <w:rPr>
          <w:rFonts w:eastAsia="Arial"/>
          <w:lang w:eastAsia="en-ZA"/>
        </w:rPr>
      </w:pPr>
      <w:r w:rsidRPr="5FEEF3AA">
        <w:rPr>
          <w:rFonts w:eastAsia="Arial"/>
          <w:lang w:eastAsia="en-ZA"/>
        </w:rPr>
        <w:t>The proposed amendment postpones the effective date of amendments to section 23M</w:t>
      </w:r>
      <w:r w:rsidR="3B6FD11C" w:rsidRPr="5FEEF3AA">
        <w:rPr>
          <w:rFonts w:eastAsia="Arial"/>
          <w:lang w:eastAsia="en-ZA"/>
        </w:rPr>
        <w:t>(6)</w:t>
      </w:r>
      <w:r w:rsidRPr="5FEEF3AA">
        <w:rPr>
          <w:rFonts w:eastAsia="Arial"/>
          <w:lang w:eastAsia="en-ZA"/>
        </w:rPr>
        <w:t xml:space="preserve"> from 1 January 2025 to 1 January 2026.</w:t>
      </w:r>
    </w:p>
    <w:p w14:paraId="561B716E" w14:textId="77777777" w:rsidR="002420ED" w:rsidRDefault="002420ED" w:rsidP="001858FC">
      <w:pPr>
        <w:rPr>
          <w:rFonts w:eastAsia="Arial"/>
          <w:b/>
          <w:bCs/>
          <w:lang w:eastAsia="en-ZA"/>
        </w:rPr>
      </w:pPr>
    </w:p>
    <w:p w14:paraId="738F09E4" w14:textId="2A95B475" w:rsidR="002420ED" w:rsidRPr="00BA1CD0" w:rsidRDefault="37452259" w:rsidP="002420ED">
      <w:pPr>
        <w:jc w:val="center"/>
      </w:pPr>
      <w:bookmarkStart w:id="400" w:name="_Hlk173409403"/>
      <w:r w:rsidRPr="5FEEF3AA">
        <w:rPr>
          <w:b/>
          <w:bCs/>
          <w:lang w:val="en-US"/>
        </w:rPr>
        <w:t>CLAUSE 6</w:t>
      </w:r>
      <w:r w:rsidR="2F937B2E" w:rsidRPr="5FEEF3AA">
        <w:rPr>
          <w:b/>
          <w:bCs/>
          <w:lang w:val="en-US"/>
        </w:rPr>
        <w:t>1</w:t>
      </w:r>
    </w:p>
    <w:p w14:paraId="13A1827D" w14:textId="65CB179D" w:rsidR="47CA0E99" w:rsidRDefault="47CA0E99" w:rsidP="5FEEF3AA">
      <w:pPr>
        <w:rPr>
          <w:rFonts w:eastAsia="Arial"/>
          <w:lang w:eastAsia="en-ZA"/>
        </w:rPr>
      </w:pPr>
      <w:r w:rsidRPr="5FEEF3AA">
        <w:rPr>
          <w:rFonts w:eastAsia="Arial"/>
          <w:lang w:eastAsia="en-ZA"/>
        </w:rPr>
        <w:t>Taxation Laws Amendment Act of 2018: Amendment of section 106</w:t>
      </w:r>
    </w:p>
    <w:p w14:paraId="6DA6AD39" w14:textId="184AB6E7" w:rsidR="50C32342" w:rsidRPr="002A7E54" w:rsidRDefault="50C32342" w:rsidP="002A7E54">
      <w:pPr>
        <w:rPr>
          <w:rFonts w:eastAsia="Arial"/>
          <w:lang w:eastAsia="en-ZA"/>
        </w:rPr>
      </w:pPr>
      <w:r w:rsidRPr="002A7E54">
        <w:rPr>
          <w:rFonts w:eastAsia="Arial"/>
          <w:lang w:eastAsia="en-ZA"/>
        </w:rPr>
        <w:t>The proposed amendment updates the amendment of 2015 with sub</w:t>
      </w:r>
      <w:r w:rsidR="42E47423" w:rsidRPr="002A7E54">
        <w:rPr>
          <w:rFonts w:eastAsia="Arial"/>
          <w:lang w:eastAsia="en-ZA"/>
        </w:rPr>
        <w:t>sequent amendments to section 11(</w:t>
      </w:r>
      <w:r w:rsidR="42E47423" w:rsidRPr="004E2D78">
        <w:rPr>
          <w:i/>
          <w:iCs/>
          <w:szCs w:val="22"/>
        </w:rPr>
        <w:t>e</w:t>
      </w:r>
      <w:r w:rsidR="42E47423" w:rsidRPr="002A7E54">
        <w:rPr>
          <w:rFonts w:eastAsia="Arial"/>
          <w:lang w:eastAsia="en-ZA"/>
        </w:rPr>
        <w:t>) of the Income Tax Act.</w:t>
      </w:r>
    </w:p>
    <w:p w14:paraId="0EAD0715" w14:textId="74888701" w:rsidR="5FEEF3AA" w:rsidRDefault="5FEEF3AA" w:rsidP="5FEEF3AA">
      <w:pPr>
        <w:jc w:val="center"/>
        <w:rPr>
          <w:b/>
          <w:bCs/>
          <w:lang w:val="en-US"/>
        </w:rPr>
      </w:pPr>
    </w:p>
    <w:p w14:paraId="0C5989B0" w14:textId="10B631C5" w:rsidR="5FEEF3AA" w:rsidRDefault="47CA0E99" w:rsidP="000C622E">
      <w:pPr>
        <w:jc w:val="center"/>
        <w:rPr>
          <w:b/>
          <w:bCs/>
          <w:lang w:val="en-US"/>
        </w:rPr>
      </w:pPr>
      <w:r w:rsidRPr="5FEEF3AA">
        <w:rPr>
          <w:b/>
          <w:bCs/>
          <w:lang w:val="en-US"/>
        </w:rPr>
        <w:t>CLAUSE 62</w:t>
      </w:r>
    </w:p>
    <w:p w14:paraId="419F1414" w14:textId="77777777" w:rsidR="002420ED" w:rsidRPr="002420ED" w:rsidRDefault="002420ED" w:rsidP="002420ED">
      <w:pPr>
        <w:rPr>
          <w:rFonts w:eastAsia="Arial"/>
          <w:lang w:eastAsia="en-ZA"/>
        </w:rPr>
      </w:pPr>
      <w:r w:rsidRPr="002420ED">
        <w:rPr>
          <w:rFonts w:eastAsia="Arial"/>
          <w:lang w:eastAsia="en-ZA"/>
        </w:rPr>
        <w:t>Carbon Tax Act: Amendments to section 6</w:t>
      </w:r>
    </w:p>
    <w:p w14:paraId="0ED21F22" w14:textId="77777777" w:rsidR="002420ED" w:rsidRPr="002420ED" w:rsidRDefault="002420ED" w:rsidP="002420ED">
      <w:pPr>
        <w:rPr>
          <w:rFonts w:eastAsia="Arial"/>
          <w:b/>
          <w:bCs/>
          <w:lang w:eastAsia="en-ZA"/>
        </w:rPr>
      </w:pPr>
      <w:r w:rsidRPr="002420ED">
        <w:rPr>
          <w:rFonts w:eastAsia="Arial"/>
          <w:lang w:eastAsia="en-ZA"/>
        </w:rPr>
        <w:t xml:space="preserve">See notes on </w:t>
      </w:r>
      <w:r w:rsidRPr="002420ED">
        <w:rPr>
          <w:rFonts w:eastAsia="Arial"/>
          <w:b/>
          <w:bCs/>
          <w:lang w:eastAsia="en-ZA"/>
        </w:rPr>
        <w:t xml:space="preserve">RENEWABLE ENERGY PREMIUM DEDUCTION  </w:t>
      </w:r>
      <w:bookmarkStart w:id="401" w:name="_Hlk172643301"/>
    </w:p>
    <w:bookmarkEnd w:id="400"/>
    <w:bookmarkEnd w:id="401"/>
    <w:p w14:paraId="6EEF1BD6" w14:textId="77777777" w:rsidR="000C622E" w:rsidRDefault="000C622E" w:rsidP="001858FC">
      <w:pPr>
        <w:rPr>
          <w:rFonts w:eastAsia="Arial"/>
          <w:b/>
          <w:bCs/>
          <w:lang w:eastAsia="en-ZA"/>
        </w:rPr>
      </w:pPr>
    </w:p>
    <w:p w14:paraId="5DD85EDB" w14:textId="262DAF1B" w:rsidR="002420ED" w:rsidRPr="00BA1CD0" w:rsidRDefault="37452259" w:rsidP="002420ED">
      <w:pPr>
        <w:jc w:val="center"/>
      </w:pPr>
      <w:r w:rsidRPr="5FEEF3AA">
        <w:rPr>
          <w:b/>
          <w:bCs/>
          <w:lang w:val="en-US"/>
        </w:rPr>
        <w:t>CLAUSE 6</w:t>
      </w:r>
      <w:r w:rsidR="6E60734A" w:rsidRPr="5FEEF3AA">
        <w:rPr>
          <w:b/>
          <w:bCs/>
          <w:lang w:val="en-US"/>
        </w:rPr>
        <w:t>3</w:t>
      </w:r>
    </w:p>
    <w:p w14:paraId="6A1FFBBD" w14:textId="41A3640B" w:rsidR="002420ED" w:rsidRPr="002420ED" w:rsidRDefault="37452259" w:rsidP="002420ED">
      <w:pPr>
        <w:rPr>
          <w:rFonts w:eastAsia="Arial"/>
          <w:b/>
          <w:bCs/>
          <w:lang w:eastAsia="en-ZA"/>
        </w:rPr>
      </w:pPr>
      <w:r w:rsidRPr="5FEEF3AA">
        <w:rPr>
          <w:rFonts w:eastAsia="Arial"/>
          <w:lang w:eastAsia="en-ZA"/>
        </w:rPr>
        <w:t xml:space="preserve">Carbon Tax Act: Amendments to Schedule 1 </w:t>
      </w:r>
      <w:r w:rsidR="516E3330" w:rsidRPr="5FEEF3AA">
        <w:rPr>
          <w:rFonts w:eastAsia="Arial"/>
          <w:lang w:eastAsia="en-ZA"/>
        </w:rPr>
        <w:t>to</w:t>
      </w:r>
      <w:r w:rsidRPr="5FEEF3AA">
        <w:rPr>
          <w:rFonts w:eastAsia="Arial"/>
          <w:lang w:eastAsia="en-ZA"/>
        </w:rPr>
        <w:t xml:space="preserve"> the Carbon Tax Act of 2019</w:t>
      </w:r>
    </w:p>
    <w:p w14:paraId="68096FBA" w14:textId="554D3DBF" w:rsidR="002420ED" w:rsidRPr="002420ED" w:rsidRDefault="37452259" w:rsidP="002420ED">
      <w:pPr>
        <w:rPr>
          <w:rFonts w:eastAsia="Arial"/>
          <w:b/>
          <w:bCs/>
          <w:lang w:eastAsia="en-ZA"/>
        </w:rPr>
      </w:pPr>
      <w:r w:rsidRPr="5FEEF3AA">
        <w:rPr>
          <w:rFonts w:eastAsia="Arial"/>
          <w:lang w:eastAsia="en-ZA"/>
        </w:rPr>
        <w:t xml:space="preserve">Subclause </w:t>
      </w:r>
      <w:r w:rsidR="705989E8" w:rsidRPr="5FEEF3AA">
        <w:rPr>
          <w:rFonts w:eastAsia="Arial"/>
          <w:lang w:eastAsia="en-ZA"/>
        </w:rPr>
        <w:t>(1)</w:t>
      </w:r>
      <w:r w:rsidRPr="00D259EF">
        <w:rPr>
          <w:rFonts w:eastAsia="Arial"/>
          <w:i/>
          <w:iCs/>
          <w:lang w:eastAsia="en-ZA"/>
        </w:rPr>
        <w:t>(a)</w:t>
      </w:r>
      <w:r w:rsidRPr="5FEEF3AA">
        <w:rPr>
          <w:rFonts w:eastAsia="Arial"/>
          <w:lang w:eastAsia="en-ZA"/>
        </w:rPr>
        <w:t xml:space="preserve">: </w:t>
      </w:r>
      <w:bookmarkStart w:id="402" w:name="_Hlk172661548"/>
      <w:r w:rsidRPr="5FEEF3AA">
        <w:rPr>
          <w:rFonts w:eastAsia="Arial"/>
          <w:lang w:eastAsia="en-ZA"/>
        </w:rPr>
        <w:t xml:space="preserve">Proposed amendments to Table 1 - See notes on </w:t>
      </w:r>
      <w:r w:rsidRPr="5FEEF3AA">
        <w:rPr>
          <w:rFonts w:eastAsia="Arial"/>
          <w:b/>
          <w:bCs/>
          <w:lang w:eastAsia="en-ZA"/>
        </w:rPr>
        <w:t>ALIGNING SCHEDULE 1 OF THE CARBON TAX ACT WITH THE UPDATED GREENHOUSE GAS EMISSIONS METHODOLOGICAL GUIDELINES</w:t>
      </w:r>
      <w:bookmarkEnd w:id="402"/>
    </w:p>
    <w:p w14:paraId="4D102C41" w14:textId="5B9C5551" w:rsidR="002420ED" w:rsidRPr="002420ED" w:rsidRDefault="37452259" w:rsidP="002420ED">
      <w:pPr>
        <w:rPr>
          <w:rFonts w:eastAsia="Arial"/>
          <w:lang w:eastAsia="en-ZA"/>
        </w:rPr>
      </w:pPr>
      <w:r w:rsidRPr="5FEEF3AA">
        <w:rPr>
          <w:rFonts w:eastAsia="Arial"/>
          <w:lang w:eastAsia="en-ZA"/>
        </w:rPr>
        <w:t xml:space="preserve">Subclause </w:t>
      </w:r>
      <w:r w:rsidR="1D3BC77A" w:rsidRPr="5FEEF3AA">
        <w:rPr>
          <w:rFonts w:eastAsia="Arial"/>
          <w:lang w:eastAsia="en-ZA"/>
        </w:rPr>
        <w:t>(1)</w:t>
      </w:r>
      <w:r w:rsidRPr="00D259EF">
        <w:rPr>
          <w:rFonts w:eastAsia="Arial"/>
          <w:i/>
          <w:iCs/>
          <w:lang w:eastAsia="en-ZA"/>
        </w:rPr>
        <w:t>(b)</w:t>
      </w:r>
      <w:r w:rsidRPr="5FEEF3AA">
        <w:rPr>
          <w:rFonts w:eastAsia="Arial"/>
          <w:lang w:eastAsia="en-ZA"/>
        </w:rPr>
        <w:t xml:space="preserve">: Proposed amendments to Table 2 - See notes on </w:t>
      </w:r>
      <w:r w:rsidRPr="5FEEF3AA">
        <w:rPr>
          <w:rFonts w:eastAsia="Arial"/>
          <w:b/>
          <w:bCs/>
          <w:lang w:eastAsia="en-ZA"/>
        </w:rPr>
        <w:t xml:space="preserve">INCLUDING DEFAULT EMISSION FACTORS FOR ADDITIONAL FUGITIVE EMISSIONS SOURCE CATEGORIES  </w:t>
      </w:r>
    </w:p>
    <w:p w14:paraId="5A0FAE3C" w14:textId="2221D3B2" w:rsidR="5FEEF3AA" w:rsidRDefault="5FEEF3AA" w:rsidP="5FEEF3AA">
      <w:pPr>
        <w:rPr>
          <w:rFonts w:eastAsia="Arial"/>
          <w:b/>
          <w:bCs/>
          <w:lang w:eastAsia="en-ZA"/>
        </w:rPr>
      </w:pPr>
    </w:p>
    <w:p w14:paraId="5EC5AB91" w14:textId="53D0BEB4" w:rsidR="11AC4BC4" w:rsidRDefault="11AC4BC4" w:rsidP="5FEEF3AA">
      <w:pPr>
        <w:jc w:val="center"/>
        <w:rPr>
          <w:b/>
          <w:bCs/>
          <w:lang w:val="en-US"/>
        </w:rPr>
      </w:pPr>
      <w:r w:rsidRPr="5FEEF3AA">
        <w:rPr>
          <w:b/>
          <w:bCs/>
          <w:lang w:val="en-US"/>
        </w:rPr>
        <w:t>CLAUSE 64</w:t>
      </w:r>
    </w:p>
    <w:p w14:paraId="030F4873" w14:textId="6834E86B" w:rsidR="002A7E54" w:rsidRPr="002A7E54" w:rsidRDefault="002A7E54" w:rsidP="002A7E54">
      <w:pPr>
        <w:rPr>
          <w:rFonts w:eastAsia="Arial"/>
          <w:lang w:eastAsia="en-ZA"/>
        </w:rPr>
      </w:pPr>
      <w:r w:rsidRPr="002A7E54">
        <w:rPr>
          <w:rFonts w:eastAsia="Arial"/>
          <w:lang w:eastAsia="en-ZA"/>
        </w:rPr>
        <w:t>Carbon Tax Act: Amendments to Schedule 2 to the Carbon Tax Act of 2019</w:t>
      </w:r>
    </w:p>
    <w:p w14:paraId="7C5B19A6" w14:textId="77777777" w:rsidR="002A7E54" w:rsidRPr="002A7E54" w:rsidRDefault="002A7E54" w:rsidP="002A7E54">
      <w:pPr>
        <w:rPr>
          <w:rFonts w:eastAsia="Arial"/>
          <w:lang w:eastAsia="en-ZA"/>
        </w:rPr>
      </w:pPr>
      <w:r w:rsidRPr="002A7E54">
        <w:rPr>
          <w:rFonts w:eastAsia="Arial"/>
          <w:lang w:eastAsia="en-ZA"/>
        </w:rPr>
        <w:t xml:space="preserve">Proposed amendments to Schedule 2 - See notes on </w:t>
      </w:r>
      <w:r w:rsidRPr="002A7E54">
        <w:rPr>
          <w:rFonts w:eastAsia="Arial"/>
          <w:b/>
          <w:bCs/>
          <w:lang w:eastAsia="en-ZA"/>
        </w:rPr>
        <w:t>INCLUDING DEFAULT EMISSION FACTORS FOR ADDITIONAL FUGITIVE EMISSIONS SOURCE CATEGORIES</w:t>
      </w:r>
      <w:r w:rsidRPr="002A7E54">
        <w:rPr>
          <w:rFonts w:eastAsia="Arial"/>
          <w:lang w:eastAsia="en-ZA"/>
        </w:rPr>
        <w:t xml:space="preserve">   </w:t>
      </w:r>
    </w:p>
    <w:p w14:paraId="45616CE7" w14:textId="1AF58DD4" w:rsidR="002420ED" w:rsidRPr="001858FC" w:rsidRDefault="002420ED" w:rsidP="001858FC">
      <w:pPr>
        <w:rPr>
          <w:rFonts w:eastAsia="Arial"/>
          <w:b/>
          <w:bCs/>
          <w:lang w:eastAsia="en-ZA"/>
        </w:rPr>
      </w:pPr>
    </w:p>
    <w:p w14:paraId="0596C8DF" w14:textId="2E66DBDF" w:rsidR="002420ED" w:rsidRPr="00BA1CD0" w:rsidRDefault="002420ED" w:rsidP="002420ED">
      <w:pPr>
        <w:jc w:val="center"/>
      </w:pPr>
      <w:r w:rsidRPr="00BA1CD0">
        <w:rPr>
          <w:b/>
          <w:bCs/>
          <w:lang w:val="en-US"/>
        </w:rPr>
        <w:t xml:space="preserve">CLAUSE </w:t>
      </w:r>
      <w:r>
        <w:rPr>
          <w:b/>
          <w:bCs/>
          <w:lang w:val="en-US"/>
        </w:rPr>
        <w:t>65</w:t>
      </w:r>
    </w:p>
    <w:p w14:paraId="262D4F2F" w14:textId="6CD6C142" w:rsidR="002420ED" w:rsidRPr="002420ED" w:rsidRDefault="37452259" w:rsidP="002420ED">
      <w:pPr>
        <w:rPr>
          <w:rFonts w:eastAsia="Arial"/>
          <w:b/>
          <w:bCs/>
          <w:lang w:eastAsia="en-ZA"/>
        </w:rPr>
      </w:pPr>
      <w:r w:rsidRPr="5FEEF3AA">
        <w:rPr>
          <w:rFonts w:eastAsia="Arial"/>
          <w:lang w:eastAsia="en-ZA"/>
        </w:rPr>
        <w:t xml:space="preserve">Taxation Laws Amendment Act 20 of 2021: Amendment </w:t>
      </w:r>
      <w:r w:rsidR="2928DA7A" w:rsidRPr="5FEEF3AA">
        <w:rPr>
          <w:rFonts w:eastAsia="Arial"/>
          <w:lang w:eastAsia="en-ZA"/>
        </w:rPr>
        <w:t>of</w:t>
      </w:r>
      <w:r w:rsidRPr="5FEEF3AA">
        <w:rPr>
          <w:rFonts w:eastAsia="Arial"/>
          <w:lang w:eastAsia="en-ZA"/>
        </w:rPr>
        <w:t xml:space="preserve"> section 14  </w:t>
      </w:r>
    </w:p>
    <w:p w14:paraId="33437838" w14:textId="05C10441" w:rsidR="002420ED" w:rsidRPr="002420ED" w:rsidRDefault="37452259" w:rsidP="4DA829A6">
      <w:pPr>
        <w:rPr>
          <w:rFonts w:eastAsia="Arial"/>
          <w:b/>
          <w:bCs/>
          <w:lang w:eastAsia="en-ZA"/>
        </w:rPr>
      </w:pPr>
      <w:r w:rsidRPr="5FEEF3AA">
        <w:rPr>
          <w:rFonts w:eastAsia="Arial"/>
          <w:lang w:eastAsia="en-ZA"/>
        </w:rPr>
        <w:t xml:space="preserve">The proposed amendment seeks to extend the learnership tax incentive by another three years, to </w:t>
      </w:r>
      <w:r w:rsidR="3B6645D1" w:rsidRPr="5FEEF3AA">
        <w:rPr>
          <w:rFonts w:eastAsia="Arial"/>
          <w:lang w:eastAsia="en-ZA"/>
        </w:rPr>
        <w:t>3</w:t>
      </w:r>
      <w:r w:rsidRPr="5FEEF3AA">
        <w:rPr>
          <w:rFonts w:eastAsia="Arial"/>
          <w:lang w:eastAsia="en-ZA"/>
        </w:rPr>
        <w:t xml:space="preserve">1 </w:t>
      </w:r>
      <w:r w:rsidR="72F359EB" w:rsidRPr="5FEEF3AA">
        <w:rPr>
          <w:rFonts w:eastAsia="Arial"/>
          <w:lang w:eastAsia="en-ZA"/>
        </w:rPr>
        <w:t>March</w:t>
      </w:r>
      <w:r w:rsidRPr="5FEEF3AA">
        <w:rPr>
          <w:rFonts w:eastAsia="Arial"/>
          <w:lang w:eastAsia="en-ZA"/>
        </w:rPr>
        <w:t xml:space="preserve"> 2027, in line with the Minister’s 2024 Budget announcement to further facilitate the evaluation of the tax incentive.</w:t>
      </w:r>
    </w:p>
    <w:p w14:paraId="1017506A" w14:textId="77777777" w:rsidR="006F736D" w:rsidRDefault="006F736D" w:rsidP="002420ED">
      <w:pPr>
        <w:rPr>
          <w:rFonts w:eastAsia="Arial"/>
          <w:b/>
          <w:bCs/>
          <w:lang w:eastAsia="en-ZA"/>
        </w:rPr>
      </w:pPr>
    </w:p>
    <w:p w14:paraId="569D645B" w14:textId="4F596E18" w:rsidR="002420ED" w:rsidRPr="00BA1CD0" w:rsidRDefault="37452259" w:rsidP="002420ED">
      <w:pPr>
        <w:jc w:val="center"/>
      </w:pPr>
      <w:bookmarkStart w:id="403" w:name="_Hlk173409546"/>
      <w:r w:rsidRPr="5FEEF3AA">
        <w:rPr>
          <w:b/>
          <w:bCs/>
          <w:lang w:val="en-US"/>
        </w:rPr>
        <w:t>CLAUSE 6</w:t>
      </w:r>
      <w:r w:rsidR="186074D4" w:rsidRPr="5FEEF3AA">
        <w:rPr>
          <w:b/>
          <w:bCs/>
          <w:lang w:val="en-US"/>
        </w:rPr>
        <w:t>6</w:t>
      </w:r>
    </w:p>
    <w:p w14:paraId="1687B459" w14:textId="65224D1B" w:rsidR="002420ED" w:rsidRPr="002420ED" w:rsidRDefault="37452259" w:rsidP="002420ED">
      <w:pPr>
        <w:rPr>
          <w:rFonts w:eastAsia="Arial"/>
          <w:lang w:eastAsia="en-ZA"/>
        </w:rPr>
      </w:pPr>
      <w:r w:rsidRPr="5FEEF3AA">
        <w:rPr>
          <w:rFonts w:eastAsia="Arial"/>
          <w:lang w:eastAsia="en-ZA"/>
        </w:rPr>
        <w:t>Taxation Laws Amendment Act 17 of 2023: Amendments to section 12</w:t>
      </w:r>
      <w:r w:rsidR="002420ED">
        <w:tab/>
      </w:r>
      <w:r w:rsidRPr="5FEEF3AA">
        <w:rPr>
          <w:rFonts w:eastAsia="Arial"/>
          <w:lang w:eastAsia="en-ZA"/>
        </w:rPr>
        <w:t xml:space="preserve"> </w:t>
      </w:r>
    </w:p>
    <w:p w14:paraId="6F1E6E2E" w14:textId="34E165A3" w:rsidR="002420ED" w:rsidRPr="002420ED" w:rsidRDefault="37452259" w:rsidP="4DA829A6">
      <w:pPr>
        <w:rPr>
          <w:rFonts w:eastAsia="Arial"/>
          <w:lang w:eastAsia="en-ZA"/>
        </w:rPr>
      </w:pPr>
      <w:r w:rsidRPr="5FEEF3AA">
        <w:rPr>
          <w:rFonts w:eastAsia="Arial"/>
          <w:lang w:eastAsia="en-ZA"/>
        </w:rPr>
        <w:t xml:space="preserve">The proposed amendments are consequential corrections to amendments made in 2023 regarding various refinements made to research and development tax incentive. </w:t>
      </w:r>
    </w:p>
    <w:bookmarkEnd w:id="403"/>
    <w:p w14:paraId="6E920478" w14:textId="77777777" w:rsidR="002420ED" w:rsidRDefault="002420ED" w:rsidP="002420ED">
      <w:pPr>
        <w:rPr>
          <w:rFonts w:eastAsia="Arial"/>
          <w:b/>
          <w:bCs/>
          <w:lang w:eastAsia="en-ZA"/>
        </w:rPr>
      </w:pPr>
    </w:p>
    <w:p w14:paraId="7762F299" w14:textId="3370940B" w:rsidR="002420ED" w:rsidRPr="00BA1CD0" w:rsidRDefault="37452259" w:rsidP="002420ED">
      <w:pPr>
        <w:jc w:val="center"/>
      </w:pPr>
      <w:r w:rsidRPr="5FEEF3AA">
        <w:rPr>
          <w:b/>
          <w:bCs/>
          <w:lang w:val="en-US"/>
        </w:rPr>
        <w:t>CLAUSE 6</w:t>
      </w:r>
      <w:r w:rsidR="468B281E" w:rsidRPr="5FEEF3AA">
        <w:rPr>
          <w:b/>
          <w:bCs/>
          <w:lang w:val="en-US"/>
        </w:rPr>
        <w:t>7</w:t>
      </w:r>
    </w:p>
    <w:p w14:paraId="7DCF4621" w14:textId="00EC2831" w:rsidR="002420ED" w:rsidRPr="002420ED" w:rsidRDefault="37452259" w:rsidP="002420ED">
      <w:pPr>
        <w:rPr>
          <w:rFonts w:eastAsia="Arial"/>
          <w:lang w:eastAsia="en-ZA"/>
        </w:rPr>
      </w:pPr>
      <w:bookmarkStart w:id="404" w:name="_Hlk173397693"/>
      <w:r w:rsidRPr="5FEEF3AA">
        <w:rPr>
          <w:rFonts w:eastAsia="Arial"/>
          <w:lang w:eastAsia="en-ZA"/>
        </w:rPr>
        <w:t>Taxation Laws Amendment Act 17 of 2023: Amendment to section 14</w:t>
      </w:r>
      <w:r w:rsidR="002420ED">
        <w:tab/>
      </w:r>
      <w:r w:rsidRPr="5FEEF3AA">
        <w:rPr>
          <w:rFonts w:eastAsia="Arial"/>
          <w:lang w:eastAsia="en-ZA"/>
        </w:rPr>
        <w:t xml:space="preserve"> </w:t>
      </w:r>
    </w:p>
    <w:p w14:paraId="13C26969" w14:textId="202C2F80" w:rsidR="002420ED" w:rsidRDefault="37452259" w:rsidP="4DA829A6">
      <w:pPr>
        <w:rPr>
          <w:rFonts w:eastAsia="Arial"/>
          <w:lang w:eastAsia="en-ZA"/>
        </w:rPr>
      </w:pPr>
      <w:r w:rsidRPr="5FEEF3AA">
        <w:rPr>
          <w:rFonts w:eastAsia="Arial"/>
          <w:lang w:eastAsia="en-ZA"/>
        </w:rPr>
        <w:t xml:space="preserve">In 2023, Government inserted section 11G of the Act as a measure to replace SARS Practice Note 31 of 1994. After the publication of the Taxation Laws Amendment Act, 2023, comments were received from various stakeholders about certain reservations </w:t>
      </w:r>
      <w:r w:rsidR="328C8184" w:rsidRPr="5FEEF3AA">
        <w:rPr>
          <w:rFonts w:eastAsia="Arial"/>
          <w:lang w:eastAsia="en-ZA"/>
        </w:rPr>
        <w:t>regarding</w:t>
      </w:r>
      <w:r w:rsidRPr="5FEEF3AA">
        <w:rPr>
          <w:rFonts w:eastAsia="Arial"/>
          <w:lang w:eastAsia="en-ZA"/>
        </w:rPr>
        <w:t xml:space="preserve"> section 11G of the Act. The proposed amendment seeks to postpone the effective date of this provision until 1 January 2026 to allow for further engagement between Government and stakeholders.</w:t>
      </w:r>
    </w:p>
    <w:p w14:paraId="7FF77BD4" w14:textId="77777777" w:rsidR="002420ED" w:rsidRDefault="002420ED" w:rsidP="002420ED">
      <w:pPr>
        <w:rPr>
          <w:rFonts w:eastAsia="Arial"/>
          <w:lang w:eastAsia="en-ZA"/>
        </w:rPr>
      </w:pPr>
    </w:p>
    <w:p w14:paraId="4EF5519E" w14:textId="5A270755" w:rsidR="002420ED" w:rsidRPr="00BA1CD0" w:rsidRDefault="37452259" w:rsidP="002420ED">
      <w:pPr>
        <w:jc w:val="center"/>
      </w:pPr>
      <w:bookmarkStart w:id="405" w:name="_Hlk173409599"/>
      <w:r w:rsidRPr="5FEEF3AA">
        <w:rPr>
          <w:b/>
          <w:bCs/>
          <w:lang w:val="en-US"/>
        </w:rPr>
        <w:t>CLAUSE 6</w:t>
      </w:r>
      <w:r w:rsidR="7A974433" w:rsidRPr="5FEEF3AA">
        <w:rPr>
          <w:b/>
          <w:bCs/>
          <w:lang w:val="en-US"/>
        </w:rPr>
        <w:t>8</w:t>
      </w:r>
    </w:p>
    <w:p w14:paraId="2CAF80DD" w14:textId="77777777" w:rsidR="002420ED" w:rsidRPr="002420ED" w:rsidRDefault="002420ED" w:rsidP="002420ED">
      <w:pPr>
        <w:rPr>
          <w:rFonts w:eastAsia="Arial"/>
          <w:lang w:eastAsia="en-ZA"/>
        </w:rPr>
      </w:pPr>
      <w:r w:rsidRPr="002420ED">
        <w:rPr>
          <w:rFonts w:eastAsia="Arial"/>
          <w:lang w:eastAsia="en-ZA"/>
        </w:rPr>
        <w:t xml:space="preserve">Taxation Laws Amendment Act 17 of 2023: Amendments to section 47 </w:t>
      </w:r>
    </w:p>
    <w:p w14:paraId="4F2E666A" w14:textId="526A1629" w:rsidR="002420ED" w:rsidRPr="002420ED" w:rsidRDefault="37452259" w:rsidP="002420ED">
      <w:pPr>
        <w:rPr>
          <w:rFonts w:eastAsia="Arial"/>
          <w:lang w:eastAsia="en-ZA"/>
        </w:rPr>
      </w:pPr>
      <w:r w:rsidRPr="5FEEF3AA">
        <w:rPr>
          <w:rFonts w:eastAsia="Arial"/>
          <w:lang w:eastAsia="en-ZA"/>
        </w:rPr>
        <w:t xml:space="preserve">The proposed amendment is a technical correction and </w:t>
      </w:r>
      <w:r w:rsidR="1CAE9F82" w:rsidRPr="5FEEF3AA">
        <w:rPr>
          <w:rFonts w:eastAsia="Arial"/>
          <w:lang w:eastAsia="en-ZA"/>
        </w:rPr>
        <w:t xml:space="preserve">is </w:t>
      </w:r>
      <w:r w:rsidRPr="5FEEF3AA">
        <w:rPr>
          <w:rFonts w:eastAsia="Arial"/>
          <w:lang w:eastAsia="en-ZA"/>
        </w:rPr>
        <w:t>consequential to amendments made in 2023 to update the reference from IAS 39 in the definition of “derivative” to the relevant International Financial Reporting Standards (“IFRS”), which is, IFRS 9 Financial Instruments.</w:t>
      </w:r>
      <w:bookmarkEnd w:id="405"/>
    </w:p>
    <w:bookmarkEnd w:id="404"/>
    <w:p w14:paraId="0136420D" w14:textId="77777777" w:rsidR="002420ED" w:rsidRPr="002420ED" w:rsidRDefault="002420ED" w:rsidP="002420ED">
      <w:pPr>
        <w:rPr>
          <w:rFonts w:eastAsia="Arial"/>
          <w:b/>
          <w:bCs/>
          <w:lang w:eastAsia="en-ZA"/>
        </w:rPr>
      </w:pPr>
    </w:p>
    <w:p w14:paraId="4C0D43A0" w14:textId="410FB21E" w:rsidR="002420ED" w:rsidRPr="00BA1CD0" w:rsidRDefault="37452259" w:rsidP="002420ED">
      <w:pPr>
        <w:jc w:val="center"/>
      </w:pPr>
      <w:r w:rsidRPr="5FEEF3AA">
        <w:rPr>
          <w:b/>
          <w:bCs/>
          <w:lang w:val="en-US"/>
        </w:rPr>
        <w:t xml:space="preserve">CLAUSE </w:t>
      </w:r>
      <w:r w:rsidR="28DDD14D" w:rsidRPr="5FEEF3AA">
        <w:rPr>
          <w:b/>
          <w:bCs/>
          <w:lang w:val="en-US"/>
        </w:rPr>
        <w:t>69</w:t>
      </w:r>
    </w:p>
    <w:p w14:paraId="25B34E97" w14:textId="77777777" w:rsidR="002420ED" w:rsidRDefault="002420ED" w:rsidP="002420ED">
      <w:pPr>
        <w:rPr>
          <w:rFonts w:eastAsia="Arial"/>
          <w:lang w:eastAsia="en-ZA"/>
        </w:rPr>
      </w:pPr>
      <w:r w:rsidRPr="002420ED">
        <w:rPr>
          <w:rFonts w:eastAsia="Arial"/>
          <w:lang w:eastAsia="en-ZA"/>
        </w:rPr>
        <w:t xml:space="preserve">Short title and commencement </w:t>
      </w:r>
    </w:p>
    <w:p w14:paraId="428E8943" w14:textId="77777777" w:rsidR="002420ED" w:rsidRDefault="002420ED" w:rsidP="002420ED">
      <w:pPr>
        <w:rPr>
          <w:rFonts w:eastAsia="Arial"/>
          <w:lang w:eastAsia="en-ZA"/>
        </w:rPr>
      </w:pPr>
    </w:p>
    <w:p w14:paraId="0B2A386C" w14:textId="77777777" w:rsidR="002420ED" w:rsidRPr="002420ED" w:rsidRDefault="002420ED" w:rsidP="002420ED">
      <w:pPr>
        <w:rPr>
          <w:rFonts w:eastAsia="Arial"/>
          <w:lang w:eastAsia="en-ZA"/>
        </w:rPr>
      </w:pPr>
    </w:p>
    <w:p w14:paraId="4FA05C3F" w14:textId="77777777" w:rsidR="002420ED" w:rsidRDefault="002420ED" w:rsidP="002420ED">
      <w:pPr>
        <w:jc w:val="center"/>
        <w:rPr>
          <w:rFonts w:eastAsia="Calibri"/>
          <w:lang w:val="en-US"/>
        </w:rPr>
      </w:pPr>
      <w:r w:rsidRPr="000B3880">
        <w:rPr>
          <w:rFonts w:eastAsia="Calibri"/>
          <w:lang w:val="en-US"/>
        </w:rPr>
        <w:t>_</w:t>
      </w:r>
      <w:r>
        <w:rPr>
          <w:rFonts w:eastAsia="Calibri"/>
          <w:lang w:val="en-US"/>
        </w:rPr>
        <w:t>___________________________</w:t>
      </w:r>
    </w:p>
    <w:p w14:paraId="46F70E18" w14:textId="77777777" w:rsidR="001858FC" w:rsidRPr="00EE4742" w:rsidRDefault="001858FC" w:rsidP="006F736D">
      <w:pPr>
        <w:tabs>
          <w:tab w:val="center" w:pos="4760"/>
        </w:tabs>
        <w:spacing w:after="224"/>
        <w:jc w:val="left"/>
      </w:pPr>
    </w:p>
    <w:sectPr w:rsidR="001858FC" w:rsidRPr="00EE4742" w:rsidSect="00FA4EFB">
      <w:headerReference w:type="default" r:id="rId20"/>
      <w:footerReference w:type="even" r:id="rId21"/>
      <w:footerReference w:type="default" r:id="rId22"/>
      <w:headerReference w:type="first" r:id="rId23"/>
      <w:footerReference w:type="first" r:id="rId24"/>
      <w:pgSz w:w="12240" w:h="15840"/>
      <w:pgMar w:top="-1205" w:right="1418" w:bottom="1276" w:left="1418"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95A4" w14:textId="77777777" w:rsidR="00DB7466" w:rsidRDefault="00DB7466" w:rsidP="00AD4EA1">
      <w:r>
        <w:separator/>
      </w:r>
    </w:p>
    <w:p w14:paraId="1EAD97B6" w14:textId="77777777" w:rsidR="00DB7466" w:rsidRDefault="00DB7466" w:rsidP="00AD4EA1"/>
    <w:p w14:paraId="04A1E083" w14:textId="77777777" w:rsidR="00DB7466" w:rsidRDefault="00DB7466" w:rsidP="00AD4EA1"/>
    <w:p w14:paraId="512EA854" w14:textId="77777777" w:rsidR="00DB7466" w:rsidRDefault="00DB7466" w:rsidP="00AD4EA1"/>
    <w:p w14:paraId="05FC74D6" w14:textId="77777777" w:rsidR="00DB7466" w:rsidRDefault="00DB7466" w:rsidP="00AD4EA1"/>
    <w:p w14:paraId="411AF2CF" w14:textId="77777777" w:rsidR="00DB7466" w:rsidRDefault="00DB7466" w:rsidP="00AD4EA1"/>
    <w:p w14:paraId="41E1CA76" w14:textId="77777777" w:rsidR="00DB7466" w:rsidRDefault="00DB7466" w:rsidP="00AD4EA1"/>
    <w:p w14:paraId="0E20F3DA" w14:textId="77777777" w:rsidR="00DB7466" w:rsidRDefault="00DB7466" w:rsidP="00AD4EA1"/>
    <w:p w14:paraId="2137A3A6" w14:textId="77777777" w:rsidR="00DB7466" w:rsidRDefault="00DB7466" w:rsidP="00AD4EA1"/>
    <w:p w14:paraId="6E8DECA5" w14:textId="77777777" w:rsidR="00DB7466" w:rsidRDefault="00DB7466" w:rsidP="00AD4EA1"/>
    <w:p w14:paraId="55BC71DF" w14:textId="77777777" w:rsidR="00DB7466" w:rsidRDefault="00DB7466" w:rsidP="00AD4EA1"/>
    <w:p w14:paraId="396962A3" w14:textId="77777777" w:rsidR="00DB7466" w:rsidRDefault="00DB7466" w:rsidP="00AD4EA1"/>
    <w:p w14:paraId="1AF9CCE7" w14:textId="77777777" w:rsidR="00DB7466" w:rsidRDefault="00DB7466" w:rsidP="00AD4EA1"/>
    <w:p w14:paraId="7C366A8B" w14:textId="77777777" w:rsidR="00DB7466" w:rsidRDefault="00DB7466" w:rsidP="00AD4EA1"/>
    <w:p w14:paraId="4EA25247" w14:textId="77777777" w:rsidR="00DB7466" w:rsidRDefault="00DB7466" w:rsidP="00AD4EA1"/>
    <w:p w14:paraId="443B4A54" w14:textId="77777777" w:rsidR="00DB7466" w:rsidRDefault="00DB7466" w:rsidP="00AD4EA1"/>
    <w:p w14:paraId="319F5EDE" w14:textId="77777777" w:rsidR="00DB7466" w:rsidRDefault="00DB7466" w:rsidP="00AD4EA1"/>
    <w:p w14:paraId="4A074922" w14:textId="77777777" w:rsidR="00DB7466" w:rsidRDefault="00DB7466" w:rsidP="00AD4EA1"/>
    <w:p w14:paraId="148D7911" w14:textId="77777777" w:rsidR="00DB7466" w:rsidRDefault="00DB7466" w:rsidP="00AD4EA1"/>
    <w:p w14:paraId="126A413E" w14:textId="77777777" w:rsidR="00DB7466" w:rsidRDefault="00DB7466" w:rsidP="00AD4EA1"/>
    <w:p w14:paraId="1155A69E" w14:textId="77777777" w:rsidR="00DB7466" w:rsidRDefault="00DB7466" w:rsidP="00AD4EA1"/>
    <w:p w14:paraId="1DE5ACA1" w14:textId="77777777" w:rsidR="00DB7466" w:rsidRDefault="00DB7466" w:rsidP="00AD4EA1"/>
    <w:p w14:paraId="0F1C5CEE" w14:textId="77777777" w:rsidR="00DB7466" w:rsidRDefault="00DB7466" w:rsidP="00AD4EA1"/>
    <w:p w14:paraId="4E25D207" w14:textId="77777777" w:rsidR="00DB7466" w:rsidRDefault="00DB7466" w:rsidP="00AD4EA1"/>
    <w:p w14:paraId="1BF73FE5" w14:textId="77777777" w:rsidR="00DB7466" w:rsidRDefault="00DB7466" w:rsidP="00AD4EA1"/>
    <w:p w14:paraId="775AF680" w14:textId="77777777" w:rsidR="00DB7466" w:rsidRDefault="00DB7466" w:rsidP="00AD4EA1"/>
    <w:p w14:paraId="77AF832F" w14:textId="77777777" w:rsidR="00DB7466" w:rsidRDefault="00DB7466" w:rsidP="00AD4EA1"/>
    <w:p w14:paraId="2348977D" w14:textId="77777777" w:rsidR="00DB7466" w:rsidRDefault="00DB7466" w:rsidP="00AD4EA1"/>
    <w:p w14:paraId="32E8622A" w14:textId="77777777" w:rsidR="00DB7466" w:rsidRDefault="00DB7466" w:rsidP="00AD4EA1"/>
    <w:p w14:paraId="180AB13D" w14:textId="77777777" w:rsidR="00DB7466" w:rsidRDefault="00DB7466" w:rsidP="00AD4EA1"/>
    <w:p w14:paraId="6D3E2BAD" w14:textId="77777777" w:rsidR="00DB7466" w:rsidRDefault="00DB7466" w:rsidP="00AD4EA1"/>
    <w:p w14:paraId="051E86BC" w14:textId="77777777" w:rsidR="00DB7466" w:rsidRDefault="00DB7466" w:rsidP="00AD4EA1"/>
    <w:p w14:paraId="7F238993" w14:textId="77777777" w:rsidR="00DB7466" w:rsidRDefault="00DB7466" w:rsidP="00AD4EA1"/>
    <w:p w14:paraId="1161BDD9" w14:textId="77777777" w:rsidR="00DB7466" w:rsidRDefault="00DB7466" w:rsidP="00AD4EA1"/>
    <w:p w14:paraId="6DBCE19B" w14:textId="77777777" w:rsidR="00DB7466" w:rsidRDefault="00DB7466" w:rsidP="00AD4EA1"/>
    <w:p w14:paraId="0227E4DC" w14:textId="77777777" w:rsidR="00DB7466" w:rsidRDefault="00DB7466" w:rsidP="00AD4EA1"/>
    <w:p w14:paraId="4F836E9D" w14:textId="77777777" w:rsidR="00DB7466" w:rsidRDefault="00DB7466" w:rsidP="00AD4EA1"/>
    <w:p w14:paraId="00375AB4" w14:textId="77777777" w:rsidR="00DB7466" w:rsidRDefault="00DB7466" w:rsidP="00AD4EA1"/>
    <w:p w14:paraId="669F5174" w14:textId="77777777" w:rsidR="00DB7466" w:rsidRDefault="00DB7466" w:rsidP="00AD4EA1"/>
    <w:p w14:paraId="0904B37A" w14:textId="77777777" w:rsidR="00DB7466" w:rsidRDefault="00DB7466" w:rsidP="00AD4EA1"/>
    <w:p w14:paraId="1465F324" w14:textId="77777777" w:rsidR="00DB7466" w:rsidRDefault="00DB7466" w:rsidP="00AD4EA1"/>
    <w:p w14:paraId="262D58D0" w14:textId="77777777" w:rsidR="00DB7466" w:rsidRDefault="00DB7466" w:rsidP="00AD4EA1"/>
    <w:p w14:paraId="34B4E7E6" w14:textId="77777777" w:rsidR="00DB7466" w:rsidRDefault="00DB7466" w:rsidP="00AD4EA1"/>
    <w:p w14:paraId="1B312F35" w14:textId="77777777" w:rsidR="00DB7466" w:rsidRDefault="00DB7466" w:rsidP="00AD4EA1"/>
    <w:p w14:paraId="48ECD720" w14:textId="77777777" w:rsidR="00DB7466" w:rsidRDefault="00DB7466" w:rsidP="00AD4EA1"/>
    <w:p w14:paraId="4105BC6B" w14:textId="77777777" w:rsidR="00DB7466" w:rsidRDefault="00DB7466" w:rsidP="00AD4EA1"/>
    <w:p w14:paraId="141A2DE4" w14:textId="77777777" w:rsidR="00DB7466" w:rsidRDefault="00DB7466" w:rsidP="00AD4EA1"/>
    <w:p w14:paraId="4B5F2F36" w14:textId="77777777" w:rsidR="00DB7466" w:rsidRDefault="00DB7466" w:rsidP="00AD4EA1"/>
    <w:p w14:paraId="1DA30AFA" w14:textId="77777777" w:rsidR="00DB7466" w:rsidRDefault="00DB7466" w:rsidP="00AD4EA1"/>
    <w:p w14:paraId="12E8E2ED" w14:textId="77777777" w:rsidR="00DB7466" w:rsidRDefault="00DB7466" w:rsidP="00AD4EA1"/>
    <w:p w14:paraId="0B566A3A" w14:textId="77777777" w:rsidR="00DB7466" w:rsidRDefault="00DB7466" w:rsidP="00AD4EA1"/>
    <w:p w14:paraId="0D35FB88" w14:textId="77777777" w:rsidR="00DB7466" w:rsidRDefault="00DB7466" w:rsidP="00AD4EA1"/>
    <w:p w14:paraId="6AFF3651" w14:textId="77777777" w:rsidR="00DB7466" w:rsidRDefault="00DB7466" w:rsidP="00AD4EA1"/>
    <w:p w14:paraId="5BD3BE2E" w14:textId="77777777" w:rsidR="00DB7466" w:rsidRDefault="00DB7466" w:rsidP="00AD4EA1"/>
    <w:p w14:paraId="6533D52F" w14:textId="77777777" w:rsidR="00DB7466" w:rsidRDefault="00DB7466" w:rsidP="00AD4EA1"/>
    <w:p w14:paraId="10864A30" w14:textId="77777777" w:rsidR="00DB7466" w:rsidRDefault="00DB7466" w:rsidP="00AD4EA1"/>
    <w:p w14:paraId="0AD8CC50" w14:textId="77777777" w:rsidR="00DB7466" w:rsidRDefault="00DB7466" w:rsidP="00AD4EA1"/>
    <w:p w14:paraId="3A22C75E" w14:textId="77777777" w:rsidR="00DB7466" w:rsidRDefault="00DB7466" w:rsidP="00AD4EA1"/>
    <w:p w14:paraId="634744BA" w14:textId="77777777" w:rsidR="00DB7466" w:rsidRDefault="00DB7466" w:rsidP="00AD4EA1"/>
    <w:p w14:paraId="40247CC5" w14:textId="77777777" w:rsidR="00DB7466" w:rsidRDefault="00DB7466" w:rsidP="00AD4EA1"/>
    <w:p w14:paraId="52D36C4E" w14:textId="77777777" w:rsidR="00DB7466" w:rsidRDefault="00DB7466" w:rsidP="00AD4EA1"/>
    <w:p w14:paraId="13EEC4E7" w14:textId="77777777" w:rsidR="00DB7466" w:rsidRDefault="00DB7466" w:rsidP="00AD4EA1"/>
    <w:p w14:paraId="4A04A038" w14:textId="77777777" w:rsidR="00DB7466" w:rsidRDefault="00DB7466" w:rsidP="00AD4EA1"/>
    <w:p w14:paraId="2E835711" w14:textId="77777777" w:rsidR="00DB7466" w:rsidRDefault="00DB7466" w:rsidP="00AD4EA1"/>
    <w:p w14:paraId="7FAFEF07" w14:textId="77777777" w:rsidR="00DB7466" w:rsidRDefault="00DB7466" w:rsidP="00AD4EA1"/>
    <w:p w14:paraId="1B71E72A" w14:textId="77777777" w:rsidR="00DB7466" w:rsidRDefault="00DB7466" w:rsidP="00AD4EA1"/>
    <w:p w14:paraId="7BBE0767" w14:textId="77777777" w:rsidR="00DB7466" w:rsidRDefault="00DB7466" w:rsidP="00AD4EA1"/>
    <w:p w14:paraId="442EEFC1" w14:textId="77777777" w:rsidR="00DB7466" w:rsidRDefault="00DB7466" w:rsidP="00AD4EA1"/>
    <w:p w14:paraId="57B0AA56" w14:textId="77777777" w:rsidR="00DB7466" w:rsidRDefault="00DB7466" w:rsidP="00AD4EA1"/>
    <w:p w14:paraId="2F837C4F" w14:textId="77777777" w:rsidR="00DB7466" w:rsidRDefault="00DB7466" w:rsidP="00AD4EA1"/>
    <w:p w14:paraId="6244BF16" w14:textId="77777777" w:rsidR="00DB7466" w:rsidRDefault="00DB7466" w:rsidP="00AD4EA1"/>
    <w:p w14:paraId="02638769" w14:textId="77777777" w:rsidR="00DB7466" w:rsidRDefault="00DB7466" w:rsidP="00AD4EA1"/>
    <w:p w14:paraId="3F4E8782" w14:textId="77777777" w:rsidR="00DB7466" w:rsidRDefault="00DB7466" w:rsidP="00AD4EA1"/>
    <w:p w14:paraId="42B16131" w14:textId="77777777" w:rsidR="00DB7466" w:rsidRDefault="00DB7466" w:rsidP="00AD4EA1"/>
    <w:p w14:paraId="29EA72EA" w14:textId="77777777" w:rsidR="00DB7466" w:rsidRDefault="00DB7466" w:rsidP="00AD4EA1"/>
    <w:p w14:paraId="224733E1" w14:textId="77777777" w:rsidR="00DB7466" w:rsidRDefault="00DB7466" w:rsidP="00AD4EA1"/>
    <w:p w14:paraId="209E1369" w14:textId="77777777" w:rsidR="00DB7466" w:rsidRDefault="00DB7466" w:rsidP="00AD4EA1"/>
    <w:p w14:paraId="6B5B605C" w14:textId="77777777" w:rsidR="00DB7466" w:rsidRDefault="00DB7466" w:rsidP="00AD4EA1"/>
    <w:p w14:paraId="2B8C929F" w14:textId="77777777" w:rsidR="00DB7466" w:rsidRDefault="00DB7466" w:rsidP="00AD4EA1"/>
    <w:p w14:paraId="4AE1B880" w14:textId="77777777" w:rsidR="00DB7466" w:rsidRDefault="00DB7466" w:rsidP="00AD4EA1"/>
    <w:p w14:paraId="506FDF11" w14:textId="77777777" w:rsidR="00DB7466" w:rsidRDefault="00DB7466" w:rsidP="00AD4EA1"/>
    <w:p w14:paraId="6ECD5D79" w14:textId="77777777" w:rsidR="00DB7466" w:rsidRDefault="00DB7466" w:rsidP="00AD4EA1"/>
    <w:p w14:paraId="5787E40A" w14:textId="77777777" w:rsidR="00DB7466" w:rsidRDefault="00DB7466" w:rsidP="00AD4EA1"/>
    <w:p w14:paraId="134441DB" w14:textId="77777777" w:rsidR="00DB7466" w:rsidRDefault="00DB7466" w:rsidP="00AD4EA1"/>
    <w:p w14:paraId="3C9F2974" w14:textId="77777777" w:rsidR="00DB7466" w:rsidRDefault="00DB7466" w:rsidP="00AD4EA1"/>
    <w:p w14:paraId="41061823" w14:textId="77777777" w:rsidR="00DB7466" w:rsidRDefault="00DB7466" w:rsidP="00AD4EA1"/>
    <w:p w14:paraId="21D8DE1E" w14:textId="77777777" w:rsidR="00DB7466" w:rsidRDefault="00DB7466" w:rsidP="00AD4EA1"/>
    <w:p w14:paraId="17CDF1DA" w14:textId="77777777" w:rsidR="00DB7466" w:rsidRDefault="00DB7466" w:rsidP="00AD4EA1"/>
    <w:p w14:paraId="52C40093" w14:textId="77777777" w:rsidR="00DB7466" w:rsidRDefault="00DB7466" w:rsidP="00AD4EA1"/>
    <w:p w14:paraId="4456F313" w14:textId="77777777" w:rsidR="00DB7466" w:rsidRDefault="00DB7466" w:rsidP="00AD4EA1"/>
    <w:p w14:paraId="56B7FA6A" w14:textId="77777777" w:rsidR="00DB7466" w:rsidRDefault="00DB7466" w:rsidP="00AD4EA1"/>
    <w:p w14:paraId="6B0E9E87" w14:textId="77777777" w:rsidR="00DB7466" w:rsidRDefault="00DB7466" w:rsidP="00AD4EA1"/>
    <w:p w14:paraId="2AE4A212" w14:textId="77777777" w:rsidR="00DB7466" w:rsidRDefault="00DB7466" w:rsidP="00AD4EA1"/>
    <w:p w14:paraId="202A5E4A" w14:textId="77777777" w:rsidR="00DB7466" w:rsidRDefault="00DB7466" w:rsidP="00AD4EA1"/>
    <w:p w14:paraId="146FF6E1" w14:textId="77777777" w:rsidR="00DB7466" w:rsidRDefault="00DB7466" w:rsidP="00AD4EA1"/>
    <w:p w14:paraId="265EDFD8" w14:textId="77777777" w:rsidR="00DB7466" w:rsidRDefault="00DB7466" w:rsidP="00AD4EA1"/>
    <w:p w14:paraId="20BE2D99" w14:textId="77777777" w:rsidR="00DB7466" w:rsidRDefault="00DB7466" w:rsidP="00AD4EA1"/>
    <w:p w14:paraId="3AE80F0A" w14:textId="77777777" w:rsidR="00DB7466" w:rsidRDefault="00DB7466" w:rsidP="00AD4EA1"/>
    <w:p w14:paraId="7395BEE8" w14:textId="77777777" w:rsidR="00DB7466" w:rsidRDefault="00DB7466" w:rsidP="00AD4EA1"/>
    <w:p w14:paraId="52C9C709" w14:textId="77777777" w:rsidR="00DB7466" w:rsidRDefault="00DB7466" w:rsidP="00AD4EA1"/>
    <w:p w14:paraId="21E58EBF" w14:textId="77777777" w:rsidR="00DB7466" w:rsidRDefault="00DB7466" w:rsidP="00AD4EA1"/>
    <w:p w14:paraId="7EA1ED21" w14:textId="77777777" w:rsidR="00DB7466" w:rsidRDefault="00DB7466" w:rsidP="00AD4EA1"/>
    <w:p w14:paraId="25131096" w14:textId="77777777" w:rsidR="00DB7466" w:rsidRDefault="00DB7466" w:rsidP="00AD4EA1"/>
    <w:p w14:paraId="67701F3C" w14:textId="77777777" w:rsidR="00DB7466" w:rsidRDefault="00DB7466" w:rsidP="00AD4EA1"/>
    <w:p w14:paraId="536B2B58" w14:textId="77777777" w:rsidR="00DB7466" w:rsidRDefault="00DB7466" w:rsidP="00AD4EA1"/>
    <w:p w14:paraId="516AB40C" w14:textId="77777777" w:rsidR="00DB7466" w:rsidRDefault="00DB7466" w:rsidP="00AD4EA1"/>
    <w:p w14:paraId="058A0B7A" w14:textId="77777777" w:rsidR="00DB7466" w:rsidRDefault="00DB7466" w:rsidP="00AD4EA1"/>
    <w:p w14:paraId="1BE6F601" w14:textId="77777777" w:rsidR="00DB7466" w:rsidRDefault="00DB7466" w:rsidP="00AD4EA1"/>
    <w:p w14:paraId="06783E10" w14:textId="77777777" w:rsidR="00DB7466" w:rsidRDefault="00DB7466" w:rsidP="00AD4EA1"/>
    <w:p w14:paraId="4DF19A0B" w14:textId="77777777" w:rsidR="00DB7466" w:rsidRDefault="00DB7466" w:rsidP="00AD4EA1"/>
    <w:p w14:paraId="48AF749B" w14:textId="77777777" w:rsidR="00DB7466" w:rsidRDefault="00DB7466" w:rsidP="00AD4EA1"/>
    <w:p w14:paraId="0E194BA2" w14:textId="77777777" w:rsidR="00DB7466" w:rsidRDefault="00DB7466" w:rsidP="00AD4EA1"/>
    <w:p w14:paraId="7B7739D9" w14:textId="77777777" w:rsidR="00DB7466" w:rsidRDefault="00DB7466" w:rsidP="00AD4EA1"/>
    <w:p w14:paraId="27F33C49" w14:textId="77777777" w:rsidR="00DB7466" w:rsidRDefault="00DB7466" w:rsidP="00AD4EA1"/>
    <w:p w14:paraId="395C7923" w14:textId="77777777" w:rsidR="00DB7466" w:rsidRDefault="00DB7466" w:rsidP="00AD4EA1"/>
    <w:p w14:paraId="2BA00B88" w14:textId="77777777" w:rsidR="00DB7466" w:rsidRDefault="00DB7466" w:rsidP="00AD4EA1"/>
    <w:p w14:paraId="35E735C0" w14:textId="77777777" w:rsidR="00DB7466" w:rsidRDefault="00DB7466" w:rsidP="00AD4EA1"/>
    <w:p w14:paraId="0205DC52" w14:textId="77777777" w:rsidR="00DB7466" w:rsidRDefault="00DB7466" w:rsidP="00AD4EA1"/>
    <w:p w14:paraId="35E1F9E6" w14:textId="77777777" w:rsidR="00DB7466" w:rsidRDefault="00DB7466" w:rsidP="00AD4EA1"/>
    <w:p w14:paraId="393CCAAB" w14:textId="77777777" w:rsidR="00DB7466" w:rsidRDefault="00DB7466" w:rsidP="00AD4EA1"/>
    <w:p w14:paraId="6C37D1FE" w14:textId="77777777" w:rsidR="00DB7466" w:rsidRDefault="00DB7466" w:rsidP="00AD4EA1"/>
    <w:p w14:paraId="347FEF3E" w14:textId="77777777" w:rsidR="00DB7466" w:rsidRDefault="00DB7466" w:rsidP="00AD4EA1"/>
    <w:p w14:paraId="2B09DBA4" w14:textId="77777777" w:rsidR="00DB7466" w:rsidRDefault="00DB7466" w:rsidP="00AD4EA1"/>
    <w:p w14:paraId="343BEC4F" w14:textId="77777777" w:rsidR="00DB7466" w:rsidRDefault="00DB7466" w:rsidP="00AD4EA1"/>
    <w:p w14:paraId="79E56258" w14:textId="77777777" w:rsidR="00DB7466" w:rsidRDefault="00DB7466" w:rsidP="00AD4EA1"/>
    <w:p w14:paraId="6FFACD64" w14:textId="77777777" w:rsidR="00DB7466" w:rsidRDefault="00DB7466" w:rsidP="00AD4EA1"/>
    <w:p w14:paraId="03A66640" w14:textId="77777777" w:rsidR="00DB7466" w:rsidRDefault="00DB7466" w:rsidP="00AD4EA1"/>
    <w:p w14:paraId="21AD4E8A" w14:textId="77777777" w:rsidR="00DB7466" w:rsidRDefault="00DB7466" w:rsidP="00AD4EA1"/>
    <w:p w14:paraId="10AABAD5" w14:textId="77777777" w:rsidR="00DB7466" w:rsidRDefault="00DB7466" w:rsidP="00AD4EA1"/>
    <w:p w14:paraId="00CE47C9" w14:textId="77777777" w:rsidR="00DB7466" w:rsidRDefault="00DB7466" w:rsidP="00AD4EA1"/>
    <w:p w14:paraId="04A4ABA9" w14:textId="77777777" w:rsidR="00DB7466" w:rsidRDefault="00DB7466" w:rsidP="00AD4EA1"/>
    <w:p w14:paraId="3C5A2A5E" w14:textId="77777777" w:rsidR="00DB7466" w:rsidRDefault="00DB7466" w:rsidP="00AD4EA1"/>
    <w:p w14:paraId="6A18316B" w14:textId="77777777" w:rsidR="00DB7466" w:rsidRDefault="00DB7466" w:rsidP="00AD4EA1"/>
    <w:p w14:paraId="3D2CCB95" w14:textId="77777777" w:rsidR="00DB7466" w:rsidRDefault="00DB7466" w:rsidP="00AD4EA1"/>
    <w:p w14:paraId="7A8AFAAD" w14:textId="77777777" w:rsidR="00DB7466" w:rsidRDefault="00DB7466" w:rsidP="00AD4EA1"/>
    <w:p w14:paraId="40BFC019" w14:textId="77777777" w:rsidR="00DB7466" w:rsidRDefault="00DB7466" w:rsidP="00AD4EA1"/>
    <w:p w14:paraId="173965A9" w14:textId="77777777" w:rsidR="00DB7466" w:rsidRDefault="00DB7466" w:rsidP="00AD4EA1"/>
    <w:p w14:paraId="0FFDD16D" w14:textId="77777777" w:rsidR="00DB7466" w:rsidRDefault="00DB7466" w:rsidP="00AD4EA1"/>
    <w:p w14:paraId="1757EB96" w14:textId="77777777" w:rsidR="00DB7466" w:rsidRDefault="00DB7466" w:rsidP="00AD4EA1"/>
    <w:p w14:paraId="22F59AAF" w14:textId="77777777" w:rsidR="00DB7466" w:rsidRDefault="00DB7466" w:rsidP="00AD4EA1"/>
    <w:p w14:paraId="433BE019" w14:textId="77777777" w:rsidR="00DB7466" w:rsidRDefault="00DB7466" w:rsidP="00AD4EA1"/>
    <w:p w14:paraId="6B110595" w14:textId="77777777" w:rsidR="00DB7466" w:rsidRDefault="00DB7466" w:rsidP="00AD4EA1"/>
    <w:p w14:paraId="0710118E" w14:textId="77777777" w:rsidR="00DB7466" w:rsidRDefault="00DB7466" w:rsidP="00AD4EA1"/>
    <w:p w14:paraId="0E7E21C5" w14:textId="77777777" w:rsidR="00DB7466" w:rsidRDefault="00DB7466" w:rsidP="00AD4EA1"/>
    <w:p w14:paraId="17E24A5A" w14:textId="77777777" w:rsidR="00DB7466" w:rsidRDefault="00DB7466" w:rsidP="00AD4EA1"/>
    <w:p w14:paraId="5F4B129E" w14:textId="77777777" w:rsidR="00DB7466" w:rsidRDefault="00DB7466" w:rsidP="00AD4EA1"/>
    <w:p w14:paraId="5E1632E1" w14:textId="77777777" w:rsidR="00DB7466" w:rsidRDefault="00DB7466" w:rsidP="00AD4EA1"/>
    <w:p w14:paraId="14AAC8C5" w14:textId="77777777" w:rsidR="00DB7466" w:rsidRDefault="00DB7466" w:rsidP="00AD4EA1"/>
    <w:p w14:paraId="76E4D7AC" w14:textId="77777777" w:rsidR="00DB7466" w:rsidRDefault="00DB7466" w:rsidP="00AD4EA1"/>
    <w:p w14:paraId="4432E4D5" w14:textId="77777777" w:rsidR="00DB7466" w:rsidRDefault="00DB7466" w:rsidP="00AD4EA1"/>
    <w:p w14:paraId="6F81A940" w14:textId="77777777" w:rsidR="00DB7466" w:rsidRDefault="00DB7466" w:rsidP="00AD4EA1"/>
    <w:p w14:paraId="5C46EF57" w14:textId="77777777" w:rsidR="00DB7466" w:rsidRDefault="00DB7466" w:rsidP="00AD4EA1"/>
    <w:p w14:paraId="2858B672" w14:textId="77777777" w:rsidR="00DB7466" w:rsidRDefault="00DB7466" w:rsidP="00AD4EA1"/>
    <w:p w14:paraId="6E5C0515" w14:textId="77777777" w:rsidR="00DB7466" w:rsidRDefault="00DB7466" w:rsidP="00AD4EA1"/>
    <w:p w14:paraId="5B3BF661" w14:textId="77777777" w:rsidR="00DB7466" w:rsidRDefault="00DB7466" w:rsidP="00AD4EA1"/>
    <w:p w14:paraId="2667DBE7" w14:textId="77777777" w:rsidR="00DB7466" w:rsidRDefault="00DB7466" w:rsidP="00AD4EA1"/>
    <w:p w14:paraId="796BFFA3" w14:textId="77777777" w:rsidR="00DB7466" w:rsidRDefault="00DB7466" w:rsidP="00AD4EA1"/>
    <w:p w14:paraId="3F3AFE6F" w14:textId="77777777" w:rsidR="00DB7466" w:rsidRDefault="00DB7466" w:rsidP="00AD4EA1"/>
    <w:p w14:paraId="553FC9A8" w14:textId="77777777" w:rsidR="00DB7466" w:rsidRDefault="00DB7466" w:rsidP="00AD4EA1"/>
    <w:p w14:paraId="0B280A00" w14:textId="77777777" w:rsidR="00DB7466" w:rsidRDefault="00DB7466" w:rsidP="00AD4EA1"/>
    <w:p w14:paraId="1A145EEB" w14:textId="77777777" w:rsidR="00DB7466" w:rsidRDefault="00DB7466" w:rsidP="00AD4EA1"/>
    <w:p w14:paraId="1A8A2AB3" w14:textId="77777777" w:rsidR="00DB7466" w:rsidRDefault="00DB7466" w:rsidP="00AD4EA1"/>
    <w:p w14:paraId="4194D9E3" w14:textId="77777777" w:rsidR="00DB7466" w:rsidRDefault="00DB7466" w:rsidP="00AD4EA1"/>
    <w:p w14:paraId="0677B089" w14:textId="77777777" w:rsidR="00DB7466" w:rsidRDefault="00DB7466" w:rsidP="00AD4EA1"/>
    <w:p w14:paraId="38BC2DCB" w14:textId="77777777" w:rsidR="00DB7466" w:rsidRDefault="00DB7466" w:rsidP="00AD4EA1"/>
    <w:p w14:paraId="26359D2A" w14:textId="77777777" w:rsidR="00DB7466" w:rsidRDefault="00DB7466" w:rsidP="00AD4EA1"/>
    <w:p w14:paraId="71DB149E" w14:textId="77777777" w:rsidR="00DB7466" w:rsidRDefault="00DB7466" w:rsidP="00AD4EA1"/>
    <w:p w14:paraId="7CB2F2B9" w14:textId="77777777" w:rsidR="00DB7466" w:rsidRDefault="00DB7466" w:rsidP="00AD4EA1"/>
    <w:p w14:paraId="781690D3" w14:textId="77777777" w:rsidR="00DB7466" w:rsidRDefault="00DB7466" w:rsidP="00AD4EA1"/>
    <w:p w14:paraId="14BEE4F8" w14:textId="77777777" w:rsidR="00DB7466" w:rsidRDefault="00DB7466" w:rsidP="00AD4EA1"/>
    <w:p w14:paraId="7A62AA60" w14:textId="77777777" w:rsidR="00DB7466" w:rsidRDefault="00DB7466" w:rsidP="00AD4EA1"/>
    <w:p w14:paraId="362F0C21" w14:textId="77777777" w:rsidR="00DB7466" w:rsidRDefault="00DB7466" w:rsidP="00AD4EA1"/>
    <w:p w14:paraId="45F10D27" w14:textId="77777777" w:rsidR="00DB7466" w:rsidRDefault="00DB7466" w:rsidP="00AD4EA1"/>
    <w:p w14:paraId="4B926FBA" w14:textId="77777777" w:rsidR="00DB7466" w:rsidRDefault="00DB7466" w:rsidP="00AD4EA1"/>
    <w:p w14:paraId="4BD51540" w14:textId="77777777" w:rsidR="00DB7466" w:rsidRDefault="00DB7466" w:rsidP="00AD4EA1"/>
    <w:p w14:paraId="489D1A8E" w14:textId="77777777" w:rsidR="00DB7466" w:rsidRDefault="00DB7466" w:rsidP="00AD4EA1"/>
    <w:p w14:paraId="4E109F6A" w14:textId="77777777" w:rsidR="00DB7466" w:rsidRDefault="00DB7466" w:rsidP="00AD4EA1"/>
    <w:p w14:paraId="6EC07993" w14:textId="77777777" w:rsidR="00DB7466" w:rsidRDefault="00DB7466" w:rsidP="00AD4EA1"/>
    <w:p w14:paraId="6904F4F6" w14:textId="77777777" w:rsidR="00DB7466" w:rsidRDefault="00DB7466" w:rsidP="00AD4EA1"/>
    <w:p w14:paraId="7E36653E" w14:textId="77777777" w:rsidR="00DB7466" w:rsidRDefault="00DB7466" w:rsidP="00AD4EA1"/>
    <w:p w14:paraId="07D7009A" w14:textId="77777777" w:rsidR="00DB7466" w:rsidRDefault="00DB7466" w:rsidP="00AD4EA1"/>
    <w:p w14:paraId="5E3EB7D6" w14:textId="77777777" w:rsidR="00DB7466" w:rsidRDefault="00DB7466" w:rsidP="00AD4EA1"/>
    <w:p w14:paraId="271F66CF" w14:textId="77777777" w:rsidR="00DB7466" w:rsidRDefault="00DB7466" w:rsidP="00AD4EA1"/>
    <w:p w14:paraId="7AB7D369" w14:textId="77777777" w:rsidR="00DB7466" w:rsidRDefault="00DB7466" w:rsidP="00AD4EA1"/>
    <w:p w14:paraId="79365688" w14:textId="77777777" w:rsidR="00DB7466" w:rsidRDefault="00DB7466" w:rsidP="00AD4EA1"/>
    <w:p w14:paraId="34A2951F" w14:textId="77777777" w:rsidR="00DB7466" w:rsidRDefault="00DB7466" w:rsidP="00AD4EA1"/>
    <w:p w14:paraId="5C3F8786" w14:textId="77777777" w:rsidR="00DB7466" w:rsidRDefault="00DB7466" w:rsidP="00AD4EA1"/>
    <w:p w14:paraId="0C3F018A" w14:textId="77777777" w:rsidR="00DB7466" w:rsidRDefault="00DB7466" w:rsidP="00AD4EA1"/>
    <w:p w14:paraId="682AC726" w14:textId="77777777" w:rsidR="00DB7466" w:rsidRDefault="00DB7466" w:rsidP="00AD4EA1"/>
    <w:p w14:paraId="4C26E99A" w14:textId="77777777" w:rsidR="00DB7466" w:rsidRDefault="00DB7466" w:rsidP="00AD4EA1"/>
    <w:p w14:paraId="0BDC88E6" w14:textId="77777777" w:rsidR="00DB7466" w:rsidRDefault="00DB7466" w:rsidP="00AD4EA1"/>
    <w:p w14:paraId="267C8BC4" w14:textId="77777777" w:rsidR="00DB7466" w:rsidRDefault="00DB7466" w:rsidP="00AD4EA1"/>
    <w:p w14:paraId="130A9820" w14:textId="77777777" w:rsidR="00DB7466" w:rsidRDefault="00DB7466" w:rsidP="00AD4EA1"/>
    <w:p w14:paraId="187AC6C3" w14:textId="77777777" w:rsidR="00DB7466" w:rsidRDefault="00DB7466" w:rsidP="00AD4EA1"/>
    <w:p w14:paraId="3927F717" w14:textId="77777777" w:rsidR="00DB7466" w:rsidRDefault="00DB7466" w:rsidP="00AD4EA1"/>
    <w:p w14:paraId="4D3EF570" w14:textId="77777777" w:rsidR="00DB7466" w:rsidRDefault="00DB7466" w:rsidP="00AD4EA1"/>
    <w:p w14:paraId="035A997D" w14:textId="77777777" w:rsidR="00DB7466" w:rsidRDefault="00DB7466" w:rsidP="00AD4EA1"/>
    <w:p w14:paraId="45BF150B" w14:textId="77777777" w:rsidR="00DB7466" w:rsidRDefault="00DB7466" w:rsidP="00AD4EA1"/>
    <w:p w14:paraId="4E972F85" w14:textId="77777777" w:rsidR="00DB7466" w:rsidRDefault="00DB7466" w:rsidP="00AD4EA1"/>
    <w:p w14:paraId="1906EA12" w14:textId="77777777" w:rsidR="00DB7466" w:rsidRDefault="00DB7466" w:rsidP="00AD4EA1"/>
    <w:p w14:paraId="394E6578" w14:textId="77777777" w:rsidR="00DB7466" w:rsidRDefault="00DB7466" w:rsidP="00AD4EA1"/>
    <w:p w14:paraId="0F977786" w14:textId="77777777" w:rsidR="00DB7466" w:rsidRDefault="00DB7466" w:rsidP="00AD4EA1"/>
    <w:p w14:paraId="40D11BBB" w14:textId="77777777" w:rsidR="00DB7466" w:rsidRDefault="00DB7466" w:rsidP="00AD4EA1"/>
    <w:p w14:paraId="3121BCC9" w14:textId="77777777" w:rsidR="00DB7466" w:rsidRDefault="00DB7466" w:rsidP="00AD4EA1"/>
    <w:p w14:paraId="76543B6A" w14:textId="77777777" w:rsidR="00DB7466" w:rsidRDefault="00DB7466" w:rsidP="00AD4EA1"/>
    <w:p w14:paraId="18784DE4" w14:textId="77777777" w:rsidR="00DB7466" w:rsidRDefault="00DB7466" w:rsidP="00AD4EA1"/>
    <w:p w14:paraId="5A50EB62" w14:textId="77777777" w:rsidR="00DB7466" w:rsidRDefault="00DB7466" w:rsidP="00AD4EA1"/>
    <w:p w14:paraId="6D62FA59" w14:textId="77777777" w:rsidR="00DB7466" w:rsidRDefault="00DB7466" w:rsidP="00AD4EA1"/>
    <w:p w14:paraId="092B09D1" w14:textId="77777777" w:rsidR="00DB7466" w:rsidRDefault="00DB7466" w:rsidP="00AD4EA1"/>
    <w:p w14:paraId="5324568A" w14:textId="77777777" w:rsidR="00DB7466" w:rsidRDefault="00DB7466" w:rsidP="00AD4EA1"/>
    <w:p w14:paraId="3418CE24" w14:textId="77777777" w:rsidR="00DB7466" w:rsidRDefault="00DB7466" w:rsidP="00AD4EA1"/>
    <w:p w14:paraId="36A90509" w14:textId="77777777" w:rsidR="00DB7466" w:rsidRDefault="00DB7466" w:rsidP="00AD4EA1"/>
    <w:p w14:paraId="0D32E877" w14:textId="77777777" w:rsidR="00DB7466" w:rsidRDefault="00DB7466" w:rsidP="00AD4EA1"/>
    <w:p w14:paraId="750CC790" w14:textId="77777777" w:rsidR="00DB7466" w:rsidRDefault="00DB7466" w:rsidP="00AD4EA1"/>
    <w:p w14:paraId="0650D135" w14:textId="77777777" w:rsidR="00DB7466" w:rsidRDefault="00DB7466" w:rsidP="00AD4EA1"/>
    <w:p w14:paraId="65769553" w14:textId="77777777" w:rsidR="00DB7466" w:rsidRDefault="00DB7466" w:rsidP="00AD4EA1"/>
    <w:p w14:paraId="114B7E67" w14:textId="77777777" w:rsidR="00DB7466" w:rsidRDefault="00DB7466" w:rsidP="00AD4EA1"/>
    <w:p w14:paraId="183CE274" w14:textId="77777777" w:rsidR="00DB7466" w:rsidRDefault="00DB7466" w:rsidP="00AD4EA1"/>
    <w:p w14:paraId="72C835FC" w14:textId="77777777" w:rsidR="00DB7466" w:rsidRDefault="00DB7466" w:rsidP="00AD4EA1"/>
    <w:p w14:paraId="05CBE715" w14:textId="77777777" w:rsidR="00DB7466" w:rsidRDefault="00DB7466" w:rsidP="00AD4EA1"/>
    <w:p w14:paraId="7A6CBEB5" w14:textId="77777777" w:rsidR="00DB7466" w:rsidRDefault="00DB7466" w:rsidP="00AD4EA1"/>
    <w:p w14:paraId="38DD1ACB" w14:textId="77777777" w:rsidR="00DB7466" w:rsidRDefault="00DB7466" w:rsidP="00AD4EA1"/>
    <w:p w14:paraId="1559AD19" w14:textId="77777777" w:rsidR="00DB7466" w:rsidRDefault="00DB7466" w:rsidP="00AD4EA1"/>
    <w:p w14:paraId="2C525945" w14:textId="77777777" w:rsidR="00DB7466" w:rsidRDefault="00DB7466" w:rsidP="00AD4EA1"/>
    <w:p w14:paraId="6E3786F4" w14:textId="77777777" w:rsidR="00DB7466" w:rsidRDefault="00DB7466" w:rsidP="00AD4EA1"/>
    <w:p w14:paraId="63412524" w14:textId="77777777" w:rsidR="00DB7466" w:rsidRDefault="00DB7466" w:rsidP="00AD4EA1"/>
    <w:p w14:paraId="553AC280" w14:textId="77777777" w:rsidR="00DB7466" w:rsidRDefault="00DB7466" w:rsidP="00AD4EA1"/>
    <w:p w14:paraId="4A447BF8" w14:textId="77777777" w:rsidR="00DB7466" w:rsidRDefault="00DB7466" w:rsidP="00AD4EA1"/>
    <w:p w14:paraId="4054C045" w14:textId="77777777" w:rsidR="00DB7466" w:rsidRDefault="00DB7466" w:rsidP="00AD4EA1"/>
    <w:p w14:paraId="0E60F57B" w14:textId="77777777" w:rsidR="00DB7466" w:rsidRDefault="00DB7466" w:rsidP="00AD4EA1"/>
    <w:p w14:paraId="38B61E11" w14:textId="77777777" w:rsidR="00DB7466" w:rsidRDefault="00DB7466" w:rsidP="00AD4EA1"/>
    <w:p w14:paraId="3DAC365C" w14:textId="77777777" w:rsidR="00DB7466" w:rsidRDefault="00DB7466" w:rsidP="00AD4EA1"/>
    <w:p w14:paraId="12AE4C81" w14:textId="77777777" w:rsidR="00DB7466" w:rsidRDefault="00DB7466" w:rsidP="00AD4EA1"/>
    <w:p w14:paraId="43B9A59D" w14:textId="77777777" w:rsidR="00DB7466" w:rsidRDefault="00DB7466" w:rsidP="00AD4EA1"/>
    <w:p w14:paraId="44134D14" w14:textId="77777777" w:rsidR="00DB7466" w:rsidRDefault="00DB7466" w:rsidP="00AD4EA1"/>
    <w:p w14:paraId="3380D853" w14:textId="77777777" w:rsidR="00DB7466" w:rsidRDefault="00DB7466" w:rsidP="00AD4EA1"/>
    <w:p w14:paraId="70F7BCBE" w14:textId="77777777" w:rsidR="00DB7466" w:rsidRDefault="00DB7466" w:rsidP="00AD4EA1"/>
    <w:p w14:paraId="6B10C7FF" w14:textId="77777777" w:rsidR="00DB7466" w:rsidRDefault="00DB7466" w:rsidP="00AD4EA1"/>
    <w:p w14:paraId="7DD56EF4" w14:textId="77777777" w:rsidR="00DB7466" w:rsidRDefault="00DB7466" w:rsidP="00AD4EA1"/>
    <w:p w14:paraId="000E8772" w14:textId="77777777" w:rsidR="00DB7466" w:rsidRDefault="00DB7466" w:rsidP="00AD4EA1"/>
    <w:p w14:paraId="486EDD2E" w14:textId="77777777" w:rsidR="00DB7466" w:rsidRDefault="00DB7466" w:rsidP="00AD4EA1"/>
    <w:p w14:paraId="60281377" w14:textId="77777777" w:rsidR="00DB7466" w:rsidRDefault="00DB7466" w:rsidP="00AD4EA1"/>
    <w:p w14:paraId="7C7F96F7" w14:textId="77777777" w:rsidR="00DB7466" w:rsidRDefault="00DB7466" w:rsidP="00AD4EA1"/>
    <w:p w14:paraId="45CF80A9" w14:textId="77777777" w:rsidR="00DB7466" w:rsidRDefault="00DB7466" w:rsidP="00AD4EA1"/>
    <w:p w14:paraId="4487A1D8" w14:textId="77777777" w:rsidR="00DB7466" w:rsidRDefault="00DB7466" w:rsidP="00AD4EA1"/>
    <w:p w14:paraId="2258BC21" w14:textId="77777777" w:rsidR="00DB7466" w:rsidRDefault="00DB7466" w:rsidP="00AD4EA1"/>
    <w:p w14:paraId="4135FD9A" w14:textId="77777777" w:rsidR="00DB7466" w:rsidRDefault="00DB7466" w:rsidP="00AD4EA1"/>
    <w:p w14:paraId="4F4EDEF3" w14:textId="77777777" w:rsidR="00DB7466" w:rsidRDefault="00DB7466" w:rsidP="00AD4EA1"/>
    <w:p w14:paraId="1FCC0099" w14:textId="77777777" w:rsidR="00DB7466" w:rsidRDefault="00DB7466" w:rsidP="00AD4EA1"/>
    <w:p w14:paraId="703FABC5" w14:textId="77777777" w:rsidR="00DB7466" w:rsidRDefault="00DB7466" w:rsidP="00AD4EA1"/>
    <w:p w14:paraId="55AD9BA0" w14:textId="77777777" w:rsidR="00DB7466" w:rsidRDefault="00DB7466" w:rsidP="00AD4EA1"/>
    <w:p w14:paraId="00383B18" w14:textId="77777777" w:rsidR="00DB7466" w:rsidRDefault="00DB7466" w:rsidP="00AD4EA1"/>
    <w:p w14:paraId="083FC5C3" w14:textId="77777777" w:rsidR="00DB7466" w:rsidRDefault="00DB7466" w:rsidP="00AD4EA1"/>
    <w:p w14:paraId="11928C9B" w14:textId="77777777" w:rsidR="00DB7466" w:rsidRDefault="00DB7466" w:rsidP="00AD4EA1"/>
    <w:p w14:paraId="3E28D218" w14:textId="77777777" w:rsidR="00DB7466" w:rsidRDefault="00DB7466" w:rsidP="00AD4EA1"/>
    <w:p w14:paraId="3F10AB5D" w14:textId="77777777" w:rsidR="00DB7466" w:rsidRDefault="00DB7466" w:rsidP="00AD4EA1"/>
    <w:p w14:paraId="7D8AD943" w14:textId="77777777" w:rsidR="00DB7466" w:rsidRDefault="00DB7466" w:rsidP="00AD4EA1"/>
    <w:p w14:paraId="52BDCE4F" w14:textId="77777777" w:rsidR="00DB7466" w:rsidRDefault="00DB7466" w:rsidP="00AD4EA1"/>
    <w:p w14:paraId="56A086FD" w14:textId="77777777" w:rsidR="00DB7466" w:rsidRDefault="00DB7466" w:rsidP="00AD4EA1"/>
    <w:p w14:paraId="67676D07" w14:textId="77777777" w:rsidR="00DB7466" w:rsidRDefault="00DB7466" w:rsidP="00AD4EA1"/>
    <w:p w14:paraId="05CE8C93" w14:textId="77777777" w:rsidR="00DB7466" w:rsidRDefault="00DB7466" w:rsidP="00AD4EA1"/>
    <w:p w14:paraId="5FF38D83" w14:textId="77777777" w:rsidR="00DB7466" w:rsidRDefault="00DB7466" w:rsidP="00AD4EA1"/>
    <w:p w14:paraId="1D88B794" w14:textId="77777777" w:rsidR="00DB7466" w:rsidRDefault="00DB7466" w:rsidP="00AD4EA1"/>
    <w:p w14:paraId="20F76C34" w14:textId="77777777" w:rsidR="00DB7466" w:rsidRDefault="00DB7466" w:rsidP="00AD4EA1"/>
    <w:p w14:paraId="4EFECCA6" w14:textId="77777777" w:rsidR="00DB7466" w:rsidRDefault="00DB7466" w:rsidP="00AD4EA1"/>
    <w:p w14:paraId="1FFDDA44" w14:textId="77777777" w:rsidR="00DB7466" w:rsidRDefault="00DB7466" w:rsidP="00AD4EA1"/>
    <w:p w14:paraId="68AB3400" w14:textId="77777777" w:rsidR="00DB7466" w:rsidRDefault="00DB7466" w:rsidP="00AD4EA1"/>
    <w:p w14:paraId="0AF6C0EA" w14:textId="77777777" w:rsidR="00DB7466" w:rsidRDefault="00DB7466" w:rsidP="00AD4EA1"/>
    <w:p w14:paraId="37538D7A" w14:textId="77777777" w:rsidR="00DB7466" w:rsidRDefault="00DB7466" w:rsidP="00AD4EA1"/>
    <w:p w14:paraId="1B674B34" w14:textId="77777777" w:rsidR="00DB7466" w:rsidRDefault="00DB7466" w:rsidP="00AD4EA1"/>
    <w:p w14:paraId="64BCC11C" w14:textId="77777777" w:rsidR="00DB7466" w:rsidRDefault="00DB7466" w:rsidP="00AD4EA1"/>
    <w:p w14:paraId="38494A5B" w14:textId="77777777" w:rsidR="00DB7466" w:rsidRDefault="00DB7466" w:rsidP="00AD4EA1"/>
    <w:p w14:paraId="6EB65036" w14:textId="77777777" w:rsidR="00DB7466" w:rsidRDefault="00DB7466" w:rsidP="00AD4EA1"/>
    <w:p w14:paraId="63300893" w14:textId="77777777" w:rsidR="00DB7466" w:rsidRDefault="00DB7466" w:rsidP="00AD4EA1"/>
    <w:p w14:paraId="44C5CB0A" w14:textId="77777777" w:rsidR="00DB7466" w:rsidRDefault="00DB7466" w:rsidP="00AD4EA1"/>
    <w:p w14:paraId="730B1E17" w14:textId="77777777" w:rsidR="00DB7466" w:rsidRDefault="00DB7466" w:rsidP="00AD4EA1"/>
    <w:p w14:paraId="0C8E41EF" w14:textId="77777777" w:rsidR="00DB7466" w:rsidRDefault="00DB7466" w:rsidP="00AD4EA1"/>
    <w:p w14:paraId="48841EC1" w14:textId="77777777" w:rsidR="00DB7466" w:rsidRDefault="00DB7466" w:rsidP="00AD4EA1"/>
    <w:p w14:paraId="0F9C9D0B" w14:textId="77777777" w:rsidR="00DB7466" w:rsidRDefault="00DB7466" w:rsidP="00AD4EA1"/>
    <w:p w14:paraId="06417B0D" w14:textId="77777777" w:rsidR="00DB7466" w:rsidRDefault="00DB7466" w:rsidP="00AD4EA1"/>
    <w:p w14:paraId="191A6336" w14:textId="77777777" w:rsidR="00DB7466" w:rsidRDefault="00DB7466" w:rsidP="00AD4EA1"/>
    <w:p w14:paraId="245CDF04" w14:textId="77777777" w:rsidR="00DB7466" w:rsidRDefault="00DB7466" w:rsidP="00AD4EA1"/>
    <w:p w14:paraId="19E47279" w14:textId="77777777" w:rsidR="00DB7466" w:rsidRDefault="00DB7466" w:rsidP="00AD4EA1"/>
    <w:p w14:paraId="6C085383" w14:textId="77777777" w:rsidR="00DB7466" w:rsidRDefault="00DB7466" w:rsidP="00AD4EA1"/>
    <w:p w14:paraId="1678B457" w14:textId="77777777" w:rsidR="00DB7466" w:rsidRDefault="00DB7466" w:rsidP="00AD4EA1"/>
    <w:p w14:paraId="2FAB28E0" w14:textId="77777777" w:rsidR="00DB7466" w:rsidRDefault="00DB7466" w:rsidP="00AD4EA1"/>
    <w:p w14:paraId="544BE6DA" w14:textId="77777777" w:rsidR="00DB7466" w:rsidRDefault="00DB7466" w:rsidP="00AD4EA1"/>
    <w:p w14:paraId="7EE40BFD" w14:textId="77777777" w:rsidR="00DB7466" w:rsidRDefault="00DB7466" w:rsidP="00AD4EA1"/>
    <w:p w14:paraId="0DACDE1A" w14:textId="77777777" w:rsidR="00DB7466" w:rsidRDefault="00DB7466" w:rsidP="00AD4EA1"/>
    <w:p w14:paraId="3BD14238" w14:textId="77777777" w:rsidR="00DB7466" w:rsidRDefault="00DB7466" w:rsidP="00AD4EA1"/>
    <w:p w14:paraId="65E62FB7" w14:textId="77777777" w:rsidR="00DB7466" w:rsidRDefault="00DB7466" w:rsidP="00AD4EA1"/>
    <w:p w14:paraId="4AC1635C" w14:textId="77777777" w:rsidR="00DB7466" w:rsidRDefault="00DB7466" w:rsidP="00AD4EA1"/>
    <w:p w14:paraId="780D9F21" w14:textId="77777777" w:rsidR="00DB7466" w:rsidRDefault="00DB7466" w:rsidP="00AD4EA1"/>
    <w:p w14:paraId="3D9EA59B" w14:textId="77777777" w:rsidR="00DB7466" w:rsidRDefault="00DB7466" w:rsidP="00AD4EA1"/>
    <w:p w14:paraId="0A440573" w14:textId="77777777" w:rsidR="00DB7466" w:rsidRDefault="00DB7466" w:rsidP="00AD4EA1"/>
    <w:p w14:paraId="6E91D3F5" w14:textId="77777777" w:rsidR="00DB7466" w:rsidRDefault="00DB7466" w:rsidP="00AD4EA1"/>
    <w:p w14:paraId="6B7D4D45" w14:textId="77777777" w:rsidR="00DB7466" w:rsidRDefault="00DB7466" w:rsidP="00AD4EA1"/>
    <w:p w14:paraId="410A463B" w14:textId="77777777" w:rsidR="00DB7466" w:rsidRDefault="00DB7466" w:rsidP="00AD4EA1"/>
    <w:p w14:paraId="42350A25" w14:textId="77777777" w:rsidR="00DB7466" w:rsidRDefault="00DB7466" w:rsidP="00AD4EA1"/>
    <w:p w14:paraId="07D2F693" w14:textId="77777777" w:rsidR="00DB7466" w:rsidRDefault="00DB7466" w:rsidP="00AD4EA1"/>
    <w:p w14:paraId="434A23AB" w14:textId="77777777" w:rsidR="00DB7466" w:rsidRDefault="00DB7466" w:rsidP="00AD4EA1"/>
    <w:p w14:paraId="0E472ECA" w14:textId="77777777" w:rsidR="00DB7466" w:rsidRDefault="00DB7466" w:rsidP="00AD4EA1"/>
    <w:p w14:paraId="5BDAC2CA" w14:textId="77777777" w:rsidR="00DB7466" w:rsidRDefault="00DB7466" w:rsidP="00AD4EA1"/>
    <w:p w14:paraId="726F9D31" w14:textId="77777777" w:rsidR="00DB7466" w:rsidRDefault="00DB7466" w:rsidP="00AD4EA1"/>
    <w:p w14:paraId="3EEE4A86" w14:textId="77777777" w:rsidR="00DB7466" w:rsidRDefault="00DB7466" w:rsidP="00AD4EA1"/>
    <w:p w14:paraId="56ADDBE8" w14:textId="77777777" w:rsidR="00DB7466" w:rsidRDefault="00DB7466" w:rsidP="00AD4EA1"/>
    <w:p w14:paraId="66DA3C54" w14:textId="77777777" w:rsidR="00DB7466" w:rsidRDefault="00DB7466" w:rsidP="00AD4EA1"/>
    <w:p w14:paraId="5D4955AE" w14:textId="77777777" w:rsidR="00DB7466" w:rsidRDefault="00DB7466" w:rsidP="00AD4EA1"/>
    <w:p w14:paraId="6168D504" w14:textId="77777777" w:rsidR="00DB7466" w:rsidRDefault="00DB7466" w:rsidP="00AD4EA1"/>
    <w:p w14:paraId="0DC0EE5F" w14:textId="77777777" w:rsidR="00DB7466" w:rsidRDefault="00DB7466" w:rsidP="00AD4EA1"/>
    <w:p w14:paraId="3D8565EA" w14:textId="77777777" w:rsidR="00DB7466" w:rsidRDefault="00DB7466" w:rsidP="00AD4EA1"/>
    <w:p w14:paraId="41A38CB6" w14:textId="77777777" w:rsidR="00DB7466" w:rsidRDefault="00DB7466" w:rsidP="00AD4EA1"/>
    <w:p w14:paraId="3A59FFA1" w14:textId="77777777" w:rsidR="00DB7466" w:rsidRDefault="00DB7466" w:rsidP="00AD4EA1"/>
    <w:p w14:paraId="29B09157" w14:textId="77777777" w:rsidR="00DB7466" w:rsidRDefault="00DB7466" w:rsidP="00AD4EA1"/>
    <w:p w14:paraId="75C485E0" w14:textId="77777777" w:rsidR="00DB7466" w:rsidRDefault="00DB7466" w:rsidP="00AD4EA1"/>
    <w:p w14:paraId="0F50E953" w14:textId="77777777" w:rsidR="00DB7466" w:rsidRDefault="00DB7466" w:rsidP="00AD4EA1"/>
    <w:p w14:paraId="2E13CDE0" w14:textId="77777777" w:rsidR="00DB7466" w:rsidRDefault="00DB7466" w:rsidP="00AD4EA1"/>
    <w:p w14:paraId="48CDD11B" w14:textId="77777777" w:rsidR="00DB7466" w:rsidRDefault="00DB7466" w:rsidP="00AD4EA1"/>
    <w:p w14:paraId="1ADBE4A2" w14:textId="77777777" w:rsidR="00DB7466" w:rsidRDefault="00DB7466" w:rsidP="00AD4EA1"/>
    <w:p w14:paraId="00DEDCF1" w14:textId="77777777" w:rsidR="00DB7466" w:rsidRDefault="00DB7466" w:rsidP="00AD4EA1"/>
    <w:p w14:paraId="00CEC4F9" w14:textId="77777777" w:rsidR="00DB7466" w:rsidRDefault="00DB7466" w:rsidP="00AD4EA1"/>
    <w:p w14:paraId="17673983" w14:textId="77777777" w:rsidR="00DB7466" w:rsidRDefault="00DB7466" w:rsidP="00AD4EA1"/>
    <w:p w14:paraId="6E160647" w14:textId="77777777" w:rsidR="00DB7466" w:rsidRDefault="00DB7466" w:rsidP="00AD4EA1"/>
    <w:p w14:paraId="5DFBBF60" w14:textId="77777777" w:rsidR="00DB7466" w:rsidRDefault="00DB7466" w:rsidP="00AD4EA1"/>
    <w:p w14:paraId="1DE9A590" w14:textId="77777777" w:rsidR="00DB7466" w:rsidRDefault="00DB7466" w:rsidP="00AD4EA1"/>
    <w:p w14:paraId="27813711" w14:textId="77777777" w:rsidR="00DB7466" w:rsidRDefault="00DB7466" w:rsidP="00AD4EA1"/>
    <w:p w14:paraId="232A5208" w14:textId="77777777" w:rsidR="00DB7466" w:rsidRDefault="00DB7466" w:rsidP="00AD4EA1"/>
    <w:p w14:paraId="2999C1FE" w14:textId="77777777" w:rsidR="00DB7466" w:rsidRDefault="00DB7466" w:rsidP="00AD4EA1"/>
    <w:p w14:paraId="0AB3F2E3" w14:textId="77777777" w:rsidR="00DB7466" w:rsidRDefault="00DB7466" w:rsidP="00AD4EA1"/>
    <w:p w14:paraId="34799820" w14:textId="77777777" w:rsidR="00DB7466" w:rsidRDefault="00DB7466" w:rsidP="00AD4EA1"/>
    <w:p w14:paraId="37CDDD2A" w14:textId="77777777" w:rsidR="00DB7466" w:rsidRDefault="00DB7466" w:rsidP="00AD4EA1"/>
    <w:p w14:paraId="6FAA706B" w14:textId="77777777" w:rsidR="00DB7466" w:rsidRDefault="00DB7466" w:rsidP="00AD4EA1"/>
    <w:p w14:paraId="78A7A2BE" w14:textId="77777777" w:rsidR="00DB7466" w:rsidRDefault="00DB7466" w:rsidP="00AD4EA1"/>
    <w:p w14:paraId="521B4630" w14:textId="77777777" w:rsidR="00DB7466" w:rsidRDefault="00DB7466" w:rsidP="00AD4EA1"/>
    <w:p w14:paraId="7B608051" w14:textId="77777777" w:rsidR="00DB7466" w:rsidRDefault="00DB7466" w:rsidP="00AD4EA1"/>
    <w:p w14:paraId="40279E4F" w14:textId="77777777" w:rsidR="00DB7466" w:rsidRDefault="00DB7466" w:rsidP="00AD4EA1"/>
    <w:p w14:paraId="4AF11258" w14:textId="77777777" w:rsidR="00DB7466" w:rsidRDefault="00DB7466" w:rsidP="00AD4EA1"/>
    <w:p w14:paraId="1D59850D" w14:textId="77777777" w:rsidR="00DB7466" w:rsidRDefault="00DB7466" w:rsidP="00AD4EA1"/>
    <w:p w14:paraId="0E51F75A" w14:textId="77777777" w:rsidR="00DB7466" w:rsidRDefault="00DB7466" w:rsidP="00AD4EA1"/>
    <w:p w14:paraId="798AF0F0" w14:textId="77777777" w:rsidR="00DB7466" w:rsidRDefault="00DB7466" w:rsidP="00AD4EA1"/>
    <w:p w14:paraId="624A1EB2" w14:textId="77777777" w:rsidR="00DB7466" w:rsidRDefault="00DB7466" w:rsidP="00AD4EA1"/>
    <w:p w14:paraId="50888813" w14:textId="77777777" w:rsidR="00DB7466" w:rsidRDefault="00DB7466" w:rsidP="00AD4EA1"/>
    <w:p w14:paraId="20D932F2" w14:textId="77777777" w:rsidR="00DB7466" w:rsidRDefault="00DB7466" w:rsidP="00AD4EA1"/>
    <w:p w14:paraId="478432EC" w14:textId="77777777" w:rsidR="00DB7466" w:rsidRDefault="00DB7466" w:rsidP="00AD4EA1"/>
    <w:p w14:paraId="35A26CBD" w14:textId="77777777" w:rsidR="00DB7466" w:rsidRDefault="00DB7466" w:rsidP="00AD4EA1"/>
    <w:p w14:paraId="333262CE" w14:textId="77777777" w:rsidR="00DB7466" w:rsidRDefault="00DB7466" w:rsidP="00AD4EA1"/>
    <w:p w14:paraId="2F055201" w14:textId="77777777" w:rsidR="00DB7466" w:rsidRDefault="00DB7466" w:rsidP="00AD4EA1"/>
    <w:p w14:paraId="7A27A9AE" w14:textId="77777777" w:rsidR="00DB7466" w:rsidRDefault="00DB7466" w:rsidP="00AD4EA1"/>
    <w:p w14:paraId="5EA576B0" w14:textId="77777777" w:rsidR="00DB7466" w:rsidRDefault="00DB7466" w:rsidP="00AD4EA1"/>
    <w:p w14:paraId="0CC72F28" w14:textId="77777777" w:rsidR="00DB7466" w:rsidRDefault="00DB7466" w:rsidP="00AD4EA1"/>
    <w:p w14:paraId="5068D69D" w14:textId="77777777" w:rsidR="00DB7466" w:rsidRDefault="00DB7466" w:rsidP="00AD4EA1"/>
    <w:p w14:paraId="60FE3101" w14:textId="77777777" w:rsidR="00DB7466" w:rsidRDefault="00DB7466" w:rsidP="00AD4EA1"/>
    <w:p w14:paraId="12AAE9C1" w14:textId="77777777" w:rsidR="00DB7466" w:rsidRDefault="00DB7466" w:rsidP="00AD4EA1"/>
    <w:p w14:paraId="41D6444A" w14:textId="77777777" w:rsidR="00DB7466" w:rsidRDefault="00DB7466" w:rsidP="00AD4EA1"/>
    <w:p w14:paraId="5406A70B" w14:textId="77777777" w:rsidR="00DB7466" w:rsidRDefault="00DB7466" w:rsidP="00AD4EA1"/>
    <w:p w14:paraId="1E433ADF" w14:textId="77777777" w:rsidR="00DB7466" w:rsidRDefault="00DB7466" w:rsidP="00AD4EA1"/>
    <w:p w14:paraId="143649BE" w14:textId="77777777" w:rsidR="00DB7466" w:rsidRDefault="00DB7466" w:rsidP="00AD4EA1"/>
    <w:p w14:paraId="01B7B181" w14:textId="77777777" w:rsidR="00DB7466" w:rsidRDefault="00DB7466" w:rsidP="00AD4EA1"/>
    <w:p w14:paraId="7F214D2B" w14:textId="77777777" w:rsidR="00DB7466" w:rsidRDefault="00DB7466" w:rsidP="00AD4EA1"/>
    <w:p w14:paraId="3B9A6A60" w14:textId="77777777" w:rsidR="00DB7466" w:rsidRDefault="00DB7466" w:rsidP="00AD4EA1"/>
    <w:p w14:paraId="2DEFCA1B" w14:textId="77777777" w:rsidR="00DB7466" w:rsidRDefault="00DB7466" w:rsidP="00AD4EA1"/>
    <w:p w14:paraId="6329307E" w14:textId="77777777" w:rsidR="00DB7466" w:rsidRDefault="00DB7466" w:rsidP="00AD4EA1"/>
    <w:p w14:paraId="3E3644F0" w14:textId="77777777" w:rsidR="00DB7466" w:rsidRDefault="00DB7466" w:rsidP="00AD4EA1"/>
    <w:p w14:paraId="42FF8BFF" w14:textId="77777777" w:rsidR="00DB7466" w:rsidRDefault="00DB7466" w:rsidP="00AD4EA1"/>
    <w:p w14:paraId="60AA8330" w14:textId="77777777" w:rsidR="00DB7466" w:rsidRDefault="00DB7466" w:rsidP="00AD4EA1"/>
    <w:p w14:paraId="0877A235" w14:textId="77777777" w:rsidR="00DB7466" w:rsidRDefault="00DB7466" w:rsidP="00AD4EA1"/>
    <w:p w14:paraId="70966F97" w14:textId="77777777" w:rsidR="00DB7466" w:rsidRDefault="00DB7466" w:rsidP="00AD4EA1"/>
    <w:p w14:paraId="5643F7BA" w14:textId="77777777" w:rsidR="00DB7466" w:rsidRDefault="00DB7466" w:rsidP="00AD4EA1"/>
    <w:p w14:paraId="08838ECA" w14:textId="77777777" w:rsidR="00DB7466" w:rsidRDefault="00DB7466" w:rsidP="00AD4EA1"/>
    <w:p w14:paraId="3A09844B" w14:textId="77777777" w:rsidR="00DB7466" w:rsidRDefault="00DB7466" w:rsidP="00AD4EA1"/>
    <w:p w14:paraId="1A2511D5" w14:textId="77777777" w:rsidR="00DB7466" w:rsidRDefault="00DB7466" w:rsidP="00AD4EA1"/>
    <w:p w14:paraId="1B29D107" w14:textId="77777777" w:rsidR="00DB7466" w:rsidRDefault="00DB7466" w:rsidP="00AD4EA1"/>
    <w:p w14:paraId="2E44B94F" w14:textId="77777777" w:rsidR="00DB7466" w:rsidRDefault="00DB7466" w:rsidP="00AD4EA1"/>
    <w:p w14:paraId="1D85D548" w14:textId="77777777" w:rsidR="00DB7466" w:rsidRDefault="00DB7466" w:rsidP="00AD4EA1"/>
    <w:p w14:paraId="3253ECDF" w14:textId="77777777" w:rsidR="00DB7466" w:rsidRDefault="00DB7466" w:rsidP="00AD4EA1"/>
    <w:p w14:paraId="58B2E5F3" w14:textId="77777777" w:rsidR="00DB7466" w:rsidRDefault="00DB7466" w:rsidP="00AD4EA1"/>
    <w:p w14:paraId="622C8B4B" w14:textId="77777777" w:rsidR="00DB7466" w:rsidRDefault="00DB7466" w:rsidP="00AD4EA1"/>
    <w:p w14:paraId="61E8AB4A" w14:textId="77777777" w:rsidR="00DB7466" w:rsidRDefault="00DB7466" w:rsidP="00AD4EA1"/>
    <w:p w14:paraId="36001711" w14:textId="77777777" w:rsidR="00DB7466" w:rsidRDefault="00DB7466" w:rsidP="00AD4EA1"/>
    <w:p w14:paraId="3C81B135" w14:textId="77777777" w:rsidR="00DB7466" w:rsidRDefault="00DB7466" w:rsidP="00AD4EA1"/>
    <w:p w14:paraId="56780369" w14:textId="77777777" w:rsidR="00DB7466" w:rsidRDefault="00DB7466" w:rsidP="00AD4EA1"/>
    <w:p w14:paraId="5527C615" w14:textId="77777777" w:rsidR="00DB7466" w:rsidRDefault="00DB7466" w:rsidP="00AD4EA1"/>
    <w:p w14:paraId="71E705E4" w14:textId="77777777" w:rsidR="00DB7466" w:rsidRDefault="00DB7466" w:rsidP="00AD4EA1"/>
    <w:p w14:paraId="46D9FC1B" w14:textId="77777777" w:rsidR="00DB7466" w:rsidRDefault="00DB7466" w:rsidP="00AD4EA1"/>
    <w:p w14:paraId="33A97073" w14:textId="77777777" w:rsidR="00DB7466" w:rsidRDefault="00DB7466" w:rsidP="00AD4EA1"/>
    <w:p w14:paraId="064BC10D" w14:textId="77777777" w:rsidR="00DB7466" w:rsidRDefault="00DB7466" w:rsidP="00AD4EA1"/>
    <w:p w14:paraId="2339B7F6" w14:textId="77777777" w:rsidR="00DB7466" w:rsidRDefault="00DB7466" w:rsidP="00AD4EA1"/>
    <w:p w14:paraId="78532098" w14:textId="77777777" w:rsidR="00DB7466" w:rsidRDefault="00DB7466" w:rsidP="00AD4EA1"/>
    <w:p w14:paraId="28166B52" w14:textId="77777777" w:rsidR="00DB7466" w:rsidRDefault="00DB7466" w:rsidP="00AD4EA1"/>
    <w:p w14:paraId="7F1FE541" w14:textId="77777777" w:rsidR="00DB7466" w:rsidRDefault="00DB7466" w:rsidP="00AD4EA1"/>
    <w:p w14:paraId="05AADEDC" w14:textId="77777777" w:rsidR="00DB7466" w:rsidRDefault="00DB7466" w:rsidP="00AD4EA1"/>
    <w:p w14:paraId="0734554C" w14:textId="77777777" w:rsidR="00DB7466" w:rsidRDefault="00DB7466" w:rsidP="00AD4EA1"/>
    <w:p w14:paraId="7DB90100" w14:textId="77777777" w:rsidR="00DB7466" w:rsidRDefault="00DB7466" w:rsidP="00AD4EA1"/>
    <w:p w14:paraId="3D684646" w14:textId="77777777" w:rsidR="00DB7466" w:rsidRDefault="00DB7466" w:rsidP="00AD4EA1"/>
    <w:p w14:paraId="645CCD36" w14:textId="77777777" w:rsidR="00DB7466" w:rsidRDefault="00DB7466" w:rsidP="00AD4EA1"/>
    <w:p w14:paraId="57396C07" w14:textId="77777777" w:rsidR="00DB7466" w:rsidRDefault="00DB7466" w:rsidP="00AD4EA1"/>
    <w:p w14:paraId="50F23976" w14:textId="77777777" w:rsidR="00DB7466" w:rsidRDefault="00DB7466" w:rsidP="00AD4EA1"/>
    <w:p w14:paraId="77933370" w14:textId="77777777" w:rsidR="00DB7466" w:rsidRDefault="00DB7466" w:rsidP="00AD4EA1"/>
    <w:p w14:paraId="65294C24" w14:textId="77777777" w:rsidR="00DB7466" w:rsidRDefault="00DB7466" w:rsidP="00AD4EA1"/>
    <w:p w14:paraId="7C5AF60A" w14:textId="77777777" w:rsidR="00DB7466" w:rsidRDefault="00DB7466" w:rsidP="00AD4EA1"/>
    <w:p w14:paraId="489DCC3A" w14:textId="77777777" w:rsidR="00DB7466" w:rsidRDefault="00DB7466" w:rsidP="00AD4EA1"/>
    <w:p w14:paraId="68B0AACE" w14:textId="77777777" w:rsidR="00DB7466" w:rsidRDefault="00DB7466" w:rsidP="00AD4EA1"/>
    <w:p w14:paraId="5C958397" w14:textId="77777777" w:rsidR="00DB7466" w:rsidRDefault="00DB7466" w:rsidP="00AD4EA1"/>
    <w:p w14:paraId="6EE62121" w14:textId="77777777" w:rsidR="00DB7466" w:rsidRDefault="00DB7466" w:rsidP="00AD4EA1"/>
    <w:p w14:paraId="0D91D0B3" w14:textId="77777777" w:rsidR="00DB7466" w:rsidRDefault="00DB7466" w:rsidP="00AD4EA1"/>
    <w:p w14:paraId="2E00111C" w14:textId="77777777" w:rsidR="00DB7466" w:rsidRDefault="00DB7466" w:rsidP="00AD4EA1"/>
    <w:p w14:paraId="539D2DD9" w14:textId="77777777" w:rsidR="00DB7466" w:rsidRDefault="00DB7466" w:rsidP="00AD4EA1"/>
    <w:p w14:paraId="4FF4AD08" w14:textId="77777777" w:rsidR="00DB7466" w:rsidRDefault="00DB7466" w:rsidP="00AD4EA1"/>
    <w:p w14:paraId="789EE584" w14:textId="77777777" w:rsidR="00DB7466" w:rsidRDefault="00DB7466" w:rsidP="00AD4EA1"/>
    <w:p w14:paraId="02D80273" w14:textId="77777777" w:rsidR="00DB7466" w:rsidRDefault="00DB7466" w:rsidP="00AD4EA1"/>
    <w:p w14:paraId="33E2B53E" w14:textId="77777777" w:rsidR="00DB7466" w:rsidRDefault="00DB7466" w:rsidP="00AD4EA1"/>
    <w:p w14:paraId="1B4FDF99" w14:textId="77777777" w:rsidR="00DB7466" w:rsidRDefault="00DB7466" w:rsidP="00AD4EA1"/>
    <w:p w14:paraId="6241B36B" w14:textId="77777777" w:rsidR="00DB7466" w:rsidRDefault="00DB7466" w:rsidP="00AD4EA1"/>
    <w:p w14:paraId="0D8CEA9D" w14:textId="77777777" w:rsidR="00DB7466" w:rsidRDefault="00DB7466" w:rsidP="00AD4EA1"/>
    <w:p w14:paraId="72113B3C" w14:textId="77777777" w:rsidR="00DB7466" w:rsidRDefault="00DB7466" w:rsidP="00AD4EA1"/>
    <w:p w14:paraId="1A1A6176" w14:textId="77777777" w:rsidR="00DB7466" w:rsidRDefault="00DB7466" w:rsidP="00AD4EA1"/>
    <w:p w14:paraId="0119BEAB" w14:textId="77777777" w:rsidR="00DB7466" w:rsidRDefault="00DB7466" w:rsidP="00AD4EA1"/>
    <w:p w14:paraId="53B44E95" w14:textId="77777777" w:rsidR="00DB7466" w:rsidRDefault="00DB7466" w:rsidP="00AD4EA1"/>
    <w:p w14:paraId="47378744" w14:textId="77777777" w:rsidR="00DB7466" w:rsidRDefault="00DB7466" w:rsidP="00AD4EA1"/>
    <w:p w14:paraId="384D188A" w14:textId="77777777" w:rsidR="00DB7466" w:rsidRDefault="00DB7466" w:rsidP="00AD4EA1"/>
    <w:p w14:paraId="00B34200" w14:textId="77777777" w:rsidR="00DB7466" w:rsidRDefault="00DB7466" w:rsidP="00AD4EA1"/>
    <w:p w14:paraId="77F7A1A2" w14:textId="77777777" w:rsidR="00DB7466" w:rsidRDefault="00DB7466" w:rsidP="00AD4EA1"/>
    <w:p w14:paraId="7200C76D" w14:textId="77777777" w:rsidR="00DB7466" w:rsidRDefault="00DB7466" w:rsidP="00AD4EA1"/>
    <w:p w14:paraId="22EF847B" w14:textId="77777777" w:rsidR="00DB7466" w:rsidRDefault="00DB7466" w:rsidP="00AD4EA1"/>
    <w:p w14:paraId="59BA1B1A" w14:textId="77777777" w:rsidR="00DB7466" w:rsidRDefault="00DB7466" w:rsidP="00AD4EA1"/>
    <w:p w14:paraId="53AEAC08" w14:textId="77777777" w:rsidR="00DB7466" w:rsidRDefault="00DB7466" w:rsidP="00AD4EA1"/>
    <w:p w14:paraId="6F0A84D9" w14:textId="77777777" w:rsidR="00DB7466" w:rsidRDefault="00DB7466" w:rsidP="00AD4EA1"/>
    <w:p w14:paraId="01975FCA" w14:textId="77777777" w:rsidR="00DB7466" w:rsidRDefault="00DB7466" w:rsidP="00AD4EA1"/>
    <w:p w14:paraId="27426BAD" w14:textId="77777777" w:rsidR="00DB7466" w:rsidRDefault="00DB7466" w:rsidP="00AD4EA1"/>
    <w:p w14:paraId="3A299488" w14:textId="77777777" w:rsidR="00DB7466" w:rsidRDefault="00DB7466" w:rsidP="00AD4EA1"/>
    <w:p w14:paraId="6833EBB9" w14:textId="77777777" w:rsidR="00DB7466" w:rsidRDefault="00DB7466" w:rsidP="00AD4EA1"/>
    <w:p w14:paraId="2AE71749" w14:textId="77777777" w:rsidR="00DB7466" w:rsidRDefault="00DB7466" w:rsidP="00AD4EA1"/>
    <w:p w14:paraId="7E7527C1" w14:textId="77777777" w:rsidR="00DB7466" w:rsidRDefault="00DB7466" w:rsidP="00AD4EA1"/>
    <w:p w14:paraId="6F8307F4" w14:textId="77777777" w:rsidR="00DB7466" w:rsidRDefault="00DB7466" w:rsidP="00AD4EA1"/>
    <w:p w14:paraId="10D50AC3" w14:textId="77777777" w:rsidR="00DB7466" w:rsidRDefault="00DB7466" w:rsidP="00AD4EA1"/>
    <w:p w14:paraId="580A9CB3" w14:textId="77777777" w:rsidR="00DB7466" w:rsidRDefault="00DB7466" w:rsidP="00AD4EA1"/>
    <w:p w14:paraId="2A2A7245" w14:textId="77777777" w:rsidR="00DB7466" w:rsidRDefault="00DB7466" w:rsidP="00AD4EA1"/>
    <w:p w14:paraId="396E827B" w14:textId="77777777" w:rsidR="00DB7466" w:rsidRDefault="00DB7466" w:rsidP="00AD4EA1"/>
    <w:p w14:paraId="5F90721D" w14:textId="77777777" w:rsidR="00DB7466" w:rsidRDefault="00DB7466" w:rsidP="00AD4EA1"/>
    <w:p w14:paraId="43769CAD" w14:textId="77777777" w:rsidR="00DB7466" w:rsidRDefault="00DB7466" w:rsidP="00AD4EA1"/>
    <w:p w14:paraId="38656008" w14:textId="77777777" w:rsidR="00DB7466" w:rsidRDefault="00DB7466" w:rsidP="00AD4EA1"/>
    <w:p w14:paraId="2421DBD0" w14:textId="77777777" w:rsidR="00DB7466" w:rsidRDefault="00DB7466" w:rsidP="00AD4EA1"/>
    <w:p w14:paraId="41FA8A49" w14:textId="77777777" w:rsidR="00DB7466" w:rsidRDefault="00DB7466" w:rsidP="00AD4EA1"/>
    <w:p w14:paraId="4397F68D" w14:textId="77777777" w:rsidR="00DB7466" w:rsidRDefault="00DB7466" w:rsidP="00AD4EA1"/>
    <w:p w14:paraId="37DA4582" w14:textId="77777777" w:rsidR="00DB7466" w:rsidRDefault="00DB7466" w:rsidP="00AD4EA1"/>
    <w:p w14:paraId="4BA94E3D" w14:textId="77777777" w:rsidR="00DB7466" w:rsidRDefault="00DB7466" w:rsidP="00AD4EA1"/>
    <w:p w14:paraId="392B54F9" w14:textId="77777777" w:rsidR="00DB7466" w:rsidRDefault="00DB7466" w:rsidP="00AD4EA1"/>
    <w:p w14:paraId="4E67B3FD" w14:textId="77777777" w:rsidR="00DB7466" w:rsidRDefault="00DB7466" w:rsidP="00AD4EA1"/>
    <w:p w14:paraId="7B70E173" w14:textId="77777777" w:rsidR="00DB7466" w:rsidRDefault="00DB7466" w:rsidP="00AD4EA1"/>
    <w:p w14:paraId="3485F23D" w14:textId="77777777" w:rsidR="00DB7466" w:rsidRDefault="00DB7466" w:rsidP="00AD4EA1"/>
    <w:p w14:paraId="11AAD293" w14:textId="77777777" w:rsidR="00DB7466" w:rsidRDefault="00DB7466" w:rsidP="00AD4EA1"/>
    <w:p w14:paraId="615CFEA8" w14:textId="77777777" w:rsidR="00DB7466" w:rsidRDefault="00DB7466" w:rsidP="00AD4EA1"/>
    <w:p w14:paraId="47A26825" w14:textId="77777777" w:rsidR="00DB7466" w:rsidRDefault="00DB7466" w:rsidP="00AD4EA1"/>
    <w:p w14:paraId="3C82299C" w14:textId="77777777" w:rsidR="00DB7466" w:rsidRDefault="00DB7466" w:rsidP="00AD4EA1"/>
    <w:p w14:paraId="68831B2A" w14:textId="77777777" w:rsidR="00DB7466" w:rsidRDefault="00DB7466" w:rsidP="00AD4EA1"/>
    <w:p w14:paraId="08B5FDC4" w14:textId="77777777" w:rsidR="00DB7466" w:rsidRDefault="00DB7466" w:rsidP="00AD4EA1"/>
    <w:p w14:paraId="48D50412" w14:textId="77777777" w:rsidR="00DB7466" w:rsidRDefault="00DB7466" w:rsidP="00AD4EA1"/>
    <w:p w14:paraId="2F0A0566" w14:textId="77777777" w:rsidR="00DB7466" w:rsidRDefault="00DB7466" w:rsidP="00AD4EA1"/>
    <w:p w14:paraId="2E7DF23F" w14:textId="77777777" w:rsidR="00DB7466" w:rsidRDefault="00DB7466" w:rsidP="00AD4EA1"/>
    <w:p w14:paraId="30C32CB6" w14:textId="77777777" w:rsidR="00DB7466" w:rsidRDefault="00DB7466" w:rsidP="00AD4EA1"/>
    <w:p w14:paraId="4A970314" w14:textId="77777777" w:rsidR="00DB7466" w:rsidRDefault="00DB7466" w:rsidP="00AD4EA1"/>
    <w:p w14:paraId="1E5E029D" w14:textId="77777777" w:rsidR="00DB7466" w:rsidRDefault="00DB7466" w:rsidP="00AD4EA1"/>
    <w:p w14:paraId="17970D8A" w14:textId="77777777" w:rsidR="00DB7466" w:rsidRDefault="00DB7466" w:rsidP="00AD4EA1"/>
    <w:p w14:paraId="18EF2C12" w14:textId="77777777" w:rsidR="00DB7466" w:rsidRDefault="00DB7466" w:rsidP="00AD4EA1"/>
    <w:p w14:paraId="2A7A6636" w14:textId="77777777" w:rsidR="00DB7466" w:rsidRDefault="00DB7466" w:rsidP="00AD4EA1"/>
    <w:p w14:paraId="34AFFDE2" w14:textId="77777777" w:rsidR="00DB7466" w:rsidRDefault="00DB7466" w:rsidP="00AD4EA1"/>
    <w:p w14:paraId="5EAB9FE4" w14:textId="77777777" w:rsidR="00DB7466" w:rsidRDefault="00DB7466" w:rsidP="00AD4EA1"/>
    <w:p w14:paraId="7921D108" w14:textId="77777777" w:rsidR="00DB7466" w:rsidRDefault="00DB7466" w:rsidP="00AD4EA1"/>
    <w:p w14:paraId="215D0CA1" w14:textId="77777777" w:rsidR="00DB7466" w:rsidRDefault="00DB7466" w:rsidP="00AD4EA1"/>
    <w:p w14:paraId="09BA458C" w14:textId="77777777" w:rsidR="00DB7466" w:rsidRDefault="00DB7466" w:rsidP="00AD4EA1"/>
    <w:p w14:paraId="4A0AC328" w14:textId="77777777" w:rsidR="00DB7466" w:rsidRDefault="00DB7466" w:rsidP="00AD4EA1"/>
    <w:p w14:paraId="19EDB152" w14:textId="77777777" w:rsidR="00DB7466" w:rsidRDefault="00DB7466" w:rsidP="00AD4EA1"/>
    <w:p w14:paraId="4EB85DD2" w14:textId="77777777" w:rsidR="00DB7466" w:rsidRDefault="00DB7466" w:rsidP="00AD4EA1"/>
    <w:p w14:paraId="11F422A0" w14:textId="77777777" w:rsidR="00DB7466" w:rsidRDefault="00DB7466" w:rsidP="00AD4EA1"/>
    <w:p w14:paraId="5DE105BA" w14:textId="77777777" w:rsidR="00DB7466" w:rsidRDefault="00DB7466" w:rsidP="00AD4EA1"/>
    <w:p w14:paraId="1CA593DA" w14:textId="77777777" w:rsidR="00DB7466" w:rsidRDefault="00DB7466" w:rsidP="00AD4EA1"/>
    <w:p w14:paraId="1725DF86" w14:textId="77777777" w:rsidR="00DB7466" w:rsidRDefault="00DB7466" w:rsidP="00AD4EA1"/>
    <w:p w14:paraId="22FCDC8A" w14:textId="77777777" w:rsidR="00DB7466" w:rsidRDefault="00DB7466" w:rsidP="00AD4EA1"/>
    <w:p w14:paraId="59A57133" w14:textId="77777777" w:rsidR="00DB7466" w:rsidRDefault="00DB7466" w:rsidP="00AD4EA1"/>
    <w:p w14:paraId="3AF48DEA" w14:textId="77777777" w:rsidR="00DB7466" w:rsidRDefault="00DB7466" w:rsidP="00AD4EA1"/>
    <w:p w14:paraId="52F5226C" w14:textId="77777777" w:rsidR="00DB7466" w:rsidRDefault="00DB7466" w:rsidP="00AD4EA1"/>
    <w:p w14:paraId="21366FF7" w14:textId="77777777" w:rsidR="00DB7466" w:rsidRDefault="00DB7466" w:rsidP="00AD4EA1"/>
    <w:p w14:paraId="40720B55" w14:textId="77777777" w:rsidR="00DB7466" w:rsidRDefault="00DB7466" w:rsidP="00AD4EA1"/>
    <w:p w14:paraId="722982FC" w14:textId="77777777" w:rsidR="00DB7466" w:rsidRDefault="00DB7466" w:rsidP="00AD4EA1"/>
    <w:p w14:paraId="3D92E5D9" w14:textId="77777777" w:rsidR="00DB7466" w:rsidRDefault="00DB7466" w:rsidP="00AD4EA1"/>
    <w:p w14:paraId="478889AD" w14:textId="77777777" w:rsidR="00DB7466" w:rsidRDefault="00DB7466" w:rsidP="00AD4EA1"/>
    <w:p w14:paraId="5C169580" w14:textId="77777777" w:rsidR="00DB7466" w:rsidRDefault="00DB7466" w:rsidP="00AD4EA1"/>
    <w:p w14:paraId="69723FAA" w14:textId="77777777" w:rsidR="00DB7466" w:rsidRDefault="00DB7466" w:rsidP="00AD4EA1"/>
    <w:p w14:paraId="5F0159BD" w14:textId="77777777" w:rsidR="00DB7466" w:rsidRDefault="00DB7466" w:rsidP="00AD4EA1"/>
    <w:p w14:paraId="51DC8099" w14:textId="77777777" w:rsidR="00DB7466" w:rsidRDefault="00DB7466" w:rsidP="00AD4EA1"/>
    <w:p w14:paraId="133E5EBA" w14:textId="77777777" w:rsidR="00DB7466" w:rsidRDefault="00DB7466" w:rsidP="00AD4EA1"/>
    <w:p w14:paraId="5AC4C3AF" w14:textId="77777777" w:rsidR="00DB7466" w:rsidRDefault="00DB7466" w:rsidP="00AD4EA1"/>
    <w:p w14:paraId="499400AB" w14:textId="77777777" w:rsidR="00DB7466" w:rsidRDefault="00DB7466" w:rsidP="00AD4EA1"/>
    <w:p w14:paraId="4DEA6FC5" w14:textId="77777777" w:rsidR="00DB7466" w:rsidRDefault="00DB7466" w:rsidP="00AD4EA1"/>
    <w:p w14:paraId="35CEB5A1" w14:textId="77777777" w:rsidR="00DB7466" w:rsidRDefault="00DB7466" w:rsidP="00AD4EA1"/>
    <w:p w14:paraId="561AABE4" w14:textId="77777777" w:rsidR="00DB7466" w:rsidRDefault="00DB7466" w:rsidP="00AD4EA1"/>
    <w:p w14:paraId="584131D4" w14:textId="77777777" w:rsidR="00DB7466" w:rsidRDefault="00DB7466" w:rsidP="00AD4EA1"/>
    <w:p w14:paraId="58217059" w14:textId="77777777" w:rsidR="00DB7466" w:rsidRDefault="00DB7466" w:rsidP="00AD4EA1"/>
    <w:p w14:paraId="15DFFA79" w14:textId="77777777" w:rsidR="00DB7466" w:rsidRDefault="00DB7466" w:rsidP="00AD4EA1"/>
    <w:p w14:paraId="4C98BC43" w14:textId="77777777" w:rsidR="00DB7466" w:rsidRDefault="00DB7466" w:rsidP="00AD4EA1"/>
    <w:p w14:paraId="1A7B3B0C" w14:textId="77777777" w:rsidR="00DB7466" w:rsidRDefault="00DB7466" w:rsidP="00AD4EA1"/>
    <w:p w14:paraId="0494F3A2" w14:textId="77777777" w:rsidR="00DB7466" w:rsidRDefault="00DB7466" w:rsidP="00AD4EA1"/>
    <w:p w14:paraId="61535123" w14:textId="77777777" w:rsidR="00DB7466" w:rsidRDefault="00DB7466" w:rsidP="00AD4EA1"/>
    <w:p w14:paraId="545C89E6" w14:textId="77777777" w:rsidR="00DB7466" w:rsidRDefault="00DB7466" w:rsidP="00AD4EA1"/>
    <w:p w14:paraId="7D2322C1" w14:textId="77777777" w:rsidR="00DB7466" w:rsidRDefault="00DB7466" w:rsidP="00AD4EA1"/>
    <w:p w14:paraId="47F93D06" w14:textId="77777777" w:rsidR="00DB7466" w:rsidRDefault="00DB7466" w:rsidP="00AD4EA1"/>
    <w:p w14:paraId="3FA6F336" w14:textId="77777777" w:rsidR="00DB7466" w:rsidRDefault="00DB7466" w:rsidP="00AD4EA1"/>
    <w:p w14:paraId="02CD24E7" w14:textId="77777777" w:rsidR="00DB7466" w:rsidRDefault="00DB7466" w:rsidP="00AD4EA1"/>
    <w:p w14:paraId="130D73EF" w14:textId="77777777" w:rsidR="00DB7466" w:rsidRDefault="00DB7466" w:rsidP="00AD4EA1"/>
    <w:p w14:paraId="06254C48" w14:textId="77777777" w:rsidR="00DB7466" w:rsidRDefault="00DB7466" w:rsidP="00AD4EA1"/>
    <w:p w14:paraId="5FEC0FF7" w14:textId="77777777" w:rsidR="00DB7466" w:rsidRDefault="00DB7466" w:rsidP="00AD4EA1"/>
    <w:p w14:paraId="7E2D5E34" w14:textId="77777777" w:rsidR="00DB7466" w:rsidRDefault="00DB7466" w:rsidP="00AD4EA1"/>
    <w:p w14:paraId="2D83EB2D" w14:textId="77777777" w:rsidR="00DB7466" w:rsidRDefault="00DB7466" w:rsidP="00AD4EA1"/>
    <w:p w14:paraId="38E1E19C" w14:textId="77777777" w:rsidR="00DB7466" w:rsidRDefault="00DB7466" w:rsidP="00AD4EA1"/>
    <w:p w14:paraId="4C98E35B" w14:textId="77777777" w:rsidR="00DB7466" w:rsidRDefault="00DB7466" w:rsidP="00AD4EA1"/>
    <w:p w14:paraId="2056F10D" w14:textId="77777777" w:rsidR="00DB7466" w:rsidRDefault="00DB7466" w:rsidP="00AD4EA1"/>
    <w:p w14:paraId="426A5524" w14:textId="77777777" w:rsidR="00DB7466" w:rsidRDefault="00DB7466" w:rsidP="00AD4EA1"/>
    <w:p w14:paraId="0451229E" w14:textId="77777777" w:rsidR="00DB7466" w:rsidRDefault="00DB7466" w:rsidP="00AD4EA1"/>
    <w:p w14:paraId="37A9C763" w14:textId="77777777" w:rsidR="00DB7466" w:rsidRDefault="00DB7466" w:rsidP="00AD4EA1"/>
    <w:p w14:paraId="0752FF74" w14:textId="77777777" w:rsidR="00DB7466" w:rsidRDefault="00DB7466" w:rsidP="00AD4EA1"/>
    <w:p w14:paraId="161EBA7E" w14:textId="77777777" w:rsidR="00DB7466" w:rsidRDefault="00DB7466" w:rsidP="00AD4EA1"/>
    <w:p w14:paraId="33E533D7" w14:textId="77777777" w:rsidR="00DB7466" w:rsidRDefault="00DB7466" w:rsidP="00AD4EA1"/>
    <w:p w14:paraId="7B027E31" w14:textId="77777777" w:rsidR="00DB7466" w:rsidRDefault="00DB7466" w:rsidP="00AD4EA1"/>
    <w:p w14:paraId="29B01BC2" w14:textId="77777777" w:rsidR="00DB7466" w:rsidRDefault="00DB7466" w:rsidP="00AD4EA1"/>
    <w:p w14:paraId="6425A1FD" w14:textId="77777777" w:rsidR="00DB7466" w:rsidRDefault="00DB7466" w:rsidP="00AD4EA1"/>
    <w:p w14:paraId="12C44FD0" w14:textId="77777777" w:rsidR="00DB7466" w:rsidRDefault="00DB7466" w:rsidP="00AD4EA1"/>
    <w:p w14:paraId="10369D6E" w14:textId="77777777" w:rsidR="00DB7466" w:rsidRDefault="00DB7466" w:rsidP="00AD4EA1"/>
    <w:p w14:paraId="1A4247A6" w14:textId="77777777" w:rsidR="00DB7466" w:rsidRDefault="00DB7466" w:rsidP="00AD4EA1"/>
    <w:p w14:paraId="7BC3781A" w14:textId="77777777" w:rsidR="00DB7466" w:rsidRDefault="00DB7466" w:rsidP="00AD4EA1"/>
    <w:p w14:paraId="14E3849E" w14:textId="77777777" w:rsidR="00DB7466" w:rsidRDefault="00DB7466" w:rsidP="00AD4EA1"/>
    <w:p w14:paraId="77636EF2" w14:textId="77777777" w:rsidR="00DB7466" w:rsidRDefault="00DB7466" w:rsidP="00AD4EA1"/>
    <w:p w14:paraId="3CA43A0B" w14:textId="77777777" w:rsidR="00DB7466" w:rsidRDefault="00DB7466" w:rsidP="00AD4EA1"/>
    <w:p w14:paraId="035382DA" w14:textId="77777777" w:rsidR="00DB7466" w:rsidRDefault="00DB7466" w:rsidP="00AD4EA1"/>
    <w:p w14:paraId="35CFAA48" w14:textId="77777777" w:rsidR="00DB7466" w:rsidRDefault="00DB7466" w:rsidP="00AD4EA1"/>
    <w:p w14:paraId="7AC451C4" w14:textId="77777777" w:rsidR="00DB7466" w:rsidRDefault="00DB7466" w:rsidP="00AD4EA1"/>
    <w:p w14:paraId="5881B33A" w14:textId="77777777" w:rsidR="00DB7466" w:rsidRDefault="00DB7466" w:rsidP="00AD4EA1"/>
    <w:p w14:paraId="02C5AEFC" w14:textId="77777777" w:rsidR="00DB7466" w:rsidRDefault="00DB7466" w:rsidP="00AD4EA1"/>
    <w:p w14:paraId="74D6B723" w14:textId="77777777" w:rsidR="00DB7466" w:rsidRDefault="00DB7466" w:rsidP="00AD4EA1"/>
    <w:p w14:paraId="6C3C9F64" w14:textId="77777777" w:rsidR="00DB7466" w:rsidRDefault="00DB7466" w:rsidP="00AD4EA1"/>
    <w:p w14:paraId="6CBBC2D3" w14:textId="77777777" w:rsidR="00DB7466" w:rsidRDefault="00DB7466" w:rsidP="00AD4EA1"/>
    <w:p w14:paraId="7A2E1076" w14:textId="77777777" w:rsidR="00DB7466" w:rsidRDefault="00DB7466" w:rsidP="00AD4EA1"/>
    <w:p w14:paraId="543A69CA" w14:textId="77777777" w:rsidR="00DB7466" w:rsidRDefault="00DB7466" w:rsidP="00AD4EA1"/>
    <w:p w14:paraId="5FF94C03" w14:textId="77777777" w:rsidR="00DB7466" w:rsidRDefault="00DB7466" w:rsidP="00AD4EA1"/>
    <w:p w14:paraId="79E602ED" w14:textId="77777777" w:rsidR="00DB7466" w:rsidRDefault="00DB7466" w:rsidP="00AD4EA1"/>
    <w:p w14:paraId="080B3743" w14:textId="77777777" w:rsidR="00DB7466" w:rsidRDefault="00DB7466" w:rsidP="00AD4EA1"/>
    <w:p w14:paraId="3153ADE1" w14:textId="77777777" w:rsidR="00DB7466" w:rsidRDefault="00DB7466" w:rsidP="00AD4EA1"/>
    <w:p w14:paraId="72424E7A" w14:textId="77777777" w:rsidR="00DB7466" w:rsidRDefault="00DB7466" w:rsidP="00AD4EA1"/>
    <w:p w14:paraId="74C991EF" w14:textId="77777777" w:rsidR="00DB7466" w:rsidRDefault="00DB7466" w:rsidP="00AD4EA1"/>
    <w:p w14:paraId="73F06226" w14:textId="77777777" w:rsidR="00DB7466" w:rsidRDefault="00DB7466" w:rsidP="00AD4EA1"/>
    <w:p w14:paraId="67F25466" w14:textId="77777777" w:rsidR="00DB7466" w:rsidRDefault="00DB7466" w:rsidP="00AD4EA1"/>
    <w:p w14:paraId="569CABFD" w14:textId="77777777" w:rsidR="00DB7466" w:rsidRDefault="00DB7466" w:rsidP="00AD4EA1"/>
    <w:p w14:paraId="537EE811" w14:textId="77777777" w:rsidR="00DB7466" w:rsidRDefault="00DB7466" w:rsidP="00AD4EA1"/>
    <w:p w14:paraId="4699C83D" w14:textId="77777777" w:rsidR="00DB7466" w:rsidRDefault="00DB7466" w:rsidP="00AD4EA1"/>
    <w:p w14:paraId="14A3B3DD" w14:textId="77777777" w:rsidR="00DB7466" w:rsidRDefault="00DB7466" w:rsidP="00AD4EA1"/>
    <w:p w14:paraId="6737E7BF" w14:textId="77777777" w:rsidR="00DB7466" w:rsidRDefault="00DB7466" w:rsidP="00AD4EA1"/>
    <w:p w14:paraId="66C268A5" w14:textId="77777777" w:rsidR="00DB7466" w:rsidRDefault="00DB7466" w:rsidP="00AD4EA1"/>
    <w:p w14:paraId="4B356F1D" w14:textId="77777777" w:rsidR="00DB7466" w:rsidRDefault="00DB7466" w:rsidP="00AD4EA1"/>
    <w:p w14:paraId="5BF477F6" w14:textId="77777777" w:rsidR="00DB7466" w:rsidRDefault="00DB7466" w:rsidP="00AD4EA1"/>
    <w:p w14:paraId="4CAAFCB2" w14:textId="77777777" w:rsidR="00DB7466" w:rsidRDefault="00DB7466" w:rsidP="00AD4EA1"/>
    <w:p w14:paraId="56AD1AD2" w14:textId="77777777" w:rsidR="00DB7466" w:rsidRDefault="00DB7466" w:rsidP="00AD4EA1"/>
    <w:p w14:paraId="49EAC22E" w14:textId="77777777" w:rsidR="00DB7466" w:rsidRDefault="00DB7466" w:rsidP="00AD4EA1"/>
    <w:p w14:paraId="4E283B06" w14:textId="77777777" w:rsidR="00DB7466" w:rsidRDefault="00DB7466" w:rsidP="00AD4EA1"/>
    <w:p w14:paraId="786D26A0" w14:textId="77777777" w:rsidR="00DB7466" w:rsidRDefault="00DB7466" w:rsidP="00AD4EA1"/>
    <w:p w14:paraId="0E6FB2FA" w14:textId="77777777" w:rsidR="00DB7466" w:rsidRDefault="00DB7466" w:rsidP="00AD4EA1"/>
    <w:p w14:paraId="6E31D531" w14:textId="77777777" w:rsidR="00DB7466" w:rsidRDefault="00DB7466" w:rsidP="00AD4EA1"/>
    <w:p w14:paraId="08CCB7BC" w14:textId="77777777" w:rsidR="00DB7466" w:rsidRDefault="00DB7466" w:rsidP="00AD4EA1"/>
    <w:p w14:paraId="30B14F63" w14:textId="77777777" w:rsidR="00DB7466" w:rsidRDefault="00DB7466" w:rsidP="00AD4EA1"/>
    <w:p w14:paraId="1D3F4343" w14:textId="77777777" w:rsidR="00DB7466" w:rsidRDefault="00DB7466" w:rsidP="00AD4EA1"/>
    <w:p w14:paraId="1F0420F5" w14:textId="77777777" w:rsidR="00DB7466" w:rsidRDefault="00DB7466" w:rsidP="00AD4EA1"/>
    <w:p w14:paraId="7C7112A5" w14:textId="77777777" w:rsidR="00DB7466" w:rsidRDefault="00DB7466" w:rsidP="00AD4EA1"/>
    <w:p w14:paraId="18E53443" w14:textId="77777777" w:rsidR="00DB7466" w:rsidRDefault="00DB7466" w:rsidP="00AD4EA1"/>
    <w:p w14:paraId="2C12AC9B" w14:textId="77777777" w:rsidR="00DB7466" w:rsidRDefault="00DB7466" w:rsidP="00AD4EA1"/>
    <w:p w14:paraId="63748DF9" w14:textId="77777777" w:rsidR="00DB7466" w:rsidRDefault="00DB7466" w:rsidP="00AD4EA1"/>
    <w:p w14:paraId="0977773B" w14:textId="77777777" w:rsidR="00DB7466" w:rsidRDefault="00DB7466" w:rsidP="00AD4EA1"/>
    <w:p w14:paraId="4725C9E1" w14:textId="77777777" w:rsidR="00DB7466" w:rsidRDefault="00DB7466" w:rsidP="00AD4EA1"/>
    <w:p w14:paraId="0FBEA677" w14:textId="77777777" w:rsidR="00DB7466" w:rsidRDefault="00DB7466" w:rsidP="00AD4EA1"/>
    <w:p w14:paraId="2004E206" w14:textId="77777777" w:rsidR="00DB7466" w:rsidRDefault="00DB7466" w:rsidP="00AD4EA1"/>
    <w:p w14:paraId="765FBBE5" w14:textId="77777777" w:rsidR="00DB7466" w:rsidRDefault="00DB7466" w:rsidP="00AD4EA1"/>
    <w:p w14:paraId="51B8377A" w14:textId="77777777" w:rsidR="00DB7466" w:rsidRDefault="00DB7466" w:rsidP="00AD4EA1"/>
    <w:p w14:paraId="233523C1" w14:textId="77777777" w:rsidR="00DB7466" w:rsidRDefault="00DB7466" w:rsidP="00AD4EA1"/>
    <w:p w14:paraId="48A9742F" w14:textId="77777777" w:rsidR="00DB7466" w:rsidRDefault="00DB7466" w:rsidP="00AD4EA1"/>
    <w:p w14:paraId="27DB1D72" w14:textId="77777777" w:rsidR="00DB7466" w:rsidRDefault="00DB7466" w:rsidP="00AD4EA1"/>
    <w:p w14:paraId="1C05673F" w14:textId="77777777" w:rsidR="00DB7466" w:rsidRDefault="00DB7466" w:rsidP="00AD4EA1"/>
    <w:p w14:paraId="1656A4A5" w14:textId="77777777" w:rsidR="00DB7466" w:rsidRDefault="00DB7466" w:rsidP="00AD4EA1"/>
    <w:p w14:paraId="14F70FBB" w14:textId="77777777" w:rsidR="00DB7466" w:rsidRDefault="00DB7466" w:rsidP="00AD4EA1"/>
    <w:p w14:paraId="65233ED7" w14:textId="77777777" w:rsidR="00DB7466" w:rsidRDefault="00DB7466" w:rsidP="00AD4EA1"/>
    <w:p w14:paraId="142EAA01" w14:textId="77777777" w:rsidR="00DB7466" w:rsidRDefault="00DB7466" w:rsidP="00AD4EA1"/>
    <w:p w14:paraId="5D3CB16B" w14:textId="77777777" w:rsidR="00DB7466" w:rsidRDefault="00DB7466" w:rsidP="00AD4EA1"/>
    <w:p w14:paraId="7C6F3387" w14:textId="77777777" w:rsidR="00DB7466" w:rsidRDefault="00DB7466" w:rsidP="00AD4EA1"/>
    <w:p w14:paraId="5118C431" w14:textId="77777777" w:rsidR="00DB7466" w:rsidRDefault="00DB7466" w:rsidP="00AD4EA1"/>
    <w:p w14:paraId="3E2B7945" w14:textId="77777777" w:rsidR="00DB7466" w:rsidRDefault="00DB7466" w:rsidP="00AD4EA1"/>
    <w:p w14:paraId="24D8345E" w14:textId="77777777" w:rsidR="00DB7466" w:rsidRDefault="00DB7466" w:rsidP="00AD4EA1"/>
    <w:p w14:paraId="155DCDFF" w14:textId="77777777" w:rsidR="00DB7466" w:rsidRDefault="00DB7466" w:rsidP="00AD4EA1"/>
    <w:p w14:paraId="4AB46CEE" w14:textId="77777777" w:rsidR="00DB7466" w:rsidRDefault="00DB7466" w:rsidP="00AD4EA1"/>
    <w:p w14:paraId="06C3B045" w14:textId="77777777" w:rsidR="00DB7466" w:rsidRDefault="00DB7466" w:rsidP="00AD4EA1"/>
    <w:p w14:paraId="1C4DF753" w14:textId="77777777" w:rsidR="00DB7466" w:rsidRDefault="00DB7466" w:rsidP="00AD4EA1"/>
    <w:p w14:paraId="7615DDBA" w14:textId="77777777" w:rsidR="00DB7466" w:rsidRDefault="00DB7466" w:rsidP="00AD4EA1"/>
    <w:p w14:paraId="3FE819B6" w14:textId="77777777" w:rsidR="00DB7466" w:rsidRDefault="00DB7466" w:rsidP="00AD4EA1"/>
    <w:p w14:paraId="462F3FBF" w14:textId="77777777" w:rsidR="00DB7466" w:rsidRDefault="00DB7466" w:rsidP="00AD4EA1"/>
    <w:p w14:paraId="1DAD5A0E" w14:textId="77777777" w:rsidR="00DB7466" w:rsidRDefault="00DB7466" w:rsidP="00AD4EA1"/>
    <w:p w14:paraId="1E64927F" w14:textId="77777777" w:rsidR="00DB7466" w:rsidRDefault="00DB7466" w:rsidP="00AD4EA1"/>
    <w:p w14:paraId="1354C996" w14:textId="77777777" w:rsidR="00DB7466" w:rsidRDefault="00DB7466" w:rsidP="00AD4EA1"/>
    <w:p w14:paraId="36C642DB" w14:textId="77777777" w:rsidR="00DB7466" w:rsidRDefault="00DB7466" w:rsidP="00AD4EA1"/>
    <w:p w14:paraId="6EFF8A59" w14:textId="77777777" w:rsidR="00DB7466" w:rsidRDefault="00DB7466" w:rsidP="00AD4EA1"/>
    <w:p w14:paraId="5C6B5A69" w14:textId="77777777" w:rsidR="00DB7466" w:rsidRDefault="00DB7466" w:rsidP="00AD4EA1"/>
    <w:p w14:paraId="1D786582" w14:textId="77777777" w:rsidR="00DB7466" w:rsidRDefault="00DB7466" w:rsidP="00AD4EA1"/>
    <w:p w14:paraId="2EDAED44" w14:textId="77777777" w:rsidR="00DB7466" w:rsidRDefault="00DB7466" w:rsidP="00AD4EA1"/>
    <w:p w14:paraId="1FCD16A8" w14:textId="77777777" w:rsidR="00DB7466" w:rsidRDefault="00DB7466" w:rsidP="00AD4EA1"/>
    <w:p w14:paraId="19EAF36A" w14:textId="77777777" w:rsidR="00DB7466" w:rsidRDefault="00DB7466" w:rsidP="00AD4EA1"/>
    <w:p w14:paraId="6588EED1" w14:textId="77777777" w:rsidR="00DB7466" w:rsidRDefault="00DB7466" w:rsidP="00AD4EA1"/>
    <w:p w14:paraId="513EA270" w14:textId="77777777" w:rsidR="00DB7466" w:rsidRDefault="00DB7466" w:rsidP="00AD4EA1"/>
    <w:p w14:paraId="6AEA8CB5" w14:textId="77777777" w:rsidR="00DB7466" w:rsidRDefault="00DB7466" w:rsidP="00AD4EA1"/>
    <w:p w14:paraId="4324FCC8" w14:textId="77777777" w:rsidR="00DB7466" w:rsidRDefault="00DB7466" w:rsidP="00AD4EA1"/>
    <w:p w14:paraId="7D025666" w14:textId="77777777" w:rsidR="00DB7466" w:rsidRDefault="00DB7466" w:rsidP="00AD4EA1"/>
    <w:p w14:paraId="5DB98DC6" w14:textId="77777777" w:rsidR="00DB7466" w:rsidRDefault="00DB7466" w:rsidP="00AD4EA1"/>
    <w:p w14:paraId="3280D58C" w14:textId="77777777" w:rsidR="00DB7466" w:rsidRDefault="00DB7466" w:rsidP="00AD4EA1"/>
    <w:p w14:paraId="138D35ED" w14:textId="77777777" w:rsidR="00DB7466" w:rsidRDefault="00DB7466" w:rsidP="00AD4EA1"/>
    <w:p w14:paraId="2B5A8550" w14:textId="77777777" w:rsidR="00DB7466" w:rsidRDefault="00DB7466" w:rsidP="00AD4EA1"/>
    <w:p w14:paraId="4AB91B17" w14:textId="77777777" w:rsidR="00DB7466" w:rsidRDefault="00DB7466" w:rsidP="00AD4EA1"/>
    <w:p w14:paraId="3A5110B5" w14:textId="77777777" w:rsidR="00DB7466" w:rsidRDefault="00DB7466" w:rsidP="00AD4EA1"/>
    <w:p w14:paraId="52FAB0F1" w14:textId="77777777" w:rsidR="00DB7466" w:rsidRDefault="00DB7466" w:rsidP="00AD4EA1"/>
    <w:p w14:paraId="7662E870" w14:textId="77777777" w:rsidR="00DB7466" w:rsidRDefault="00DB7466" w:rsidP="00AD4EA1"/>
    <w:p w14:paraId="4B7BF730" w14:textId="77777777" w:rsidR="00DB7466" w:rsidRDefault="00DB7466" w:rsidP="00AD4EA1"/>
    <w:p w14:paraId="6DC6D8DB" w14:textId="77777777" w:rsidR="00DB7466" w:rsidRDefault="00DB7466" w:rsidP="00AD4EA1"/>
    <w:p w14:paraId="007A4365" w14:textId="77777777" w:rsidR="00DB7466" w:rsidRDefault="00DB7466" w:rsidP="00AD4EA1"/>
    <w:p w14:paraId="6D783AA7" w14:textId="77777777" w:rsidR="00DB7466" w:rsidRDefault="00DB7466" w:rsidP="00AD4EA1"/>
    <w:p w14:paraId="386F0504" w14:textId="77777777" w:rsidR="00DB7466" w:rsidRDefault="00DB7466" w:rsidP="00AD4EA1"/>
    <w:p w14:paraId="1620427F" w14:textId="77777777" w:rsidR="00DB7466" w:rsidRDefault="00DB7466" w:rsidP="00AD4EA1"/>
    <w:p w14:paraId="6EA3C605" w14:textId="77777777" w:rsidR="00DB7466" w:rsidRDefault="00DB7466" w:rsidP="00AD4EA1"/>
    <w:p w14:paraId="1BF09D63" w14:textId="77777777" w:rsidR="00DB7466" w:rsidRDefault="00DB7466" w:rsidP="00AD4EA1"/>
    <w:p w14:paraId="78D2A445" w14:textId="77777777" w:rsidR="00DB7466" w:rsidRDefault="00DB7466" w:rsidP="00AD4EA1"/>
    <w:p w14:paraId="43F4EBF1" w14:textId="77777777" w:rsidR="00DB7466" w:rsidRDefault="00DB7466" w:rsidP="00AD4EA1"/>
    <w:p w14:paraId="260C6694" w14:textId="77777777" w:rsidR="00DB7466" w:rsidRDefault="00DB7466" w:rsidP="00AD4EA1"/>
    <w:p w14:paraId="44C7F011" w14:textId="77777777" w:rsidR="00DB7466" w:rsidRDefault="00DB7466" w:rsidP="00AD4EA1"/>
    <w:p w14:paraId="45518DC6" w14:textId="77777777" w:rsidR="00DB7466" w:rsidRDefault="00DB7466" w:rsidP="00AD4EA1"/>
    <w:p w14:paraId="64B8B759" w14:textId="77777777" w:rsidR="00DB7466" w:rsidRDefault="00DB7466" w:rsidP="00AD4EA1"/>
    <w:p w14:paraId="1D5ECA0B" w14:textId="77777777" w:rsidR="00DB7466" w:rsidRDefault="00DB7466" w:rsidP="00AD4EA1"/>
    <w:p w14:paraId="5879D35F" w14:textId="77777777" w:rsidR="00DB7466" w:rsidRDefault="00DB7466" w:rsidP="00AD4EA1"/>
    <w:p w14:paraId="54AED95F" w14:textId="77777777" w:rsidR="00DB7466" w:rsidRDefault="00DB7466" w:rsidP="00AD4EA1"/>
    <w:p w14:paraId="52D60700" w14:textId="77777777" w:rsidR="00DB7466" w:rsidRDefault="00DB7466" w:rsidP="00AD4EA1"/>
    <w:p w14:paraId="77D75DA5" w14:textId="77777777" w:rsidR="00DB7466" w:rsidRDefault="00DB7466" w:rsidP="00AD4EA1"/>
    <w:p w14:paraId="1C306A32" w14:textId="77777777" w:rsidR="00DB7466" w:rsidRDefault="00DB7466" w:rsidP="00AD4EA1"/>
    <w:p w14:paraId="0866BF55" w14:textId="77777777" w:rsidR="00DB7466" w:rsidRDefault="00DB7466" w:rsidP="00AD4EA1"/>
    <w:p w14:paraId="68C6D813" w14:textId="77777777" w:rsidR="00DB7466" w:rsidRDefault="00DB7466" w:rsidP="00AD4EA1"/>
    <w:p w14:paraId="2F5C3396" w14:textId="77777777" w:rsidR="00DB7466" w:rsidRDefault="00DB7466" w:rsidP="00AD4EA1"/>
    <w:p w14:paraId="7F33BD6E" w14:textId="77777777" w:rsidR="00DB7466" w:rsidRDefault="00DB7466" w:rsidP="00AD4EA1"/>
    <w:p w14:paraId="7EF73126" w14:textId="77777777" w:rsidR="00DB7466" w:rsidRDefault="00DB7466" w:rsidP="00AD4EA1"/>
    <w:p w14:paraId="6C25794F" w14:textId="77777777" w:rsidR="00DB7466" w:rsidRDefault="00DB7466" w:rsidP="00AD4EA1"/>
    <w:p w14:paraId="74ABCB4D" w14:textId="77777777" w:rsidR="00DB7466" w:rsidRDefault="00DB7466" w:rsidP="00AD4EA1"/>
    <w:p w14:paraId="7DA32FB2" w14:textId="77777777" w:rsidR="00DB7466" w:rsidRDefault="00DB7466" w:rsidP="00AD4EA1"/>
    <w:p w14:paraId="7869C110" w14:textId="77777777" w:rsidR="00DB7466" w:rsidRDefault="00DB7466" w:rsidP="00AD4EA1"/>
    <w:p w14:paraId="0C207754" w14:textId="77777777" w:rsidR="00DB7466" w:rsidRDefault="00DB7466" w:rsidP="00AD4EA1"/>
    <w:p w14:paraId="548E9660" w14:textId="77777777" w:rsidR="00DB7466" w:rsidRDefault="00DB7466" w:rsidP="00AD4EA1"/>
    <w:p w14:paraId="7D2BB7F0" w14:textId="77777777" w:rsidR="00DB7466" w:rsidRDefault="00DB7466" w:rsidP="00AD4EA1"/>
    <w:p w14:paraId="113C74F1" w14:textId="77777777" w:rsidR="00DB7466" w:rsidRDefault="00DB7466" w:rsidP="00AD4EA1"/>
    <w:p w14:paraId="575EF3AD" w14:textId="77777777" w:rsidR="00DB7466" w:rsidRDefault="00DB7466" w:rsidP="00AD4EA1"/>
    <w:p w14:paraId="70B7218A" w14:textId="77777777" w:rsidR="00DB7466" w:rsidRDefault="00DB7466" w:rsidP="00AD4EA1"/>
    <w:p w14:paraId="3C8EA857" w14:textId="77777777" w:rsidR="00DB7466" w:rsidRDefault="00DB7466" w:rsidP="00AD4EA1"/>
    <w:p w14:paraId="47DCD929" w14:textId="77777777" w:rsidR="00DB7466" w:rsidRDefault="00DB7466" w:rsidP="00AD4EA1"/>
    <w:p w14:paraId="7E83E5A3" w14:textId="77777777" w:rsidR="00DB7466" w:rsidRDefault="00DB7466" w:rsidP="00AD4EA1"/>
    <w:p w14:paraId="250DA610" w14:textId="77777777" w:rsidR="00DB7466" w:rsidRDefault="00DB7466" w:rsidP="00AD4EA1"/>
    <w:p w14:paraId="17A8736E" w14:textId="77777777" w:rsidR="00DB7466" w:rsidRDefault="00DB7466" w:rsidP="00AD4EA1"/>
    <w:p w14:paraId="3460FE9B" w14:textId="77777777" w:rsidR="00DB7466" w:rsidRDefault="00DB7466" w:rsidP="00AD4EA1"/>
    <w:p w14:paraId="08144A44" w14:textId="77777777" w:rsidR="00DB7466" w:rsidRDefault="00DB7466" w:rsidP="00AD4EA1"/>
    <w:p w14:paraId="0D71D0E6" w14:textId="77777777" w:rsidR="00DB7466" w:rsidRDefault="00DB7466" w:rsidP="00AD4EA1"/>
    <w:p w14:paraId="6267B1E3" w14:textId="77777777" w:rsidR="00DB7466" w:rsidRDefault="00DB7466" w:rsidP="00AD4EA1"/>
    <w:p w14:paraId="3F20435B" w14:textId="77777777" w:rsidR="00DB7466" w:rsidRDefault="00DB7466" w:rsidP="00AD4EA1"/>
    <w:p w14:paraId="53C4D77E" w14:textId="77777777" w:rsidR="00DB7466" w:rsidRDefault="00DB7466" w:rsidP="00AD4EA1"/>
    <w:p w14:paraId="418BEA05" w14:textId="77777777" w:rsidR="00DB7466" w:rsidRDefault="00DB7466" w:rsidP="00AD4EA1"/>
    <w:p w14:paraId="2F9D9537" w14:textId="77777777" w:rsidR="00DB7466" w:rsidRDefault="00DB7466" w:rsidP="00AD4EA1"/>
    <w:p w14:paraId="4B7218D3" w14:textId="77777777" w:rsidR="00DB7466" w:rsidRDefault="00DB7466" w:rsidP="00AD4EA1"/>
    <w:p w14:paraId="732F392E" w14:textId="77777777" w:rsidR="00DB7466" w:rsidRDefault="00DB7466" w:rsidP="00AD4EA1"/>
    <w:p w14:paraId="75B19471" w14:textId="77777777" w:rsidR="00DB7466" w:rsidRDefault="00DB7466" w:rsidP="00AD4EA1"/>
    <w:p w14:paraId="3898A145" w14:textId="77777777" w:rsidR="00DB7466" w:rsidRDefault="00DB7466" w:rsidP="00AD4EA1"/>
    <w:p w14:paraId="526FB566" w14:textId="77777777" w:rsidR="00DB7466" w:rsidRDefault="00DB7466" w:rsidP="00AD4EA1"/>
    <w:p w14:paraId="228EE206" w14:textId="77777777" w:rsidR="00DB7466" w:rsidRDefault="00DB7466" w:rsidP="00AD4EA1"/>
    <w:p w14:paraId="5E81BD18" w14:textId="77777777" w:rsidR="00DB7466" w:rsidRDefault="00DB7466" w:rsidP="00AD4EA1"/>
    <w:p w14:paraId="32403569" w14:textId="77777777" w:rsidR="00DB7466" w:rsidRDefault="00DB7466" w:rsidP="00AD4EA1"/>
    <w:p w14:paraId="644DC200" w14:textId="77777777" w:rsidR="00DB7466" w:rsidRDefault="00DB7466" w:rsidP="00AD4EA1"/>
    <w:p w14:paraId="1618776F" w14:textId="77777777" w:rsidR="00DB7466" w:rsidRDefault="00DB7466" w:rsidP="00AD4EA1"/>
    <w:p w14:paraId="43AA9359" w14:textId="77777777" w:rsidR="00DB7466" w:rsidRDefault="00DB7466" w:rsidP="00AD4EA1"/>
    <w:p w14:paraId="01E395C0" w14:textId="77777777" w:rsidR="00DB7466" w:rsidRDefault="00DB7466" w:rsidP="00AD4EA1"/>
    <w:p w14:paraId="12F4A71E" w14:textId="77777777" w:rsidR="00DB7466" w:rsidRDefault="00DB7466" w:rsidP="00AD4EA1"/>
    <w:p w14:paraId="4EBBDE80" w14:textId="77777777" w:rsidR="00DB7466" w:rsidRDefault="00DB7466" w:rsidP="00AD4EA1"/>
    <w:p w14:paraId="1853B29D" w14:textId="77777777" w:rsidR="00DB7466" w:rsidRDefault="00DB7466" w:rsidP="00AD4EA1"/>
    <w:p w14:paraId="5DF7E9E7" w14:textId="77777777" w:rsidR="00DB7466" w:rsidRDefault="00DB7466" w:rsidP="00AD4EA1"/>
    <w:p w14:paraId="0AD53DF4" w14:textId="77777777" w:rsidR="00DB7466" w:rsidRDefault="00DB7466" w:rsidP="00AD4EA1"/>
    <w:p w14:paraId="31B676DC" w14:textId="77777777" w:rsidR="00DB7466" w:rsidRDefault="00DB7466" w:rsidP="00AD4EA1"/>
    <w:p w14:paraId="3FFA98C2" w14:textId="77777777" w:rsidR="00DB7466" w:rsidRDefault="00DB7466" w:rsidP="00AD4EA1"/>
    <w:p w14:paraId="0BC32538" w14:textId="77777777" w:rsidR="00DB7466" w:rsidRDefault="00DB7466" w:rsidP="00AD4EA1"/>
    <w:p w14:paraId="5877878B" w14:textId="77777777" w:rsidR="00DB7466" w:rsidRDefault="00DB7466" w:rsidP="00AD4EA1"/>
    <w:p w14:paraId="7C97D428" w14:textId="77777777" w:rsidR="00DB7466" w:rsidRDefault="00DB7466" w:rsidP="00AD4EA1"/>
    <w:p w14:paraId="67B2FB9D" w14:textId="77777777" w:rsidR="00DB7466" w:rsidRDefault="00DB7466" w:rsidP="00AD4EA1"/>
    <w:p w14:paraId="586BA441" w14:textId="77777777" w:rsidR="00DB7466" w:rsidRDefault="00DB7466" w:rsidP="00AD4EA1"/>
    <w:p w14:paraId="348932DF" w14:textId="77777777" w:rsidR="00DB7466" w:rsidRDefault="00DB7466" w:rsidP="00AD4EA1"/>
    <w:p w14:paraId="0E716603" w14:textId="77777777" w:rsidR="00DB7466" w:rsidRDefault="00DB7466" w:rsidP="00AD4EA1"/>
    <w:p w14:paraId="2F634221" w14:textId="77777777" w:rsidR="00DB7466" w:rsidRDefault="00DB7466" w:rsidP="00AD4EA1"/>
    <w:p w14:paraId="0DECB8F1" w14:textId="77777777" w:rsidR="00DB7466" w:rsidRDefault="00DB7466" w:rsidP="00AD4EA1"/>
    <w:p w14:paraId="4D7FBDEE" w14:textId="77777777" w:rsidR="00DB7466" w:rsidRDefault="00DB7466" w:rsidP="00AD4EA1"/>
    <w:p w14:paraId="38A63F22" w14:textId="77777777" w:rsidR="00DB7466" w:rsidRDefault="00DB7466" w:rsidP="00AD4EA1"/>
    <w:p w14:paraId="5CD0D5DD" w14:textId="77777777" w:rsidR="00DB7466" w:rsidRDefault="00DB7466" w:rsidP="00AD4EA1"/>
    <w:p w14:paraId="52A9694F" w14:textId="77777777" w:rsidR="00DB7466" w:rsidRDefault="00DB7466" w:rsidP="00AD4EA1"/>
    <w:p w14:paraId="4839D65D" w14:textId="77777777" w:rsidR="00DB7466" w:rsidRDefault="00DB7466" w:rsidP="00AD4EA1"/>
    <w:p w14:paraId="6DE17F61" w14:textId="77777777" w:rsidR="00DB7466" w:rsidRDefault="00DB7466" w:rsidP="00AD4EA1"/>
    <w:p w14:paraId="7EE0A505" w14:textId="77777777" w:rsidR="00DB7466" w:rsidRDefault="00DB7466" w:rsidP="00AD4EA1"/>
    <w:p w14:paraId="0B27A988" w14:textId="77777777" w:rsidR="00DB7466" w:rsidRDefault="00DB7466" w:rsidP="00AD4EA1"/>
    <w:p w14:paraId="0B9F6B80" w14:textId="77777777" w:rsidR="00DB7466" w:rsidRDefault="00DB7466" w:rsidP="00AD4EA1"/>
    <w:p w14:paraId="7DEBBD9A" w14:textId="77777777" w:rsidR="00DB7466" w:rsidRDefault="00DB7466" w:rsidP="00AD4EA1"/>
    <w:p w14:paraId="57D5AE50" w14:textId="77777777" w:rsidR="00DB7466" w:rsidRDefault="00DB7466" w:rsidP="00AD4EA1"/>
    <w:p w14:paraId="3B8D0629" w14:textId="77777777" w:rsidR="00DB7466" w:rsidRDefault="00DB7466" w:rsidP="00AD4EA1"/>
    <w:p w14:paraId="2C32173B" w14:textId="77777777" w:rsidR="00DB7466" w:rsidRDefault="00DB7466" w:rsidP="00AD4EA1"/>
    <w:p w14:paraId="18B1FF17" w14:textId="77777777" w:rsidR="00DB7466" w:rsidRDefault="00DB7466" w:rsidP="00AD4EA1"/>
    <w:p w14:paraId="7F93C1DC" w14:textId="77777777" w:rsidR="00DB7466" w:rsidRDefault="00DB7466" w:rsidP="00AD4EA1"/>
    <w:p w14:paraId="62811114" w14:textId="77777777" w:rsidR="00DB7466" w:rsidRDefault="00DB7466" w:rsidP="00AD4EA1"/>
    <w:p w14:paraId="0C79055C" w14:textId="77777777" w:rsidR="00DB7466" w:rsidRDefault="00DB7466" w:rsidP="00AD4EA1"/>
    <w:p w14:paraId="19CF4CC7" w14:textId="77777777" w:rsidR="00DB7466" w:rsidRDefault="00DB7466" w:rsidP="00AD4EA1"/>
    <w:p w14:paraId="40C1242B" w14:textId="77777777" w:rsidR="00DB7466" w:rsidRDefault="00DB7466" w:rsidP="00AD4EA1"/>
    <w:p w14:paraId="4C955019" w14:textId="77777777" w:rsidR="00DB7466" w:rsidRDefault="00DB7466" w:rsidP="00AD4EA1"/>
    <w:p w14:paraId="172EBE0E" w14:textId="77777777" w:rsidR="00DB7466" w:rsidRDefault="00DB7466" w:rsidP="00AD4EA1"/>
    <w:p w14:paraId="773DD2EF" w14:textId="77777777" w:rsidR="00DB7466" w:rsidRDefault="00DB7466" w:rsidP="00AD4EA1"/>
    <w:p w14:paraId="19D20F57" w14:textId="77777777" w:rsidR="00DB7466" w:rsidRDefault="00DB7466" w:rsidP="00AD4EA1"/>
    <w:p w14:paraId="2AA34177" w14:textId="77777777" w:rsidR="00DB7466" w:rsidRDefault="00DB7466" w:rsidP="00AD4EA1"/>
    <w:p w14:paraId="5413494C" w14:textId="77777777" w:rsidR="00DB7466" w:rsidRDefault="00DB7466" w:rsidP="00AD4EA1"/>
    <w:p w14:paraId="02EFC500" w14:textId="77777777" w:rsidR="00DB7466" w:rsidRDefault="00DB7466" w:rsidP="00AD4EA1"/>
    <w:p w14:paraId="4365430D" w14:textId="77777777" w:rsidR="00DB7466" w:rsidRDefault="00DB7466" w:rsidP="00AD4EA1"/>
    <w:p w14:paraId="1ECA3074" w14:textId="77777777" w:rsidR="00DB7466" w:rsidRDefault="00DB7466" w:rsidP="00AD4EA1"/>
    <w:p w14:paraId="4DB19DBE" w14:textId="77777777" w:rsidR="00DB7466" w:rsidRDefault="00DB7466" w:rsidP="00AD4EA1"/>
    <w:p w14:paraId="31FD666E" w14:textId="77777777" w:rsidR="00DB7466" w:rsidRDefault="00DB7466" w:rsidP="00AD4EA1"/>
    <w:p w14:paraId="614F4CB8" w14:textId="77777777" w:rsidR="00DB7466" w:rsidRDefault="00DB7466" w:rsidP="00AD4EA1"/>
    <w:p w14:paraId="3A3F28FA" w14:textId="77777777" w:rsidR="00DB7466" w:rsidRDefault="00DB7466" w:rsidP="00AD4EA1"/>
    <w:p w14:paraId="2413DB82" w14:textId="77777777" w:rsidR="00DB7466" w:rsidRDefault="00DB7466" w:rsidP="00AD4EA1"/>
    <w:p w14:paraId="28D8D827" w14:textId="77777777" w:rsidR="00DB7466" w:rsidRDefault="00DB7466" w:rsidP="00AD4EA1"/>
    <w:p w14:paraId="21E9266A" w14:textId="77777777" w:rsidR="00DB7466" w:rsidRDefault="00DB7466" w:rsidP="00AD4EA1"/>
    <w:p w14:paraId="0873669C" w14:textId="77777777" w:rsidR="00DB7466" w:rsidRDefault="00DB7466" w:rsidP="00AD4EA1"/>
    <w:p w14:paraId="4E3427B1" w14:textId="77777777" w:rsidR="00DB7466" w:rsidRDefault="00DB7466" w:rsidP="00AD4EA1"/>
    <w:p w14:paraId="41E393E8" w14:textId="77777777" w:rsidR="00DB7466" w:rsidRDefault="00DB7466" w:rsidP="00AD4EA1"/>
    <w:p w14:paraId="52AE069E" w14:textId="77777777" w:rsidR="00DB7466" w:rsidRDefault="00DB7466" w:rsidP="00AD4EA1"/>
    <w:p w14:paraId="7940C558" w14:textId="77777777" w:rsidR="00DB7466" w:rsidRDefault="00DB7466" w:rsidP="00AD4EA1"/>
    <w:p w14:paraId="44DFBB07" w14:textId="77777777" w:rsidR="00DB7466" w:rsidRDefault="00DB7466" w:rsidP="00AD4EA1"/>
    <w:p w14:paraId="5616D156" w14:textId="77777777" w:rsidR="00DB7466" w:rsidRDefault="00DB7466" w:rsidP="00AD4EA1"/>
    <w:p w14:paraId="4469A942" w14:textId="77777777" w:rsidR="00DB7466" w:rsidRDefault="00DB7466" w:rsidP="00AD4EA1"/>
    <w:p w14:paraId="248F1ABA" w14:textId="77777777" w:rsidR="00DB7466" w:rsidRDefault="00DB7466" w:rsidP="00AD4EA1"/>
    <w:p w14:paraId="21010B91" w14:textId="77777777" w:rsidR="00DB7466" w:rsidRDefault="00DB7466" w:rsidP="00AD4EA1"/>
    <w:p w14:paraId="402583C8" w14:textId="77777777" w:rsidR="00DB7466" w:rsidRDefault="00DB7466" w:rsidP="00AD4EA1"/>
    <w:p w14:paraId="7A3D5BC8" w14:textId="77777777" w:rsidR="00DB7466" w:rsidRDefault="00DB7466" w:rsidP="00AD4EA1"/>
    <w:p w14:paraId="1EF6F67A" w14:textId="77777777" w:rsidR="00DB7466" w:rsidRDefault="00DB7466" w:rsidP="00AD4EA1"/>
    <w:p w14:paraId="035A72AD" w14:textId="77777777" w:rsidR="00DB7466" w:rsidRDefault="00DB7466" w:rsidP="00AD4EA1"/>
    <w:p w14:paraId="3FEE0DD8" w14:textId="77777777" w:rsidR="00DB7466" w:rsidRDefault="00DB7466" w:rsidP="00AD4EA1"/>
    <w:p w14:paraId="2A95FDBF" w14:textId="77777777" w:rsidR="00DB7466" w:rsidRDefault="00DB7466" w:rsidP="00AD4EA1"/>
    <w:p w14:paraId="57345FE7" w14:textId="77777777" w:rsidR="00DB7466" w:rsidRDefault="00DB7466" w:rsidP="00AD4EA1"/>
    <w:p w14:paraId="0F5000C1" w14:textId="77777777" w:rsidR="00DB7466" w:rsidRDefault="00DB7466" w:rsidP="00AD4EA1"/>
    <w:p w14:paraId="0B39ABCE" w14:textId="77777777" w:rsidR="00DB7466" w:rsidRDefault="00DB7466" w:rsidP="00AD4EA1"/>
    <w:p w14:paraId="3E80C073" w14:textId="77777777" w:rsidR="00DB7466" w:rsidRDefault="00DB7466" w:rsidP="00AD4EA1"/>
    <w:p w14:paraId="6C63C19C" w14:textId="77777777" w:rsidR="00DB7466" w:rsidRDefault="00DB7466" w:rsidP="00AD4EA1"/>
    <w:p w14:paraId="4A07629A" w14:textId="77777777" w:rsidR="00DB7466" w:rsidRDefault="00DB7466" w:rsidP="00AD4EA1"/>
    <w:p w14:paraId="185E7B33" w14:textId="77777777" w:rsidR="00DB7466" w:rsidRDefault="00DB7466" w:rsidP="00AD4EA1"/>
    <w:p w14:paraId="7BA9116A" w14:textId="77777777" w:rsidR="00DB7466" w:rsidRDefault="00DB7466" w:rsidP="00AD4EA1"/>
    <w:p w14:paraId="200E1110" w14:textId="77777777" w:rsidR="00DB7466" w:rsidRDefault="00DB7466" w:rsidP="00AD4EA1"/>
    <w:p w14:paraId="56B14889" w14:textId="77777777" w:rsidR="00DB7466" w:rsidRDefault="00DB7466" w:rsidP="00AD4EA1"/>
    <w:p w14:paraId="6A3892AC" w14:textId="77777777" w:rsidR="00DB7466" w:rsidRDefault="00DB7466" w:rsidP="00AD4EA1"/>
    <w:p w14:paraId="175FC7B3" w14:textId="77777777" w:rsidR="00DB7466" w:rsidRDefault="00DB7466" w:rsidP="00AD4EA1"/>
    <w:p w14:paraId="507CD121" w14:textId="77777777" w:rsidR="00DB7466" w:rsidRDefault="00DB7466" w:rsidP="00AD4EA1"/>
    <w:p w14:paraId="5F6FB42E" w14:textId="77777777" w:rsidR="00DB7466" w:rsidRDefault="00DB7466" w:rsidP="00AD4EA1"/>
    <w:p w14:paraId="5B6036B4" w14:textId="77777777" w:rsidR="00DB7466" w:rsidRDefault="00DB7466" w:rsidP="00AD4EA1"/>
    <w:p w14:paraId="151F8A1C" w14:textId="77777777" w:rsidR="00DB7466" w:rsidRDefault="00DB7466" w:rsidP="00AD4EA1"/>
    <w:p w14:paraId="76020B2B" w14:textId="77777777" w:rsidR="00DB7466" w:rsidRDefault="00DB7466" w:rsidP="00AD4EA1"/>
    <w:p w14:paraId="477356E6" w14:textId="77777777" w:rsidR="00DB7466" w:rsidRDefault="00DB7466" w:rsidP="00AD4EA1"/>
    <w:p w14:paraId="2ED98D26" w14:textId="77777777" w:rsidR="00DB7466" w:rsidRDefault="00DB7466" w:rsidP="00AD4EA1"/>
    <w:p w14:paraId="6B08AB3E" w14:textId="77777777" w:rsidR="00DB7466" w:rsidRDefault="00DB7466" w:rsidP="00AD4EA1"/>
    <w:p w14:paraId="469E4B74" w14:textId="77777777" w:rsidR="00DB7466" w:rsidRDefault="00DB7466" w:rsidP="00AD4EA1"/>
    <w:p w14:paraId="41C18A91" w14:textId="77777777" w:rsidR="00DB7466" w:rsidRDefault="00DB7466" w:rsidP="00AD4EA1"/>
    <w:p w14:paraId="38EDA5F5" w14:textId="77777777" w:rsidR="00DB7466" w:rsidRDefault="00DB7466" w:rsidP="00AD4EA1"/>
    <w:p w14:paraId="10047436" w14:textId="77777777" w:rsidR="00DB7466" w:rsidRDefault="00DB7466" w:rsidP="00AD4EA1"/>
    <w:p w14:paraId="15EAE4AE" w14:textId="77777777" w:rsidR="00DB7466" w:rsidRDefault="00DB7466" w:rsidP="00AD4EA1"/>
    <w:p w14:paraId="6F53AF5D" w14:textId="77777777" w:rsidR="00DB7466" w:rsidRDefault="00DB7466" w:rsidP="00AD4EA1"/>
    <w:p w14:paraId="787B7FEA" w14:textId="77777777" w:rsidR="00DB7466" w:rsidRDefault="00DB7466" w:rsidP="00AD4EA1"/>
    <w:p w14:paraId="34E71B09" w14:textId="77777777" w:rsidR="00DB7466" w:rsidRDefault="00DB7466" w:rsidP="00AD4EA1"/>
    <w:p w14:paraId="2104F8D2" w14:textId="77777777" w:rsidR="00DB7466" w:rsidRDefault="00DB7466" w:rsidP="00AD4EA1"/>
    <w:p w14:paraId="56CA4DE1" w14:textId="77777777" w:rsidR="00DB7466" w:rsidRDefault="00DB7466" w:rsidP="00AD4EA1"/>
    <w:p w14:paraId="2A1A966B" w14:textId="77777777" w:rsidR="00DB7466" w:rsidRDefault="00DB7466" w:rsidP="00AD4EA1"/>
    <w:p w14:paraId="59094D01" w14:textId="77777777" w:rsidR="00DB7466" w:rsidRDefault="00DB7466" w:rsidP="00AD4EA1"/>
    <w:p w14:paraId="54DBF9CD" w14:textId="77777777" w:rsidR="00DB7466" w:rsidRDefault="00DB7466" w:rsidP="00AD4EA1"/>
    <w:p w14:paraId="160B1088" w14:textId="77777777" w:rsidR="00DB7466" w:rsidRDefault="00DB7466" w:rsidP="00AD4EA1"/>
    <w:p w14:paraId="4185E9D4" w14:textId="77777777" w:rsidR="00DB7466" w:rsidRDefault="00DB7466" w:rsidP="00AD4EA1"/>
    <w:p w14:paraId="49683B3D" w14:textId="77777777" w:rsidR="00DB7466" w:rsidRDefault="00DB7466" w:rsidP="00AD4EA1"/>
    <w:p w14:paraId="3EB5691A" w14:textId="77777777" w:rsidR="00DB7466" w:rsidRDefault="00DB7466" w:rsidP="00AD4EA1"/>
    <w:p w14:paraId="508DF165" w14:textId="77777777" w:rsidR="00DB7466" w:rsidRDefault="00DB7466" w:rsidP="00AD4EA1"/>
    <w:p w14:paraId="70729F8F" w14:textId="77777777" w:rsidR="00DB7466" w:rsidRDefault="00DB7466" w:rsidP="00AD4EA1"/>
    <w:p w14:paraId="7860120E" w14:textId="77777777" w:rsidR="00DB7466" w:rsidRDefault="00DB7466" w:rsidP="00AD4EA1"/>
    <w:p w14:paraId="18A18C83" w14:textId="77777777" w:rsidR="00DB7466" w:rsidRDefault="00DB7466" w:rsidP="00AD4EA1"/>
    <w:p w14:paraId="089846F3" w14:textId="77777777" w:rsidR="00DB7466" w:rsidRDefault="00DB7466" w:rsidP="00AD4EA1"/>
    <w:p w14:paraId="54E68515" w14:textId="77777777" w:rsidR="00DB7466" w:rsidRDefault="00DB7466" w:rsidP="00AD4EA1"/>
    <w:p w14:paraId="2A8C684C" w14:textId="77777777" w:rsidR="00DB7466" w:rsidRDefault="00DB7466" w:rsidP="00AD4EA1"/>
    <w:p w14:paraId="6789F423" w14:textId="77777777" w:rsidR="00DB7466" w:rsidRDefault="00DB7466" w:rsidP="00AD4EA1"/>
    <w:p w14:paraId="3267DC53" w14:textId="77777777" w:rsidR="00DB7466" w:rsidRDefault="00DB7466" w:rsidP="00AD4EA1"/>
    <w:p w14:paraId="557C2E6C" w14:textId="77777777" w:rsidR="00DB7466" w:rsidRDefault="00DB7466" w:rsidP="00AD4EA1"/>
    <w:p w14:paraId="180DD003" w14:textId="77777777" w:rsidR="00DB7466" w:rsidRDefault="00DB7466" w:rsidP="00AD4EA1"/>
    <w:p w14:paraId="64F1B058" w14:textId="77777777" w:rsidR="00DB7466" w:rsidRDefault="00DB7466" w:rsidP="00AD4EA1"/>
    <w:p w14:paraId="27071515" w14:textId="77777777" w:rsidR="00DB7466" w:rsidRDefault="00DB7466" w:rsidP="00AD4EA1"/>
    <w:p w14:paraId="55C09CCC" w14:textId="77777777" w:rsidR="00DB7466" w:rsidRDefault="00DB7466" w:rsidP="00AD4EA1"/>
    <w:p w14:paraId="594C139A" w14:textId="77777777" w:rsidR="00DB7466" w:rsidRDefault="00DB7466" w:rsidP="00AD4EA1"/>
    <w:p w14:paraId="5698DE73" w14:textId="77777777" w:rsidR="00DB7466" w:rsidRDefault="00DB7466" w:rsidP="00AD4EA1"/>
    <w:p w14:paraId="419AC402" w14:textId="77777777" w:rsidR="00DB7466" w:rsidRDefault="00DB7466" w:rsidP="00AD4EA1"/>
    <w:p w14:paraId="695E5F95" w14:textId="77777777" w:rsidR="00DB7466" w:rsidRDefault="00DB7466" w:rsidP="00AD4EA1"/>
    <w:p w14:paraId="6485D5AE" w14:textId="77777777" w:rsidR="00DB7466" w:rsidRDefault="00DB7466" w:rsidP="00AD4EA1"/>
    <w:p w14:paraId="7D636C64" w14:textId="77777777" w:rsidR="00DB7466" w:rsidRDefault="00DB7466" w:rsidP="00AD4EA1"/>
    <w:p w14:paraId="6A424604" w14:textId="77777777" w:rsidR="00DB7466" w:rsidRDefault="00DB7466" w:rsidP="00AD4EA1"/>
    <w:p w14:paraId="0B84F3E1" w14:textId="77777777" w:rsidR="00DB7466" w:rsidRDefault="00DB7466" w:rsidP="00AD4EA1"/>
    <w:p w14:paraId="068CABD9" w14:textId="77777777" w:rsidR="00DB7466" w:rsidRDefault="00DB7466" w:rsidP="00AD4EA1"/>
    <w:p w14:paraId="5DA964A5" w14:textId="77777777" w:rsidR="00DB7466" w:rsidRDefault="00DB7466" w:rsidP="00AD4EA1"/>
    <w:p w14:paraId="4686EC5A" w14:textId="77777777" w:rsidR="00DB7466" w:rsidRDefault="00DB7466" w:rsidP="00AD4EA1"/>
    <w:p w14:paraId="41260D71" w14:textId="77777777" w:rsidR="00DB7466" w:rsidRDefault="00DB7466" w:rsidP="00AD4EA1"/>
    <w:p w14:paraId="6BDE6C3C" w14:textId="77777777" w:rsidR="00DB7466" w:rsidRDefault="00DB7466" w:rsidP="00AD4EA1"/>
    <w:p w14:paraId="4EEB1EE0" w14:textId="77777777" w:rsidR="00DB7466" w:rsidRDefault="00DB7466" w:rsidP="00AD4EA1"/>
    <w:p w14:paraId="2D0C5290" w14:textId="77777777" w:rsidR="00DB7466" w:rsidRDefault="00DB7466" w:rsidP="00AD4EA1"/>
    <w:p w14:paraId="4CC83A53" w14:textId="77777777" w:rsidR="00DB7466" w:rsidRDefault="00DB7466" w:rsidP="00AD4EA1"/>
    <w:p w14:paraId="38725E17" w14:textId="77777777" w:rsidR="00DB7466" w:rsidRDefault="00DB7466" w:rsidP="00AD4EA1"/>
    <w:p w14:paraId="16906D54" w14:textId="77777777" w:rsidR="00DB7466" w:rsidRDefault="00DB7466" w:rsidP="00AD4EA1"/>
    <w:p w14:paraId="3DBEE23E" w14:textId="77777777" w:rsidR="00DB7466" w:rsidRDefault="00DB7466" w:rsidP="00AD4EA1"/>
    <w:p w14:paraId="5EFA3D3D" w14:textId="77777777" w:rsidR="00DB7466" w:rsidRDefault="00DB7466" w:rsidP="00AD4EA1"/>
    <w:p w14:paraId="410C2966" w14:textId="77777777" w:rsidR="00DB7466" w:rsidRDefault="00DB7466" w:rsidP="00AD4EA1"/>
    <w:p w14:paraId="0A9CF889" w14:textId="77777777" w:rsidR="00DB7466" w:rsidRDefault="00DB7466" w:rsidP="00AD4EA1"/>
    <w:p w14:paraId="42F76860" w14:textId="77777777" w:rsidR="00DB7466" w:rsidRDefault="00DB7466" w:rsidP="00AD4EA1"/>
    <w:p w14:paraId="286C0517" w14:textId="77777777" w:rsidR="00DB7466" w:rsidRDefault="00DB7466" w:rsidP="00AD4EA1"/>
    <w:p w14:paraId="530C1181" w14:textId="77777777" w:rsidR="00DB7466" w:rsidRDefault="00DB7466" w:rsidP="00AD4EA1"/>
    <w:p w14:paraId="11086D04" w14:textId="77777777" w:rsidR="00DB7466" w:rsidRDefault="00DB7466" w:rsidP="00AD4EA1"/>
    <w:p w14:paraId="0B4ADC31" w14:textId="77777777" w:rsidR="00DB7466" w:rsidRDefault="00DB7466" w:rsidP="00AD4EA1"/>
    <w:p w14:paraId="51EDFDF2" w14:textId="77777777" w:rsidR="00DB7466" w:rsidRDefault="00DB7466" w:rsidP="00AD4EA1"/>
    <w:p w14:paraId="323404F5" w14:textId="77777777" w:rsidR="00DB7466" w:rsidRDefault="00DB7466" w:rsidP="00AD4EA1"/>
    <w:p w14:paraId="10AEEEE4" w14:textId="77777777" w:rsidR="00DB7466" w:rsidRDefault="00DB7466" w:rsidP="00AD4EA1"/>
    <w:p w14:paraId="220F6A09" w14:textId="77777777" w:rsidR="00DB7466" w:rsidRDefault="00DB7466" w:rsidP="00AD4EA1"/>
    <w:p w14:paraId="4463A081" w14:textId="77777777" w:rsidR="00DB7466" w:rsidRDefault="00DB7466" w:rsidP="00AD4EA1"/>
    <w:p w14:paraId="3D114869" w14:textId="77777777" w:rsidR="00DB7466" w:rsidRDefault="00DB7466" w:rsidP="00AD4EA1"/>
    <w:p w14:paraId="5B13ABED" w14:textId="77777777" w:rsidR="00DB7466" w:rsidRDefault="00DB7466" w:rsidP="00AD4EA1"/>
    <w:p w14:paraId="1CB77D64" w14:textId="77777777" w:rsidR="00DB7466" w:rsidRDefault="00DB7466" w:rsidP="00AD4EA1"/>
    <w:p w14:paraId="46521415" w14:textId="77777777" w:rsidR="00DB7466" w:rsidRDefault="00DB7466" w:rsidP="00AD4EA1"/>
    <w:p w14:paraId="55D950A8" w14:textId="77777777" w:rsidR="00DB7466" w:rsidRDefault="00DB7466" w:rsidP="00AD4EA1"/>
    <w:p w14:paraId="0CF80D82" w14:textId="77777777" w:rsidR="00DB7466" w:rsidRDefault="00DB7466" w:rsidP="00AD4EA1"/>
    <w:p w14:paraId="232AEADA" w14:textId="77777777" w:rsidR="00DB7466" w:rsidRDefault="00DB7466" w:rsidP="00AD4EA1"/>
    <w:p w14:paraId="408070A2" w14:textId="77777777" w:rsidR="00DB7466" w:rsidRDefault="00DB7466" w:rsidP="00AD4EA1"/>
    <w:p w14:paraId="1A6DBC9D" w14:textId="77777777" w:rsidR="00DB7466" w:rsidRDefault="00DB7466" w:rsidP="00AD4EA1"/>
    <w:p w14:paraId="7EE98AA1" w14:textId="77777777" w:rsidR="00DB7466" w:rsidRDefault="00DB7466" w:rsidP="00AD4EA1"/>
    <w:p w14:paraId="60783A26" w14:textId="77777777" w:rsidR="00DB7466" w:rsidRDefault="00DB7466" w:rsidP="00AD4EA1"/>
    <w:p w14:paraId="7F5BA0CA" w14:textId="77777777" w:rsidR="00DB7466" w:rsidRDefault="00DB7466" w:rsidP="00AD4EA1"/>
    <w:p w14:paraId="79344F2E" w14:textId="77777777" w:rsidR="00DB7466" w:rsidRDefault="00DB7466" w:rsidP="00AD4EA1"/>
    <w:p w14:paraId="66CE83D5" w14:textId="77777777" w:rsidR="00DB7466" w:rsidRDefault="00DB7466" w:rsidP="00AD4EA1"/>
    <w:p w14:paraId="1BA4606B" w14:textId="77777777" w:rsidR="00DB7466" w:rsidRDefault="00DB7466" w:rsidP="00AD4EA1"/>
    <w:p w14:paraId="0C139AC7" w14:textId="77777777" w:rsidR="00DB7466" w:rsidRDefault="00DB7466" w:rsidP="00AD4EA1"/>
    <w:p w14:paraId="672576B8" w14:textId="77777777" w:rsidR="00DB7466" w:rsidRDefault="00DB7466" w:rsidP="00AD4EA1"/>
    <w:p w14:paraId="2348540D" w14:textId="77777777" w:rsidR="00DB7466" w:rsidRDefault="00DB7466" w:rsidP="00AD4EA1"/>
    <w:p w14:paraId="28CD3D15" w14:textId="77777777" w:rsidR="00DB7466" w:rsidRDefault="00DB7466" w:rsidP="00AD4EA1"/>
    <w:p w14:paraId="64AD179B" w14:textId="77777777" w:rsidR="00DB7466" w:rsidRDefault="00DB7466" w:rsidP="00AD4EA1"/>
    <w:p w14:paraId="5F6F925D" w14:textId="77777777" w:rsidR="00DB7466" w:rsidRDefault="00DB7466" w:rsidP="00AD4EA1"/>
    <w:p w14:paraId="564ED9B1" w14:textId="77777777" w:rsidR="00DB7466" w:rsidRDefault="00DB7466" w:rsidP="00AD4EA1"/>
    <w:p w14:paraId="2A024853" w14:textId="77777777" w:rsidR="00DB7466" w:rsidRDefault="00DB7466" w:rsidP="00AD4EA1"/>
    <w:p w14:paraId="349D56A5" w14:textId="77777777" w:rsidR="00DB7466" w:rsidRDefault="00DB7466" w:rsidP="00AD4EA1"/>
    <w:p w14:paraId="1311BE27" w14:textId="77777777" w:rsidR="00DB7466" w:rsidRDefault="00DB7466" w:rsidP="00AD4EA1"/>
    <w:p w14:paraId="2AB89937" w14:textId="77777777" w:rsidR="00DB7466" w:rsidRDefault="00DB7466" w:rsidP="00AD4EA1"/>
    <w:p w14:paraId="06DA8B8E" w14:textId="77777777" w:rsidR="00DB7466" w:rsidRDefault="00DB7466" w:rsidP="00AD4EA1"/>
    <w:p w14:paraId="09287F63" w14:textId="77777777" w:rsidR="00DB7466" w:rsidRDefault="00DB7466" w:rsidP="00AD4EA1"/>
    <w:p w14:paraId="71ABA04D" w14:textId="77777777" w:rsidR="00DB7466" w:rsidRDefault="00DB7466" w:rsidP="00AD4EA1"/>
    <w:p w14:paraId="603191AC" w14:textId="77777777" w:rsidR="00DB7466" w:rsidRDefault="00DB7466" w:rsidP="00AD4EA1"/>
    <w:p w14:paraId="68AE5C4F" w14:textId="77777777" w:rsidR="00DB7466" w:rsidRDefault="00DB7466" w:rsidP="00AD4EA1"/>
    <w:p w14:paraId="041820F7" w14:textId="77777777" w:rsidR="00DB7466" w:rsidRDefault="00DB7466" w:rsidP="00AD4EA1"/>
    <w:p w14:paraId="2CB5442D" w14:textId="77777777" w:rsidR="00DB7466" w:rsidRDefault="00DB7466" w:rsidP="00AD4EA1"/>
    <w:p w14:paraId="41053EC6" w14:textId="77777777" w:rsidR="00DB7466" w:rsidRDefault="00DB7466" w:rsidP="00AD4EA1"/>
    <w:p w14:paraId="01461643" w14:textId="77777777" w:rsidR="00DB7466" w:rsidRDefault="00DB7466" w:rsidP="00AD4EA1"/>
    <w:p w14:paraId="78D0C421" w14:textId="77777777" w:rsidR="00DB7466" w:rsidRDefault="00DB7466" w:rsidP="00AD4EA1"/>
    <w:p w14:paraId="7C01243E" w14:textId="77777777" w:rsidR="00DB7466" w:rsidRDefault="00DB7466" w:rsidP="00AD4EA1"/>
    <w:p w14:paraId="52D84673" w14:textId="77777777" w:rsidR="00DB7466" w:rsidRDefault="00DB7466" w:rsidP="00AD4EA1"/>
    <w:p w14:paraId="4E138138" w14:textId="77777777" w:rsidR="00DB7466" w:rsidRDefault="00DB7466" w:rsidP="00AD4EA1"/>
    <w:p w14:paraId="5D511A35" w14:textId="77777777" w:rsidR="00DB7466" w:rsidRDefault="00DB7466" w:rsidP="00AD4EA1"/>
    <w:p w14:paraId="0B674D6E" w14:textId="77777777" w:rsidR="00DB7466" w:rsidRDefault="00DB7466" w:rsidP="00AD4EA1"/>
    <w:p w14:paraId="15123733" w14:textId="77777777" w:rsidR="00DB7466" w:rsidRDefault="00DB7466" w:rsidP="00AD4EA1"/>
    <w:p w14:paraId="76DC68E1" w14:textId="77777777" w:rsidR="00DB7466" w:rsidRDefault="00DB7466" w:rsidP="00AD4EA1"/>
    <w:p w14:paraId="00B07947" w14:textId="77777777" w:rsidR="00DB7466" w:rsidRDefault="00DB7466" w:rsidP="00AD4EA1"/>
    <w:p w14:paraId="0D293DE3" w14:textId="77777777" w:rsidR="00DB7466" w:rsidRDefault="00DB7466" w:rsidP="00AD4EA1"/>
    <w:p w14:paraId="0237DD93" w14:textId="77777777" w:rsidR="00DB7466" w:rsidRDefault="00DB7466" w:rsidP="00AD4EA1"/>
    <w:p w14:paraId="343C008B" w14:textId="77777777" w:rsidR="00DB7466" w:rsidRDefault="00DB7466" w:rsidP="00AD4EA1"/>
    <w:p w14:paraId="7CEDB62A" w14:textId="77777777" w:rsidR="00DB7466" w:rsidRDefault="00DB7466" w:rsidP="00AD4EA1"/>
    <w:p w14:paraId="46726467" w14:textId="77777777" w:rsidR="00DB7466" w:rsidRDefault="00DB7466" w:rsidP="00AD4EA1"/>
    <w:p w14:paraId="2D829E4F" w14:textId="77777777" w:rsidR="00DB7466" w:rsidRDefault="00DB7466" w:rsidP="00AD4EA1"/>
    <w:p w14:paraId="06FFFCD7" w14:textId="77777777" w:rsidR="00DB7466" w:rsidRDefault="00DB7466" w:rsidP="00AD4EA1"/>
    <w:p w14:paraId="25938A2A" w14:textId="77777777" w:rsidR="00DB7466" w:rsidRDefault="00DB7466" w:rsidP="00AD4EA1"/>
    <w:p w14:paraId="282840BB" w14:textId="77777777" w:rsidR="00DB7466" w:rsidRDefault="00DB7466" w:rsidP="00AD4EA1"/>
    <w:p w14:paraId="2B4806C0" w14:textId="77777777" w:rsidR="00DB7466" w:rsidRDefault="00DB7466" w:rsidP="00AD4EA1"/>
    <w:p w14:paraId="0537ABCD" w14:textId="77777777" w:rsidR="00DB7466" w:rsidRDefault="00DB7466" w:rsidP="00AD4EA1"/>
    <w:p w14:paraId="43C685DA" w14:textId="77777777" w:rsidR="00DB7466" w:rsidRDefault="00DB7466" w:rsidP="00AD4EA1"/>
    <w:p w14:paraId="3209E6BF" w14:textId="77777777" w:rsidR="00DB7466" w:rsidRDefault="00DB7466" w:rsidP="00AD4EA1"/>
    <w:p w14:paraId="40E5EC1A" w14:textId="77777777" w:rsidR="00DB7466" w:rsidRDefault="00DB7466" w:rsidP="00AD4EA1"/>
    <w:p w14:paraId="4F9F7C8F" w14:textId="77777777" w:rsidR="00DB7466" w:rsidRDefault="00DB7466" w:rsidP="00AD4EA1"/>
    <w:p w14:paraId="347A4EFE" w14:textId="77777777" w:rsidR="00DB7466" w:rsidRDefault="00DB7466" w:rsidP="00AD4EA1"/>
    <w:p w14:paraId="53354655" w14:textId="77777777" w:rsidR="00DB7466" w:rsidRDefault="00DB7466" w:rsidP="00AD4EA1"/>
    <w:p w14:paraId="3DD7FF79" w14:textId="77777777" w:rsidR="00DB7466" w:rsidRDefault="00DB7466" w:rsidP="00AD4EA1"/>
    <w:p w14:paraId="2270A192" w14:textId="77777777" w:rsidR="00DB7466" w:rsidRDefault="00DB7466" w:rsidP="00AD4EA1"/>
    <w:p w14:paraId="55F324FF" w14:textId="77777777" w:rsidR="00DB7466" w:rsidRDefault="00DB7466" w:rsidP="00AD4EA1"/>
    <w:p w14:paraId="6BDF24FF" w14:textId="77777777" w:rsidR="00DB7466" w:rsidRDefault="00DB7466" w:rsidP="00AD4EA1"/>
    <w:p w14:paraId="6A9B4D16" w14:textId="77777777" w:rsidR="00DB7466" w:rsidRDefault="00DB7466" w:rsidP="00AD4EA1"/>
    <w:p w14:paraId="62E927F8" w14:textId="77777777" w:rsidR="00DB7466" w:rsidRDefault="00DB7466" w:rsidP="00AD4EA1"/>
    <w:p w14:paraId="25AF5346" w14:textId="77777777" w:rsidR="00DB7466" w:rsidRDefault="00DB7466" w:rsidP="00AD4EA1"/>
    <w:p w14:paraId="521A79C6" w14:textId="77777777" w:rsidR="00DB7466" w:rsidRDefault="00DB7466" w:rsidP="00AD4EA1"/>
    <w:p w14:paraId="5CBE767F" w14:textId="77777777" w:rsidR="00DB7466" w:rsidRDefault="00DB7466" w:rsidP="00AD4EA1"/>
    <w:p w14:paraId="11D4D09D" w14:textId="77777777" w:rsidR="00DB7466" w:rsidRDefault="00DB7466" w:rsidP="00AD4EA1"/>
    <w:p w14:paraId="2C53CEC9" w14:textId="77777777" w:rsidR="00DB7466" w:rsidRDefault="00DB7466" w:rsidP="00AD4EA1"/>
    <w:p w14:paraId="2630ADE4" w14:textId="77777777" w:rsidR="00DB7466" w:rsidRDefault="00DB7466" w:rsidP="00AD4EA1"/>
    <w:p w14:paraId="348BD880" w14:textId="77777777" w:rsidR="00DB7466" w:rsidRDefault="00DB7466" w:rsidP="00AD4EA1"/>
    <w:p w14:paraId="73FD63B7" w14:textId="77777777" w:rsidR="00DB7466" w:rsidRDefault="00DB7466" w:rsidP="00AD4EA1"/>
    <w:p w14:paraId="5AE74CAE" w14:textId="77777777" w:rsidR="00DB7466" w:rsidRDefault="00DB7466" w:rsidP="00AD4EA1"/>
    <w:p w14:paraId="767589F2" w14:textId="77777777" w:rsidR="00DB7466" w:rsidRDefault="00DB7466" w:rsidP="00AD4EA1"/>
    <w:p w14:paraId="163A07D8" w14:textId="77777777" w:rsidR="00DB7466" w:rsidRDefault="00DB7466" w:rsidP="00AD4EA1"/>
    <w:p w14:paraId="4B4BB7EB" w14:textId="77777777" w:rsidR="00DB7466" w:rsidRDefault="00DB7466" w:rsidP="00AD4EA1"/>
    <w:p w14:paraId="32DB9308" w14:textId="77777777" w:rsidR="00DB7466" w:rsidRDefault="00DB7466" w:rsidP="00AD4EA1"/>
    <w:p w14:paraId="2CA45986" w14:textId="77777777" w:rsidR="00DB7466" w:rsidRDefault="00DB7466" w:rsidP="00AD4EA1"/>
    <w:p w14:paraId="380B2553" w14:textId="77777777" w:rsidR="00DB7466" w:rsidRDefault="00DB7466" w:rsidP="00AD4EA1"/>
    <w:p w14:paraId="1EA3AB1C" w14:textId="77777777" w:rsidR="00DB7466" w:rsidRDefault="00DB7466" w:rsidP="00AD4EA1"/>
    <w:p w14:paraId="07E80F5E" w14:textId="77777777" w:rsidR="00DB7466" w:rsidRDefault="00DB7466" w:rsidP="00AD4EA1"/>
    <w:p w14:paraId="6CA2337B" w14:textId="77777777" w:rsidR="00DB7466" w:rsidRDefault="00DB7466" w:rsidP="00AD4EA1"/>
    <w:p w14:paraId="259DE794" w14:textId="77777777" w:rsidR="00DB7466" w:rsidRDefault="00DB7466" w:rsidP="00AD4EA1"/>
    <w:p w14:paraId="35C9CFD7" w14:textId="77777777" w:rsidR="00DB7466" w:rsidRDefault="00DB7466" w:rsidP="00AD4EA1"/>
    <w:p w14:paraId="1A3731FE" w14:textId="77777777" w:rsidR="00DB7466" w:rsidRDefault="00DB7466" w:rsidP="00AD4EA1"/>
    <w:p w14:paraId="52858A4E" w14:textId="77777777" w:rsidR="00DB7466" w:rsidRDefault="00DB7466" w:rsidP="00AD4EA1"/>
    <w:p w14:paraId="6817B28B" w14:textId="77777777" w:rsidR="00DB7466" w:rsidRDefault="00DB7466" w:rsidP="00AD4EA1"/>
    <w:p w14:paraId="70296106" w14:textId="77777777" w:rsidR="00DB7466" w:rsidRDefault="00DB7466" w:rsidP="00AD4EA1"/>
    <w:p w14:paraId="7E7C1DE9" w14:textId="77777777" w:rsidR="00DB7466" w:rsidRDefault="00DB7466" w:rsidP="00AD4EA1"/>
    <w:p w14:paraId="7A9461DC" w14:textId="77777777" w:rsidR="00DB7466" w:rsidRDefault="00DB7466" w:rsidP="00AD4EA1"/>
    <w:p w14:paraId="297B3C9E" w14:textId="77777777" w:rsidR="00DB7466" w:rsidRDefault="00DB7466" w:rsidP="00AD4EA1"/>
    <w:p w14:paraId="77D15170" w14:textId="77777777" w:rsidR="00DB7466" w:rsidRDefault="00DB7466" w:rsidP="00AD4EA1"/>
    <w:p w14:paraId="342E1FF0" w14:textId="77777777" w:rsidR="00DB7466" w:rsidRDefault="00DB7466" w:rsidP="00AD4EA1"/>
    <w:p w14:paraId="688C038A" w14:textId="77777777" w:rsidR="00DB7466" w:rsidRDefault="00DB7466" w:rsidP="00AD4EA1"/>
    <w:p w14:paraId="5E70BEAA" w14:textId="77777777" w:rsidR="00DB7466" w:rsidRDefault="00DB7466" w:rsidP="00AD4EA1"/>
    <w:p w14:paraId="264F716D" w14:textId="77777777" w:rsidR="00DB7466" w:rsidRDefault="00DB7466" w:rsidP="00AD4EA1"/>
    <w:p w14:paraId="50BF2B21" w14:textId="77777777" w:rsidR="00DB7466" w:rsidRDefault="00DB7466" w:rsidP="00AD4EA1"/>
    <w:p w14:paraId="50E6643C" w14:textId="77777777" w:rsidR="00DB7466" w:rsidRDefault="00DB7466" w:rsidP="00AD4EA1"/>
    <w:p w14:paraId="31A02412" w14:textId="77777777" w:rsidR="00DB7466" w:rsidRDefault="00DB7466" w:rsidP="00AD4EA1"/>
    <w:p w14:paraId="67948AF2" w14:textId="77777777" w:rsidR="00DB7466" w:rsidRDefault="00DB7466" w:rsidP="00AD4EA1"/>
    <w:p w14:paraId="48A35FE6" w14:textId="77777777" w:rsidR="00DB7466" w:rsidRDefault="00DB7466" w:rsidP="00AD4EA1"/>
    <w:p w14:paraId="3EA2C94E" w14:textId="77777777" w:rsidR="00DB7466" w:rsidRDefault="00DB7466" w:rsidP="00AD4EA1"/>
    <w:p w14:paraId="06118B82" w14:textId="77777777" w:rsidR="00DB7466" w:rsidRDefault="00DB7466" w:rsidP="00AD4EA1"/>
    <w:p w14:paraId="6A21A95B" w14:textId="77777777" w:rsidR="00DB7466" w:rsidRDefault="00DB7466" w:rsidP="00AD4EA1"/>
    <w:p w14:paraId="286AEB91" w14:textId="77777777" w:rsidR="00DB7466" w:rsidRDefault="00DB7466" w:rsidP="00AD4EA1"/>
    <w:p w14:paraId="28DBD58C" w14:textId="77777777" w:rsidR="00DB7466" w:rsidRDefault="00DB7466" w:rsidP="00AD4EA1"/>
    <w:p w14:paraId="149C145C" w14:textId="77777777" w:rsidR="00DB7466" w:rsidRDefault="00DB7466" w:rsidP="00AD4EA1"/>
    <w:p w14:paraId="42C5BF40" w14:textId="77777777" w:rsidR="00DB7466" w:rsidRDefault="00DB7466" w:rsidP="00AD4EA1"/>
    <w:p w14:paraId="3746CC13" w14:textId="77777777" w:rsidR="00DB7466" w:rsidRDefault="00DB7466" w:rsidP="00AD4EA1"/>
    <w:p w14:paraId="320FB5DE" w14:textId="77777777" w:rsidR="00DB7466" w:rsidRDefault="00DB7466" w:rsidP="00AD4EA1"/>
    <w:p w14:paraId="1FC0CBA2" w14:textId="77777777" w:rsidR="00DB7466" w:rsidRDefault="00DB7466" w:rsidP="00AD4EA1"/>
    <w:p w14:paraId="4250D25B" w14:textId="77777777" w:rsidR="00DB7466" w:rsidRDefault="00DB7466" w:rsidP="00AD4EA1"/>
    <w:p w14:paraId="31A2B1FE" w14:textId="77777777" w:rsidR="00DB7466" w:rsidRDefault="00DB7466" w:rsidP="00AD4EA1"/>
    <w:p w14:paraId="49933B4F" w14:textId="77777777" w:rsidR="00DB7466" w:rsidRDefault="00DB7466" w:rsidP="00AD4EA1"/>
    <w:p w14:paraId="30571DF7" w14:textId="77777777" w:rsidR="00DB7466" w:rsidRDefault="00DB7466" w:rsidP="00AD4EA1"/>
    <w:p w14:paraId="19256586" w14:textId="77777777" w:rsidR="00DB7466" w:rsidRDefault="00DB7466" w:rsidP="00AD4EA1"/>
    <w:p w14:paraId="4AB48285" w14:textId="77777777" w:rsidR="00DB7466" w:rsidRDefault="00DB7466" w:rsidP="00AD4EA1"/>
    <w:p w14:paraId="0A00150A" w14:textId="77777777" w:rsidR="00DB7466" w:rsidRDefault="00DB7466" w:rsidP="00AD4EA1"/>
    <w:p w14:paraId="4033E99D" w14:textId="77777777" w:rsidR="00DB7466" w:rsidRDefault="00DB7466" w:rsidP="00AD4EA1"/>
    <w:p w14:paraId="229602BB" w14:textId="77777777" w:rsidR="00DB7466" w:rsidRDefault="00DB7466" w:rsidP="00AD4EA1"/>
    <w:p w14:paraId="6FF3797A" w14:textId="77777777" w:rsidR="00DB7466" w:rsidRDefault="00DB7466" w:rsidP="00AD4EA1"/>
    <w:p w14:paraId="6A882A57" w14:textId="77777777" w:rsidR="00DB7466" w:rsidRDefault="00DB7466" w:rsidP="00AD4EA1"/>
    <w:p w14:paraId="04CD308A" w14:textId="77777777" w:rsidR="00DB7466" w:rsidRDefault="00DB7466" w:rsidP="00AD4EA1"/>
    <w:p w14:paraId="4ECBC4F2" w14:textId="77777777" w:rsidR="00DB7466" w:rsidRDefault="00DB7466" w:rsidP="00AD4EA1"/>
    <w:p w14:paraId="7A4F5532" w14:textId="77777777" w:rsidR="00DB7466" w:rsidRDefault="00DB7466" w:rsidP="00AD4EA1"/>
    <w:p w14:paraId="508464D6" w14:textId="77777777" w:rsidR="00DB7466" w:rsidRDefault="00DB7466" w:rsidP="00AD4EA1"/>
    <w:p w14:paraId="021D4162" w14:textId="77777777" w:rsidR="00DB7466" w:rsidRDefault="00DB7466" w:rsidP="00AD4EA1"/>
    <w:p w14:paraId="376205B3" w14:textId="77777777" w:rsidR="00DB7466" w:rsidRDefault="00DB7466" w:rsidP="00AD4EA1"/>
    <w:p w14:paraId="4681673E" w14:textId="77777777" w:rsidR="00DB7466" w:rsidRDefault="00DB7466" w:rsidP="00AD4EA1"/>
    <w:p w14:paraId="6D627D61" w14:textId="77777777" w:rsidR="00DB7466" w:rsidRDefault="00DB7466" w:rsidP="00AD4EA1"/>
    <w:p w14:paraId="7670D37E" w14:textId="77777777" w:rsidR="00DB7466" w:rsidRDefault="00DB7466" w:rsidP="00AD4EA1"/>
    <w:p w14:paraId="616E8048" w14:textId="77777777" w:rsidR="00DB7466" w:rsidRDefault="00DB7466" w:rsidP="00AD4EA1"/>
    <w:p w14:paraId="673C3F91" w14:textId="77777777" w:rsidR="00DB7466" w:rsidRDefault="00DB7466" w:rsidP="00AD4EA1"/>
    <w:p w14:paraId="0D5F8FB8" w14:textId="77777777" w:rsidR="00DB7466" w:rsidRDefault="00DB7466" w:rsidP="00AD4EA1"/>
    <w:p w14:paraId="26194ADB" w14:textId="77777777" w:rsidR="00DB7466" w:rsidRDefault="00DB7466" w:rsidP="00AD4EA1"/>
    <w:p w14:paraId="33597233" w14:textId="77777777" w:rsidR="00DB7466" w:rsidRDefault="00DB7466" w:rsidP="00AD4EA1"/>
    <w:p w14:paraId="097EE2AD" w14:textId="77777777" w:rsidR="00DB7466" w:rsidRDefault="00DB7466" w:rsidP="00AD4EA1"/>
    <w:p w14:paraId="63CAB9A6" w14:textId="77777777" w:rsidR="00DB7466" w:rsidRDefault="00DB7466" w:rsidP="00AD4EA1"/>
    <w:p w14:paraId="7340F4FC" w14:textId="77777777" w:rsidR="00DB7466" w:rsidRDefault="00DB7466" w:rsidP="00AD4EA1"/>
    <w:p w14:paraId="1E036607" w14:textId="77777777" w:rsidR="00DB7466" w:rsidRDefault="00DB7466" w:rsidP="00AD4EA1"/>
    <w:p w14:paraId="036DE566" w14:textId="77777777" w:rsidR="00DB7466" w:rsidRDefault="00DB7466" w:rsidP="00AD4EA1"/>
    <w:p w14:paraId="2A063F24" w14:textId="77777777" w:rsidR="00DB7466" w:rsidRDefault="00DB7466" w:rsidP="00AD4EA1"/>
    <w:p w14:paraId="4CB10DB0" w14:textId="77777777" w:rsidR="00DB7466" w:rsidRDefault="00DB7466" w:rsidP="00AD4EA1"/>
    <w:p w14:paraId="3F66E8F6" w14:textId="77777777" w:rsidR="00DB7466" w:rsidRDefault="00DB7466" w:rsidP="00AD4EA1"/>
    <w:p w14:paraId="6A03FEE7" w14:textId="77777777" w:rsidR="00DB7466" w:rsidRDefault="00DB7466" w:rsidP="00AD4EA1"/>
    <w:p w14:paraId="3656E672" w14:textId="77777777" w:rsidR="00DB7466" w:rsidRDefault="00DB7466" w:rsidP="00AD4EA1"/>
    <w:p w14:paraId="3ED366ED" w14:textId="77777777" w:rsidR="00DB7466" w:rsidRDefault="00DB7466" w:rsidP="00AD4EA1"/>
    <w:p w14:paraId="4F205ED3" w14:textId="77777777" w:rsidR="00DB7466" w:rsidRDefault="00DB7466" w:rsidP="00AD4EA1"/>
    <w:p w14:paraId="27E29E7E" w14:textId="77777777" w:rsidR="00DB7466" w:rsidRDefault="00DB7466" w:rsidP="00AD4EA1"/>
    <w:p w14:paraId="3BE71972" w14:textId="77777777" w:rsidR="00DB7466" w:rsidRDefault="00DB7466" w:rsidP="00AD4EA1"/>
    <w:p w14:paraId="2BC803CE" w14:textId="77777777" w:rsidR="00DB7466" w:rsidRDefault="00DB7466" w:rsidP="00AD4EA1"/>
    <w:p w14:paraId="3346C410" w14:textId="77777777" w:rsidR="00DB7466" w:rsidRDefault="00DB7466" w:rsidP="00AD4EA1"/>
    <w:p w14:paraId="3CDC6591" w14:textId="77777777" w:rsidR="00DB7466" w:rsidRDefault="00DB7466" w:rsidP="00AD4EA1"/>
    <w:p w14:paraId="6E3137A7" w14:textId="77777777" w:rsidR="00DB7466" w:rsidRDefault="00DB7466" w:rsidP="00AD4EA1"/>
    <w:p w14:paraId="7130E28C" w14:textId="77777777" w:rsidR="00DB7466" w:rsidRDefault="00DB7466" w:rsidP="00AD4EA1"/>
    <w:p w14:paraId="7B700FD0" w14:textId="77777777" w:rsidR="00DB7466" w:rsidRDefault="00DB7466" w:rsidP="00AD4EA1"/>
    <w:p w14:paraId="151BA19D" w14:textId="77777777" w:rsidR="00DB7466" w:rsidRDefault="00DB7466" w:rsidP="00AD4EA1"/>
    <w:p w14:paraId="6013D209" w14:textId="77777777" w:rsidR="00DB7466" w:rsidRDefault="00DB7466" w:rsidP="00AD4EA1"/>
    <w:p w14:paraId="736D807A" w14:textId="77777777" w:rsidR="00DB7466" w:rsidRDefault="00DB7466" w:rsidP="00AD4EA1"/>
    <w:p w14:paraId="4AE6C706" w14:textId="77777777" w:rsidR="00DB7466" w:rsidRDefault="00DB7466" w:rsidP="00AD4EA1"/>
    <w:p w14:paraId="126E1104" w14:textId="77777777" w:rsidR="00DB7466" w:rsidRDefault="00DB7466" w:rsidP="00AD4EA1"/>
    <w:p w14:paraId="238F8625" w14:textId="77777777" w:rsidR="00DB7466" w:rsidRDefault="00DB7466" w:rsidP="00AD4EA1"/>
    <w:p w14:paraId="5419FC0D" w14:textId="77777777" w:rsidR="00DB7466" w:rsidRDefault="00DB7466" w:rsidP="00AD4EA1"/>
    <w:p w14:paraId="03E76AEC" w14:textId="77777777" w:rsidR="00DB7466" w:rsidRDefault="00DB7466" w:rsidP="00AD4EA1"/>
    <w:p w14:paraId="5FFD9E4C" w14:textId="77777777" w:rsidR="00DB7466" w:rsidRDefault="00DB7466" w:rsidP="00AD4EA1"/>
    <w:p w14:paraId="1FAEBD27" w14:textId="77777777" w:rsidR="00DB7466" w:rsidRDefault="00DB7466" w:rsidP="00AD4EA1"/>
    <w:p w14:paraId="0D9B3818" w14:textId="77777777" w:rsidR="00DB7466" w:rsidRDefault="00DB7466" w:rsidP="00AD4EA1"/>
    <w:p w14:paraId="16C3A9AB" w14:textId="77777777" w:rsidR="00DB7466" w:rsidRDefault="00DB7466" w:rsidP="00AD4EA1"/>
    <w:p w14:paraId="6B50BA65" w14:textId="77777777" w:rsidR="00DB7466" w:rsidRDefault="00DB7466" w:rsidP="00AD4EA1"/>
    <w:p w14:paraId="130B9427" w14:textId="77777777" w:rsidR="00DB7466" w:rsidRDefault="00DB7466" w:rsidP="00AD4EA1"/>
    <w:p w14:paraId="3E3F5F87" w14:textId="77777777" w:rsidR="00DB7466" w:rsidRDefault="00DB7466" w:rsidP="00AD4EA1"/>
    <w:p w14:paraId="2040A333" w14:textId="77777777" w:rsidR="00DB7466" w:rsidRDefault="00DB7466" w:rsidP="00AD4EA1"/>
    <w:p w14:paraId="6AC1973E" w14:textId="77777777" w:rsidR="00DB7466" w:rsidRDefault="00DB7466" w:rsidP="00AD4EA1"/>
    <w:p w14:paraId="1FD41CD0" w14:textId="77777777" w:rsidR="00DB7466" w:rsidRDefault="00DB7466" w:rsidP="00AD4EA1"/>
    <w:p w14:paraId="276211A2" w14:textId="77777777" w:rsidR="00DB7466" w:rsidRDefault="00DB7466" w:rsidP="00AD4EA1"/>
    <w:p w14:paraId="784B44EC" w14:textId="77777777" w:rsidR="00DB7466" w:rsidRDefault="00DB7466" w:rsidP="00AD4EA1"/>
    <w:p w14:paraId="7AA0001A" w14:textId="77777777" w:rsidR="00DB7466" w:rsidRDefault="00DB7466" w:rsidP="00AD4EA1"/>
    <w:p w14:paraId="6730D4B6" w14:textId="77777777" w:rsidR="00DB7466" w:rsidRDefault="00DB7466" w:rsidP="00AD4EA1"/>
    <w:p w14:paraId="575D4047" w14:textId="77777777" w:rsidR="00DB7466" w:rsidRDefault="00DB7466" w:rsidP="00AD4EA1"/>
    <w:p w14:paraId="2F77CECB" w14:textId="77777777" w:rsidR="00DB7466" w:rsidRDefault="00DB7466" w:rsidP="00AD4EA1"/>
    <w:p w14:paraId="224503E9" w14:textId="77777777" w:rsidR="00DB7466" w:rsidRDefault="00DB7466" w:rsidP="00AD4EA1"/>
    <w:p w14:paraId="4CB3C408" w14:textId="77777777" w:rsidR="00DB7466" w:rsidRDefault="00DB7466" w:rsidP="00AD4EA1"/>
    <w:p w14:paraId="27743E33" w14:textId="77777777" w:rsidR="00DB7466" w:rsidRDefault="00DB7466" w:rsidP="00AD4EA1"/>
    <w:p w14:paraId="3182F575" w14:textId="77777777" w:rsidR="00DB7466" w:rsidRDefault="00DB7466" w:rsidP="00AD4EA1"/>
    <w:p w14:paraId="080F558F" w14:textId="77777777" w:rsidR="00DB7466" w:rsidRDefault="00DB7466" w:rsidP="00AD4EA1"/>
    <w:p w14:paraId="4F521070" w14:textId="77777777" w:rsidR="00DB7466" w:rsidRDefault="00DB7466" w:rsidP="00AD4EA1"/>
    <w:p w14:paraId="1A4D6917" w14:textId="77777777" w:rsidR="00DB7466" w:rsidRDefault="00DB7466" w:rsidP="00AD4EA1"/>
    <w:p w14:paraId="26C54703" w14:textId="77777777" w:rsidR="00DB7466" w:rsidRDefault="00DB7466" w:rsidP="00AD4EA1"/>
    <w:p w14:paraId="794205A5" w14:textId="77777777" w:rsidR="00DB7466" w:rsidRDefault="00DB7466" w:rsidP="00AD4EA1"/>
    <w:p w14:paraId="74DF76AF" w14:textId="77777777" w:rsidR="00DB7466" w:rsidRDefault="00DB7466" w:rsidP="00AD4EA1"/>
    <w:p w14:paraId="3BD91F92" w14:textId="77777777" w:rsidR="00DB7466" w:rsidRDefault="00DB7466" w:rsidP="00AD4EA1"/>
    <w:p w14:paraId="139CF198" w14:textId="77777777" w:rsidR="00DB7466" w:rsidRDefault="00DB7466" w:rsidP="00AD4EA1"/>
    <w:p w14:paraId="06ED07A0" w14:textId="77777777" w:rsidR="00DB7466" w:rsidRDefault="00DB7466" w:rsidP="00AD4EA1"/>
    <w:p w14:paraId="4E4A2977" w14:textId="77777777" w:rsidR="00DB7466" w:rsidRDefault="00DB7466" w:rsidP="00AD4EA1"/>
    <w:p w14:paraId="0E2597BF" w14:textId="77777777" w:rsidR="00DB7466" w:rsidRDefault="00DB7466" w:rsidP="00AD4EA1"/>
    <w:p w14:paraId="533B21E0" w14:textId="77777777" w:rsidR="00DB7466" w:rsidRDefault="00DB7466" w:rsidP="00AD4EA1"/>
    <w:p w14:paraId="1E8F5DA7" w14:textId="77777777" w:rsidR="00DB7466" w:rsidRDefault="00DB7466" w:rsidP="00AD4EA1"/>
    <w:p w14:paraId="7D0889E2" w14:textId="77777777" w:rsidR="00DB7466" w:rsidRDefault="00DB7466" w:rsidP="00AD4EA1"/>
    <w:p w14:paraId="4B9EA879" w14:textId="77777777" w:rsidR="00DB7466" w:rsidRDefault="00DB7466" w:rsidP="00AD4EA1"/>
    <w:p w14:paraId="20B21016" w14:textId="77777777" w:rsidR="00DB7466" w:rsidRDefault="00DB7466" w:rsidP="00AD4EA1"/>
    <w:p w14:paraId="6A1FE592" w14:textId="77777777" w:rsidR="00DB7466" w:rsidRDefault="00DB7466" w:rsidP="00AD4EA1"/>
    <w:p w14:paraId="64B6FA1D" w14:textId="77777777" w:rsidR="00DB7466" w:rsidRDefault="00DB7466" w:rsidP="00AD4EA1"/>
    <w:p w14:paraId="5AA60FD6" w14:textId="77777777" w:rsidR="00DB7466" w:rsidRDefault="00DB7466" w:rsidP="00AD4EA1"/>
    <w:p w14:paraId="2FBA74C3" w14:textId="77777777" w:rsidR="00DB7466" w:rsidRDefault="00DB7466" w:rsidP="00AD4EA1"/>
    <w:p w14:paraId="1F1E2586" w14:textId="77777777" w:rsidR="00DB7466" w:rsidRDefault="00DB7466" w:rsidP="00AD4EA1"/>
    <w:p w14:paraId="6292407F" w14:textId="77777777" w:rsidR="00DB7466" w:rsidRDefault="00DB7466" w:rsidP="00AD4EA1"/>
    <w:p w14:paraId="1FC13888" w14:textId="77777777" w:rsidR="00DB7466" w:rsidRDefault="00DB7466" w:rsidP="00AD4EA1"/>
    <w:p w14:paraId="52A27E90" w14:textId="77777777" w:rsidR="00DB7466" w:rsidRDefault="00DB7466" w:rsidP="00AD4EA1"/>
    <w:p w14:paraId="3EDE4D41" w14:textId="77777777" w:rsidR="00DB7466" w:rsidRDefault="00DB7466" w:rsidP="00AD4EA1"/>
    <w:p w14:paraId="71468283" w14:textId="77777777" w:rsidR="00DB7466" w:rsidRDefault="00DB7466" w:rsidP="00AD4EA1"/>
    <w:p w14:paraId="3909DBDE" w14:textId="77777777" w:rsidR="00DB7466" w:rsidRDefault="00DB7466" w:rsidP="00AD4EA1"/>
    <w:p w14:paraId="4A44AC4A" w14:textId="77777777" w:rsidR="00DB7466" w:rsidRDefault="00DB7466" w:rsidP="00AD4EA1"/>
    <w:p w14:paraId="47926827" w14:textId="77777777" w:rsidR="00DB7466" w:rsidRDefault="00DB7466" w:rsidP="00AD4EA1"/>
    <w:p w14:paraId="56B26EC4" w14:textId="77777777" w:rsidR="00DB7466" w:rsidRDefault="00DB7466" w:rsidP="00AD4EA1"/>
    <w:p w14:paraId="165043CD" w14:textId="77777777" w:rsidR="00DB7466" w:rsidRDefault="00DB7466" w:rsidP="00AD4EA1"/>
    <w:p w14:paraId="2045C6D9" w14:textId="77777777" w:rsidR="00DB7466" w:rsidRDefault="00DB7466" w:rsidP="00AD4EA1"/>
    <w:p w14:paraId="2FEA2F3A" w14:textId="77777777" w:rsidR="00DB7466" w:rsidRDefault="00DB7466" w:rsidP="00AD4EA1"/>
    <w:p w14:paraId="462286FB" w14:textId="77777777" w:rsidR="00DB7466" w:rsidRDefault="00DB7466" w:rsidP="00AD4EA1"/>
    <w:p w14:paraId="35A12CE4" w14:textId="77777777" w:rsidR="00DB7466" w:rsidRDefault="00DB7466" w:rsidP="00AD4EA1"/>
    <w:p w14:paraId="0343FB47" w14:textId="77777777" w:rsidR="00DB7466" w:rsidRDefault="00DB7466" w:rsidP="00AD4EA1"/>
    <w:p w14:paraId="620B7B1A" w14:textId="77777777" w:rsidR="00DB7466" w:rsidRDefault="00DB7466" w:rsidP="00AD4EA1"/>
    <w:p w14:paraId="6D7E8A02" w14:textId="77777777" w:rsidR="00DB7466" w:rsidRDefault="00DB7466" w:rsidP="00AD4EA1"/>
    <w:p w14:paraId="2A815F58" w14:textId="77777777" w:rsidR="00DB7466" w:rsidRDefault="00DB7466" w:rsidP="00AD4EA1"/>
    <w:p w14:paraId="40338D1C" w14:textId="77777777" w:rsidR="00DB7466" w:rsidRDefault="00DB7466" w:rsidP="00AD4EA1"/>
    <w:p w14:paraId="14B9325B" w14:textId="77777777" w:rsidR="00DB7466" w:rsidRDefault="00DB7466" w:rsidP="00AD4EA1"/>
    <w:p w14:paraId="1FCD95F7" w14:textId="77777777" w:rsidR="00DB7466" w:rsidRDefault="00DB7466" w:rsidP="00AD4EA1"/>
    <w:p w14:paraId="2CFEF475" w14:textId="77777777" w:rsidR="00DB7466" w:rsidRDefault="00DB7466" w:rsidP="00AD4EA1"/>
    <w:p w14:paraId="4BF4EA2B" w14:textId="77777777" w:rsidR="00DB7466" w:rsidRDefault="00DB7466" w:rsidP="00AD4EA1"/>
    <w:p w14:paraId="0DC86045" w14:textId="77777777" w:rsidR="00DB7466" w:rsidRDefault="00DB7466" w:rsidP="00AD4EA1"/>
    <w:p w14:paraId="5B21F914" w14:textId="77777777" w:rsidR="00DB7466" w:rsidRDefault="00DB7466" w:rsidP="00AD4EA1"/>
    <w:p w14:paraId="415D4F14" w14:textId="77777777" w:rsidR="00DB7466" w:rsidRDefault="00DB7466" w:rsidP="00AD4EA1"/>
    <w:p w14:paraId="33AF91CD" w14:textId="77777777" w:rsidR="00DB7466" w:rsidRDefault="00DB7466" w:rsidP="00AD4EA1"/>
    <w:p w14:paraId="71792FA6" w14:textId="77777777" w:rsidR="00DB7466" w:rsidRDefault="00DB7466" w:rsidP="00AD4EA1"/>
    <w:p w14:paraId="5125ECC3" w14:textId="77777777" w:rsidR="00DB7466" w:rsidRDefault="00DB7466" w:rsidP="00AD4EA1"/>
    <w:p w14:paraId="36F8DF9D" w14:textId="77777777" w:rsidR="00DB7466" w:rsidRDefault="00DB7466" w:rsidP="00AD4EA1"/>
    <w:p w14:paraId="04A75DA9" w14:textId="77777777" w:rsidR="00DB7466" w:rsidRDefault="00DB7466" w:rsidP="00AD4EA1"/>
    <w:p w14:paraId="23C0C4C8" w14:textId="77777777" w:rsidR="00DB7466" w:rsidRDefault="00DB7466" w:rsidP="00AD4EA1"/>
    <w:p w14:paraId="354A02D3" w14:textId="77777777" w:rsidR="00DB7466" w:rsidRDefault="00DB7466" w:rsidP="00AD4EA1"/>
    <w:p w14:paraId="735B2E25" w14:textId="77777777" w:rsidR="00DB7466" w:rsidRDefault="00DB7466" w:rsidP="00AD4EA1"/>
    <w:p w14:paraId="0C0624F3" w14:textId="77777777" w:rsidR="00DB7466" w:rsidRDefault="00DB7466" w:rsidP="00AD4EA1"/>
    <w:p w14:paraId="62C43A25" w14:textId="77777777" w:rsidR="00DB7466" w:rsidRDefault="00DB7466" w:rsidP="00AD4EA1"/>
    <w:p w14:paraId="1CF77C4E" w14:textId="77777777" w:rsidR="00DB7466" w:rsidRDefault="00DB7466" w:rsidP="00AD4EA1"/>
    <w:p w14:paraId="5D686E29" w14:textId="77777777" w:rsidR="00DB7466" w:rsidRDefault="00DB7466" w:rsidP="00AD4EA1"/>
    <w:p w14:paraId="0A571315" w14:textId="77777777" w:rsidR="00DB7466" w:rsidRDefault="00DB7466" w:rsidP="00AD4EA1"/>
    <w:p w14:paraId="4983CD97" w14:textId="77777777" w:rsidR="00DB7466" w:rsidRDefault="00DB7466" w:rsidP="00AD4EA1"/>
    <w:p w14:paraId="60730633" w14:textId="77777777" w:rsidR="00DB7466" w:rsidRDefault="00DB7466" w:rsidP="00AD4EA1"/>
    <w:p w14:paraId="37C1C565" w14:textId="77777777" w:rsidR="00DB7466" w:rsidRDefault="00DB7466" w:rsidP="00AD4EA1"/>
    <w:p w14:paraId="1FBE78A1" w14:textId="77777777" w:rsidR="00DB7466" w:rsidRDefault="00DB7466" w:rsidP="00AD4EA1"/>
    <w:p w14:paraId="69267028" w14:textId="77777777" w:rsidR="00DB7466" w:rsidRDefault="00DB7466" w:rsidP="00AD4EA1"/>
    <w:p w14:paraId="02A9AD2A" w14:textId="77777777" w:rsidR="00DB7466" w:rsidRDefault="00DB7466" w:rsidP="00AD4EA1"/>
    <w:p w14:paraId="4264D6AF" w14:textId="77777777" w:rsidR="00DB7466" w:rsidRDefault="00DB7466" w:rsidP="00AD4EA1"/>
    <w:p w14:paraId="318CDAC8" w14:textId="77777777" w:rsidR="00DB7466" w:rsidRDefault="00DB7466" w:rsidP="00AD4EA1"/>
    <w:p w14:paraId="03B20805" w14:textId="77777777" w:rsidR="00DB7466" w:rsidRDefault="00DB7466" w:rsidP="00AD4EA1"/>
    <w:p w14:paraId="5FEA67BB" w14:textId="77777777" w:rsidR="00DB7466" w:rsidRDefault="00DB7466" w:rsidP="00AD4EA1"/>
    <w:p w14:paraId="3E9A4873" w14:textId="77777777" w:rsidR="00DB7466" w:rsidRDefault="00DB7466" w:rsidP="00AD4EA1"/>
    <w:p w14:paraId="3FDA439C" w14:textId="77777777" w:rsidR="00DB7466" w:rsidRDefault="00DB7466" w:rsidP="00AD4EA1"/>
    <w:p w14:paraId="33609DBA" w14:textId="77777777" w:rsidR="00DB7466" w:rsidRDefault="00DB7466" w:rsidP="00AD4EA1"/>
    <w:p w14:paraId="1C8FAB2F" w14:textId="77777777" w:rsidR="00DB7466" w:rsidRDefault="00DB7466" w:rsidP="00AD4EA1"/>
    <w:p w14:paraId="4EA6EFE8" w14:textId="77777777" w:rsidR="00DB7466" w:rsidRDefault="00DB7466" w:rsidP="00AD4EA1"/>
    <w:p w14:paraId="754E7C35" w14:textId="77777777" w:rsidR="00DB7466" w:rsidRDefault="00DB7466" w:rsidP="00AD4EA1"/>
    <w:p w14:paraId="5EFFF0CB" w14:textId="77777777" w:rsidR="00DB7466" w:rsidRDefault="00DB7466" w:rsidP="00AD4EA1"/>
    <w:p w14:paraId="1BC5792F" w14:textId="77777777" w:rsidR="00DB7466" w:rsidRDefault="00DB7466" w:rsidP="00AD4EA1"/>
    <w:p w14:paraId="01C6C6F6" w14:textId="77777777" w:rsidR="00DB7466" w:rsidRDefault="00DB7466" w:rsidP="00AD4EA1"/>
    <w:p w14:paraId="41CB7866" w14:textId="77777777" w:rsidR="00DB7466" w:rsidRDefault="00DB7466" w:rsidP="00AD4EA1"/>
    <w:p w14:paraId="35D6C144" w14:textId="77777777" w:rsidR="00DB7466" w:rsidRDefault="00DB7466" w:rsidP="00AD4EA1"/>
    <w:p w14:paraId="0AC120E1" w14:textId="77777777" w:rsidR="00DB7466" w:rsidRDefault="00DB7466" w:rsidP="00AD4EA1"/>
    <w:p w14:paraId="2E16FCAE" w14:textId="77777777" w:rsidR="00DB7466" w:rsidRDefault="00DB7466" w:rsidP="00AD4EA1"/>
    <w:p w14:paraId="42E867BE" w14:textId="77777777" w:rsidR="00DB7466" w:rsidRDefault="00DB7466" w:rsidP="00AD4EA1"/>
    <w:p w14:paraId="68E0B744" w14:textId="77777777" w:rsidR="00DB7466" w:rsidRDefault="00DB7466" w:rsidP="00AD4EA1"/>
    <w:p w14:paraId="0FE3A457" w14:textId="77777777" w:rsidR="00DB7466" w:rsidRDefault="00DB7466" w:rsidP="00AD4EA1"/>
    <w:p w14:paraId="2B246204" w14:textId="77777777" w:rsidR="00DB7466" w:rsidRDefault="00DB7466" w:rsidP="00AD4EA1"/>
    <w:p w14:paraId="2DD10713" w14:textId="77777777" w:rsidR="00DB7466" w:rsidRDefault="00DB7466" w:rsidP="00AD4EA1"/>
    <w:p w14:paraId="470932A7" w14:textId="77777777" w:rsidR="00DB7466" w:rsidRDefault="00DB7466" w:rsidP="00AD4EA1"/>
    <w:p w14:paraId="46E906D6" w14:textId="77777777" w:rsidR="00DB7466" w:rsidRDefault="00DB7466" w:rsidP="00AD4EA1"/>
    <w:p w14:paraId="74B8153C" w14:textId="77777777" w:rsidR="00DB7466" w:rsidRDefault="00DB7466" w:rsidP="00AD4EA1"/>
    <w:p w14:paraId="5513824D" w14:textId="77777777" w:rsidR="00DB7466" w:rsidRDefault="00DB7466" w:rsidP="00AD4EA1"/>
    <w:p w14:paraId="687AA634" w14:textId="77777777" w:rsidR="00DB7466" w:rsidRDefault="00DB7466" w:rsidP="00AD4EA1"/>
    <w:p w14:paraId="4446F7C0" w14:textId="77777777" w:rsidR="00DB7466" w:rsidRDefault="00DB7466" w:rsidP="00AD4EA1"/>
    <w:p w14:paraId="719B58F0" w14:textId="77777777" w:rsidR="00DB7466" w:rsidRDefault="00DB7466" w:rsidP="00AD4EA1"/>
    <w:p w14:paraId="6FAFE75F" w14:textId="77777777" w:rsidR="00DB7466" w:rsidRDefault="00DB7466" w:rsidP="00AD4EA1"/>
    <w:p w14:paraId="4A4C0ED6" w14:textId="77777777" w:rsidR="00DB7466" w:rsidRDefault="00DB7466" w:rsidP="00AD4EA1"/>
    <w:p w14:paraId="62E21429" w14:textId="77777777" w:rsidR="00DB7466" w:rsidRDefault="00DB7466" w:rsidP="00AD4EA1"/>
    <w:p w14:paraId="162C62BB" w14:textId="77777777" w:rsidR="00DB7466" w:rsidRDefault="00DB7466" w:rsidP="00AD4EA1"/>
    <w:p w14:paraId="3FD460BF" w14:textId="77777777" w:rsidR="00DB7466" w:rsidRDefault="00DB7466" w:rsidP="00AD4EA1"/>
    <w:p w14:paraId="51905DCC" w14:textId="77777777" w:rsidR="00DB7466" w:rsidRDefault="00DB7466" w:rsidP="00AD4EA1"/>
    <w:p w14:paraId="2A6B2FDB" w14:textId="77777777" w:rsidR="00DB7466" w:rsidRDefault="00DB7466" w:rsidP="00AD4EA1"/>
    <w:p w14:paraId="6D17A8BE" w14:textId="77777777" w:rsidR="00DB7466" w:rsidRDefault="00DB7466" w:rsidP="00AD4EA1"/>
    <w:p w14:paraId="3FB1661A" w14:textId="77777777" w:rsidR="00DB7466" w:rsidRDefault="00DB7466" w:rsidP="00AD4EA1"/>
    <w:p w14:paraId="13A6CEA3" w14:textId="77777777" w:rsidR="00DB7466" w:rsidRDefault="00DB7466" w:rsidP="00AD4EA1"/>
    <w:p w14:paraId="0151F8DE" w14:textId="77777777" w:rsidR="00DB7466" w:rsidRDefault="00DB7466" w:rsidP="00AD4EA1"/>
    <w:p w14:paraId="40C51239" w14:textId="77777777" w:rsidR="00DB7466" w:rsidRDefault="00DB7466" w:rsidP="00AD4EA1"/>
    <w:p w14:paraId="6358E9AD" w14:textId="77777777" w:rsidR="00DB7466" w:rsidRDefault="00DB7466" w:rsidP="00AD4EA1"/>
    <w:p w14:paraId="65097666" w14:textId="77777777" w:rsidR="00DB7466" w:rsidRDefault="00DB7466" w:rsidP="00AD4EA1"/>
    <w:p w14:paraId="37101E1E" w14:textId="77777777" w:rsidR="00DB7466" w:rsidRDefault="00DB7466" w:rsidP="00AD4EA1"/>
    <w:p w14:paraId="0060306E" w14:textId="77777777" w:rsidR="00DB7466" w:rsidRDefault="00DB7466" w:rsidP="00AD4EA1"/>
    <w:p w14:paraId="052EA30A" w14:textId="77777777" w:rsidR="00DB7466" w:rsidRDefault="00DB7466" w:rsidP="00AD4EA1"/>
    <w:p w14:paraId="69315727" w14:textId="77777777" w:rsidR="00DB7466" w:rsidRDefault="00DB7466" w:rsidP="00AD4EA1"/>
    <w:p w14:paraId="24E954F0" w14:textId="77777777" w:rsidR="00DB7466" w:rsidRDefault="00DB7466" w:rsidP="00AD4EA1"/>
    <w:p w14:paraId="266C3FC0" w14:textId="77777777" w:rsidR="00DB7466" w:rsidRDefault="00DB7466" w:rsidP="00AD4EA1"/>
    <w:p w14:paraId="21D663F2" w14:textId="77777777" w:rsidR="00DB7466" w:rsidRDefault="00DB7466" w:rsidP="00AD4EA1"/>
    <w:p w14:paraId="38C5016C" w14:textId="77777777" w:rsidR="00DB7466" w:rsidRDefault="00DB7466" w:rsidP="00AD4EA1"/>
    <w:p w14:paraId="78D46326" w14:textId="77777777" w:rsidR="00DB7466" w:rsidRDefault="00DB7466" w:rsidP="00AD4EA1"/>
    <w:p w14:paraId="06EC9D9F" w14:textId="77777777" w:rsidR="00DB7466" w:rsidRDefault="00DB7466" w:rsidP="00AD4EA1"/>
    <w:p w14:paraId="3E679722" w14:textId="77777777" w:rsidR="00DB7466" w:rsidRDefault="00DB7466" w:rsidP="00AD4EA1"/>
    <w:p w14:paraId="271DB9F0" w14:textId="77777777" w:rsidR="00DB7466" w:rsidRDefault="00DB7466" w:rsidP="00AD4EA1"/>
    <w:p w14:paraId="3A72E3B6" w14:textId="77777777" w:rsidR="00DB7466" w:rsidRDefault="00DB7466" w:rsidP="00AD4EA1"/>
    <w:p w14:paraId="64968772" w14:textId="77777777" w:rsidR="00DB7466" w:rsidRDefault="00DB7466" w:rsidP="00AD4EA1"/>
    <w:p w14:paraId="7DD70171" w14:textId="77777777" w:rsidR="00DB7466" w:rsidRDefault="00DB7466" w:rsidP="00AD4EA1"/>
    <w:p w14:paraId="3C5F54DF" w14:textId="77777777" w:rsidR="00DB7466" w:rsidRDefault="00DB7466" w:rsidP="00AD4EA1"/>
    <w:p w14:paraId="3047BC90" w14:textId="77777777" w:rsidR="00DB7466" w:rsidRDefault="00DB7466" w:rsidP="00AD4EA1"/>
    <w:p w14:paraId="4B19BA14" w14:textId="77777777" w:rsidR="00DB7466" w:rsidRDefault="00DB7466" w:rsidP="00AD4EA1"/>
    <w:p w14:paraId="35045BF8" w14:textId="77777777" w:rsidR="00DB7466" w:rsidRDefault="00DB7466" w:rsidP="00AD4EA1"/>
    <w:p w14:paraId="0349169C" w14:textId="77777777" w:rsidR="00DB7466" w:rsidRDefault="00DB7466" w:rsidP="00AD4EA1"/>
    <w:p w14:paraId="25F50629" w14:textId="77777777" w:rsidR="00DB7466" w:rsidRDefault="00DB7466" w:rsidP="00AD4EA1"/>
    <w:p w14:paraId="43FA222C" w14:textId="77777777" w:rsidR="00DB7466" w:rsidRDefault="00DB7466" w:rsidP="00AD4EA1"/>
    <w:p w14:paraId="6DFDC334" w14:textId="77777777" w:rsidR="00DB7466" w:rsidRDefault="00DB7466" w:rsidP="00AD4EA1"/>
    <w:p w14:paraId="3B369E33" w14:textId="77777777" w:rsidR="00DB7466" w:rsidRDefault="00DB7466" w:rsidP="00AD4EA1"/>
    <w:p w14:paraId="395FCB31" w14:textId="77777777" w:rsidR="00DB7466" w:rsidRDefault="00DB7466" w:rsidP="00AD4EA1"/>
    <w:p w14:paraId="2B02E746" w14:textId="77777777" w:rsidR="00DB7466" w:rsidRDefault="00DB7466" w:rsidP="00AD4EA1"/>
    <w:p w14:paraId="296F456B" w14:textId="77777777" w:rsidR="00DB7466" w:rsidRDefault="00DB7466" w:rsidP="00AD4EA1"/>
    <w:p w14:paraId="2CC6DD4F" w14:textId="77777777" w:rsidR="00DB7466" w:rsidRDefault="00DB7466" w:rsidP="00AD4EA1"/>
    <w:p w14:paraId="6424E575" w14:textId="77777777" w:rsidR="00DB7466" w:rsidRDefault="00DB7466" w:rsidP="00AD4EA1"/>
    <w:p w14:paraId="76839776" w14:textId="77777777" w:rsidR="00DB7466" w:rsidRDefault="00DB7466" w:rsidP="00AD4EA1"/>
    <w:p w14:paraId="31568187" w14:textId="77777777" w:rsidR="00DB7466" w:rsidRDefault="00DB7466" w:rsidP="00AD4EA1"/>
    <w:p w14:paraId="5EB3F507" w14:textId="77777777" w:rsidR="00DB7466" w:rsidRDefault="00DB7466" w:rsidP="00AD4EA1"/>
    <w:p w14:paraId="38CBF758" w14:textId="77777777" w:rsidR="00DB7466" w:rsidRDefault="00DB7466" w:rsidP="00AD4EA1"/>
    <w:p w14:paraId="03DCB0BB" w14:textId="77777777" w:rsidR="00DB7466" w:rsidRDefault="00DB7466" w:rsidP="00AD4EA1"/>
    <w:p w14:paraId="4474AD88" w14:textId="77777777" w:rsidR="00DB7466" w:rsidRDefault="00DB7466" w:rsidP="00AD4EA1"/>
    <w:p w14:paraId="4B320BB4" w14:textId="77777777" w:rsidR="00DB7466" w:rsidRDefault="00DB7466" w:rsidP="00AD4EA1"/>
    <w:p w14:paraId="59F7D54D" w14:textId="77777777" w:rsidR="00DB7466" w:rsidRDefault="00DB7466" w:rsidP="00AD4EA1"/>
    <w:p w14:paraId="13BECDCE" w14:textId="77777777" w:rsidR="00DB7466" w:rsidRDefault="00DB7466" w:rsidP="00AD4EA1"/>
    <w:p w14:paraId="19EA21B8" w14:textId="77777777" w:rsidR="00DB7466" w:rsidRDefault="00DB7466" w:rsidP="00AD4EA1"/>
    <w:p w14:paraId="461C4711" w14:textId="77777777" w:rsidR="00DB7466" w:rsidRDefault="00DB7466" w:rsidP="00AD4EA1"/>
    <w:p w14:paraId="45DF2BFF" w14:textId="77777777" w:rsidR="00DB7466" w:rsidRDefault="00DB7466" w:rsidP="00AD4EA1"/>
    <w:p w14:paraId="1DA7A0CB" w14:textId="77777777" w:rsidR="00DB7466" w:rsidRDefault="00DB7466" w:rsidP="00AD4EA1"/>
    <w:p w14:paraId="42D04657" w14:textId="77777777" w:rsidR="00DB7466" w:rsidRDefault="00DB7466" w:rsidP="00AD4EA1"/>
    <w:p w14:paraId="4B275318" w14:textId="77777777" w:rsidR="00DB7466" w:rsidRDefault="00DB7466" w:rsidP="00AD4EA1"/>
    <w:p w14:paraId="3EAB913E" w14:textId="77777777" w:rsidR="00DB7466" w:rsidRDefault="00DB7466" w:rsidP="00AD4EA1"/>
    <w:p w14:paraId="56EFC2FA" w14:textId="77777777" w:rsidR="00DB7466" w:rsidRDefault="00DB7466" w:rsidP="00AD4EA1"/>
    <w:p w14:paraId="4717C74A" w14:textId="77777777" w:rsidR="00DB7466" w:rsidRDefault="00DB7466" w:rsidP="00AD4EA1"/>
    <w:p w14:paraId="76452CE2" w14:textId="77777777" w:rsidR="00DB7466" w:rsidRDefault="00DB7466" w:rsidP="00AD4EA1"/>
    <w:p w14:paraId="56D7D37C" w14:textId="77777777" w:rsidR="00DB7466" w:rsidRDefault="00DB7466" w:rsidP="00AD4EA1"/>
    <w:p w14:paraId="30D91FC7" w14:textId="77777777" w:rsidR="00DB7466" w:rsidRDefault="00DB7466" w:rsidP="00AD4EA1"/>
    <w:p w14:paraId="14A4E612" w14:textId="77777777" w:rsidR="00DB7466" w:rsidRDefault="00DB7466" w:rsidP="00AD4EA1"/>
    <w:p w14:paraId="151AECAD" w14:textId="77777777" w:rsidR="00DB7466" w:rsidRDefault="00DB7466" w:rsidP="00AD4EA1"/>
    <w:p w14:paraId="44F65BCD" w14:textId="77777777" w:rsidR="00DB7466" w:rsidRDefault="00DB7466" w:rsidP="00AD4EA1"/>
    <w:p w14:paraId="3A2C8EBB" w14:textId="77777777" w:rsidR="00DB7466" w:rsidRDefault="00DB7466" w:rsidP="00AD4EA1"/>
    <w:p w14:paraId="5A6C6BCE" w14:textId="77777777" w:rsidR="00DB7466" w:rsidRDefault="00DB7466" w:rsidP="00AD4EA1"/>
    <w:p w14:paraId="0C70AFCE" w14:textId="77777777" w:rsidR="00DB7466" w:rsidRDefault="00DB7466" w:rsidP="00AD4EA1"/>
    <w:p w14:paraId="5A152FE0" w14:textId="77777777" w:rsidR="00DB7466" w:rsidRDefault="00DB7466" w:rsidP="00AD4EA1"/>
    <w:p w14:paraId="79DA8D7F" w14:textId="77777777" w:rsidR="00DB7466" w:rsidRDefault="00DB7466" w:rsidP="00AD4EA1"/>
    <w:p w14:paraId="50733B45" w14:textId="77777777" w:rsidR="00DB7466" w:rsidRDefault="00DB7466" w:rsidP="00AD4EA1"/>
    <w:p w14:paraId="6FB5A2E6" w14:textId="77777777" w:rsidR="00DB7466" w:rsidRDefault="00DB7466" w:rsidP="00AD4EA1"/>
    <w:p w14:paraId="263753C8" w14:textId="77777777" w:rsidR="00DB7466" w:rsidRDefault="00DB7466" w:rsidP="00AD4EA1"/>
    <w:p w14:paraId="3395EDCF" w14:textId="77777777" w:rsidR="00DB7466" w:rsidRDefault="00DB7466" w:rsidP="00AD4EA1"/>
    <w:p w14:paraId="19D0E2FC" w14:textId="77777777" w:rsidR="00DB7466" w:rsidRDefault="00DB7466" w:rsidP="00AD4EA1"/>
    <w:p w14:paraId="7DA0ADA4" w14:textId="77777777" w:rsidR="00DB7466" w:rsidRDefault="00DB7466" w:rsidP="00AD4EA1"/>
    <w:p w14:paraId="18327374" w14:textId="77777777" w:rsidR="00DB7466" w:rsidRDefault="00DB7466" w:rsidP="00AD4EA1"/>
    <w:p w14:paraId="6283DAD1" w14:textId="77777777" w:rsidR="00DB7466" w:rsidRDefault="00DB7466" w:rsidP="00AD4EA1"/>
    <w:p w14:paraId="776E6E2C" w14:textId="77777777" w:rsidR="00DB7466" w:rsidRDefault="00DB7466" w:rsidP="00AD4EA1"/>
    <w:p w14:paraId="62857D8D" w14:textId="77777777" w:rsidR="00DB7466" w:rsidRDefault="00DB7466" w:rsidP="00AD4EA1"/>
    <w:p w14:paraId="362E75E5" w14:textId="77777777" w:rsidR="00DB7466" w:rsidRDefault="00DB7466" w:rsidP="00AD4EA1"/>
    <w:p w14:paraId="2F6DACB5" w14:textId="77777777" w:rsidR="00DB7466" w:rsidRDefault="00DB7466" w:rsidP="00AD4EA1"/>
    <w:p w14:paraId="1D875F6B" w14:textId="77777777" w:rsidR="00DB7466" w:rsidRDefault="00DB7466" w:rsidP="00AD4EA1"/>
    <w:p w14:paraId="6D64402B" w14:textId="77777777" w:rsidR="00DB7466" w:rsidRDefault="00DB7466" w:rsidP="00AD4EA1"/>
    <w:p w14:paraId="39FEA995" w14:textId="77777777" w:rsidR="00DB7466" w:rsidRDefault="00DB7466" w:rsidP="00AD4EA1"/>
    <w:p w14:paraId="79BC8B9F" w14:textId="77777777" w:rsidR="00DB7466" w:rsidRDefault="00DB7466" w:rsidP="00AD4EA1"/>
    <w:p w14:paraId="51455270" w14:textId="77777777" w:rsidR="00DB7466" w:rsidRDefault="00DB7466" w:rsidP="00AD4EA1"/>
    <w:p w14:paraId="6B78804E" w14:textId="77777777" w:rsidR="00DB7466" w:rsidRDefault="00DB7466" w:rsidP="00AD4EA1"/>
    <w:p w14:paraId="08DF2694" w14:textId="77777777" w:rsidR="00DB7466" w:rsidRDefault="00DB7466" w:rsidP="00AD4EA1"/>
    <w:p w14:paraId="73D7A127" w14:textId="77777777" w:rsidR="00DB7466" w:rsidRDefault="00DB7466" w:rsidP="00AD4EA1"/>
    <w:p w14:paraId="324E4782" w14:textId="77777777" w:rsidR="00DB7466" w:rsidRDefault="00DB7466" w:rsidP="00AD4EA1"/>
    <w:p w14:paraId="001A2743" w14:textId="77777777" w:rsidR="00DB7466" w:rsidRDefault="00DB7466" w:rsidP="00AD4EA1"/>
    <w:p w14:paraId="0660F170" w14:textId="77777777" w:rsidR="00DB7466" w:rsidRDefault="00DB7466" w:rsidP="00AD4EA1"/>
    <w:p w14:paraId="501AFCBA" w14:textId="77777777" w:rsidR="00DB7466" w:rsidRDefault="00DB7466" w:rsidP="00AD4EA1"/>
    <w:p w14:paraId="365E45C5" w14:textId="77777777" w:rsidR="00DB7466" w:rsidRDefault="00DB7466" w:rsidP="00AD4EA1"/>
    <w:p w14:paraId="59A7743A" w14:textId="77777777" w:rsidR="00DB7466" w:rsidRDefault="00DB7466" w:rsidP="00AD4EA1"/>
    <w:p w14:paraId="0822B0DC" w14:textId="77777777" w:rsidR="00DB7466" w:rsidRDefault="00DB7466" w:rsidP="00AD4EA1"/>
    <w:p w14:paraId="35E7AEF4" w14:textId="77777777" w:rsidR="00DB7466" w:rsidRDefault="00DB7466" w:rsidP="00AD4EA1"/>
    <w:p w14:paraId="142FA7FA" w14:textId="77777777" w:rsidR="00DB7466" w:rsidRDefault="00DB7466" w:rsidP="00AD4EA1"/>
    <w:p w14:paraId="034BD36D" w14:textId="77777777" w:rsidR="00DB7466" w:rsidRDefault="00DB7466" w:rsidP="00AD4EA1"/>
    <w:p w14:paraId="0EFAB985" w14:textId="77777777" w:rsidR="00DB7466" w:rsidRDefault="00DB7466" w:rsidP="00AD4EA1"/>
    <w:p w14:paraId="43ABCA48" w14:textId="77777777" w:rsidR="00DB7466" w:rsidRDefault="00DB7466" w:rsidP="00AD4EA1"/>
    <w:p w14:paraId="307C0805" w14:textId="77777777" w:rsidR="00DB7466" w:rsidRDefault="00DB7466" w:rsidP="00AD4EA1"/>
    <w:p w14:paraId="214C75D2" w14:textId="77777777" w:rsidR="00DB7466" w:rsidRDefault="00DB7466" w:rsidP="00AD4EA1"/>
    <w:p w14:paraId="0D50B024" w14:textId="77777777" w:rsidR="00DB7466" w:rsidRDefault="00DB7466" w:rsidP="00AD4EA1"/>
    <w:p w14:paraId="6B82070E" w14:textId="77777777" w:rsidR="00DB7466" w:rsidRDefault="00DB7466" w:rsidP="00AD4EA1"/>
    <w:p w14:paraId="765583D7" w14:textId="77777777" w:rsidR="00DB7466" w:rsidRDefault="00DB7466" w:rsidP="00AD4EA1"/>
    <w:p w14:paraId="49AFD4B4" w14:textId="77777777" w:rsidR="00DB7466" w:rsidRDefault="00DB7466" w:rsidP="00AD4EA1"/>
    <w:p w14:paraId="797FD222" w14:textId="77777777" w:rsidR="00DB7466" w:rsidRDefault="00DB7466" w:rsidP="00AD4EA1"/>
    <w:p w14:paraId="37AD4CE7" w14:textId="77777777" w:rsidR="00DB7466" w:rsidRDefault="00DB7466" w:rsidP="00AD4EA1"/>
    <w:p w14:paraId="0E6BF8C9" w14:textId="77777777" w:rsidR="00DB7466" w:rsidRDefault="00DB7466" w:rsidP="00AD4EA1"/>
    <w:p w14:paraId="5F33F9B4" w14:textId="77777777" w:rsidR="00DB7466" w:rsidRDefault="00DB7466" w:rsidP="00AD4EA1"/>
    <w:p w14:paraId="67FF618E" w14:textId="77777777" w:rsidR="00DB7466" w:rsidRDefault="00DB7466" w:rsidP="00AD4EA1"/>
    <w:p w14:paraId="4B4E6565" w14:textId="77777777" w:rsidR="00DB7466" w:rsidRDefault="00DB7466" w:rsidP="00AD4EA1"/>
    <w:p w14:paraId="1994A13F" w14:textId="77777777" w:rsidR="00DB7466" w:rsidRDefault="00DB7466" w:rsidP="00AD4EA1"/>
    <w:p w14:paraId="75FAA149" w14:textId="77777777" w:rsidR="00DB7466" w:rsidRDefault="00DB7466" w:rsidP="00AD4EA1"/>
    <w:p w14:paraId="2B0A5E97" w14:textId="77777777" w:rsidR="00DB7466" w:rsidRDefault="00DB7466" w:rsidP="00AD4EA1"/>
    <w:p w14:paraId="47DB7E14" w14:textId="77777777" w:rsidR="00DB7466" w:rsidRDefault="00DB7466" w:rsidP="00AD4EA1"/>
    <w:p w14:paraId="4A809A16" w14:textId="77777777" w:rsidR="00DB7466" w:rsidRDefault="00DB7466" w:rsidP="00AD4EA1"/>
    <w:p w14:paraId="42A40925" w14:textId="77777777" w:rsidR="00DB7466" w:rsidRDefault="00DB7466" w:rsidP="00AD4EA1"/>
    <w:p w14:paraId="29FFB166" w14:textId="77777777" w:rsidR="00DB7466" w:rsidRDefault="00DB7466" w:rsidP="00AD4EA1"/>
    <w:p w14:paraId="5145718B" w14:textId="77777777" w:rsidR="00DB7466" w:rsidRDefault="00DB7466" w:rsidP="00AD4EA1"/>
    <w:p w14:paraId="7021B304" w14:textId="77777777" w:rsidR="00DB7466" w:rsidRDefault="00DB7466" w:rsidP="00AD4EA1"/>
    <w:p w14:paraId="57DD9245" w14:textId="77777777" w:rsidR="00DB7466" w:rsidRDefault="00DB7466" w:rsidP="00AD4EA1"/>
    <w:p w14:paraId="6A41379B" w14:textId="77777777" w:rsidR="00DB7466" w:rsidRDefault="00DB7466" w:rsidP="00AD4EA1"/>
    <w:p w14:paraId="62FF2DA4" w14:textId="77777777" w:rsidR="00DB7466" w:rsidRDefault="00DB7466" w:rsidP="00AD4EA1"/>
    <w:p w14:paraId="7286E1D7" w14:textId="77777777" w:rsidR="00DB7466" w:rsidRDefault="00DB7466" w:rsidP="00AD4EA1"/>
    <w:p w14:paraId="3B92D936" w14:textId="77777777" w:rsidR="00DB7466" w:rsidRDefault="00DB7466" w:rsidP="00AD4EA1"/>
    <w:p w14:paraId="0BA3B9DF" w14:textId="77777777" w:rsidR="00DB7466" w:rsidRDefault="00DB7466" w:rsidP="00AD4EA1"/>
    <w:p w14:paraId="231E5DE8" w14:textId="77777777" w:rsidR="00DB7466" w:rsidRDefault="00DB7466" w:rsidP="00AD4EA1"/>
    <w:p w14:paraId="5F05421B" w14:textId="77777777" w:rsidR="00DB7466" w:rsidRDefault="00DB7466" w:rsidP="00AD4EA1"/>
    <w:p w14:paraId="67C5E1D2" w14:textId="77777777" w:rsidR="00DB7466" w:rsidRDefault="00DB7466" w:rsidP="00AD4EA1"/>
    <w:p w14:paraId="2D75113A" w14:textId="77777777" w:rsidR="00DB7466" w:rsidRDefault="00DB7466" w:rsidP="00AD4EA1"/>
    <w:p w14:paraId="7F22B309" w14:textId="77777777" w:rsidR="00DB7466" w:rsidRDefault="00DB7466" w:rsidP="00AD4EA1"/>
    <w:p w14:paraId="713B5FB8" w14:textId="77777777" w:rsidR="00DB7466" w:rsidRDefault="00DB7466" w:rsidP="00AD4EA1"/>
    <w:p w14:paraId="0DD41500" w14:textId="77777777" w:rsidR="00DB7466" w:rsidRDefault="00DB7466" w:rsidP="00AD4EA1"/>
    <w:p w14:paraId="1C365DEB" w14:textId="77777777" w:rsidR="00DB7466" w:rsidRDefault="00DB7466" w:rsidP="00AD4EA1"/>
    <w:p w14:paraId="6CBDCDB2" w14:textId="77777777" w:rsidR="00DB7466" w:rsidRDefault="00DB7466" w:rsidP="00AD4EA1"/>
    <w:p w14:paraId="488910E3" w14:textId="77777777" w:rsidR="00DB7466" w:rsidRDefault="00DB7466" w:rsidP="00AD4EA1"/>
    <w:p w14:paraId="4D59AB9B" w14:textId="77777777" w:rsidR="00DB7466" w:rsidRDefault="00DB7466" w:rsidP="00AD4EA1"/>
    <w:p w14:paraId="04193CAB" w14:textId="77777777" w:rsidR="00DB7466" w:rsidRDefault="00DB7466" w:rsidP="00AD4EA1"/>
    <w:p w14:paraId="57391A0D" w14:textId="77777777" w:rsidR="00DB7466" w:rsidRDefault="00DB7466" w:rsidP="00AD4EA1"/>
    <w:p w14:paraId="44A94BD3" w14:textId="77777777" w:rsidR="00DB7466" w:rsidRDefault="00DB7466" w:rsidP="00AD4EA1"/>
    <w:p w14:paraId="2DCEB518" w14:textId="77777777" w:rsidR="00DB7466" w:rsidRDefault="00DB7466" w:rsidP="00AD4EA1"/>
    <w:p w14:paraId="6E063295" w14:textId="77777777" w:rsidR="00DB7466" w:rsidRDefault="00DB7466" w:rsidP="00AD4EA1"/>
    <w:p w14:paraId="7ECF684C" w14:textId="77777777" w:rsidR="00DB7466" w:rsidRDefault="00DB7466" w:rsidP="00AD4EA1"/>
    <w:p w14:paraId="75E13AA5" w14:textId="77777777" w:rsidR="00DB7466" w:rsidRDefault="00DB7466" w:rsidP="00AD4EA1"/>
    <w:p w14:paraId="5C93C2B4" w14:textId="77777777" w:rsidR="00DB7466" w:rsidRDefault="00DB7466" w:rsidP="00AD4EA1"/>
    <w:p w14:paraId="2BA1497C" w14:textId="77777777" w:rsidR="00DB7466" w:rsidRDefault="00DB7466" w:rsidP="00AD4EA1"/>
    <w:p w14:paraId="658CE892" w14:textId="77777777" w:rsidR="00DB7466" w:rsidRDefault="00DB7466" w:rsidP="00AD4EA1"/>
    <w:p w14:paraId="69C310AA" w14:textId="77777777" w:rsidR="00DB7466" w:rsidRDefault="00DB7466" w:rsidP="00AD4EA1"/>
    <w:p w14:paraId="7B632B9C" w14:textId="77777777" w:rsidR="00DB7466" w:rsidRDefault="00DB7466" w:rsidP="00AD4EA1"/>
    <w:p w14:paraId="268D086B" w14:textId="77777777" w:rsidR="00DB7466" w:rsidRDefault="00DB7466" w:rsidP="00AD4EA1"/>
    <w:p w14:paraId="0B88B762" w14:textId="77777777" w:rsidR="00DB7466" w:rsidRDefault="00DB7466" w:rsidP="00AD4EA1"/>
    <w:p w14:paraId="16EFDB28" w14:textId="77777777" w:rsidR="00DB7466" w:rsidRDefault="00DB7466" w:rsidP="00AD4EA1"/>
    <w:p w14:paraId="0AB75BFC" w14:textId="77777777" w:rsidR="00DB7466" w:rsidRDefault="00DB7466" w:rsidP="00AD4EA1"/>
    <w:p w14:paraId="37508CD8" w14:textId="77777777" w:rsidR="00DB7466" w:rsidRDefault="00DB7466" w:rsidP="00AD4EA1"/>
    <w:p w14:paraId="2837FA16" w14:textId="77777777" w:rsidR="00DB7466" w:rsidRDefault="00DB7466" w:rsidP="00AD4EA1"/>
    <w:p w14:paraId="0681D9A4" w14:textId="77777777" w:rsidR="00DB7466" w:rsidRDefault="00DB7466" w:rsidP="00AD4EA1"/>
    <w:p w14:paraId="3E870C2B" w14:textId="77777777" w:rsidR="00DB7466" w:rsidRDefault="00DB7466" w:rsidP="00AD4EA1"/>
    <w:p w14:paraId="5DEAB22C" w14:textId="77777777" w:rsidR="00DB7466" w:rsidRDefault="00DB7466" w:rsidP="00AD4EA1"/>
    <w:p w14:paraId="0FC2390C" w14:textId="77777777" w:rsidR="00DB7466" w:rsidRDefault="00DB7466" w:rsidP="00AD4EA1"/>
    <w:p w14:paraId="29134CE4" w14:textId="77777777" w:rsidR="00DB7466" w:rsidRDefault="00DB7466" w:rsidP="00AD4EA1"/>
    <w:p w14:paraId="64797DE6" w14:textId="77777777" w:rsidR="00DB7466" w:rsidRDefault="00DB7466" w:rsidP="00AD4EA1"/>
    <w:p w14:paraId="23DFCDCD" w14:textId="77777777" w:rsidR="00DB7466" w:rsidRDefault="00DB7466" w:rsidP="00AD4EA1"/>
    <w:p w14:paraId="5BE704DE" w14:textId="77777777" w:rsidR="00DB7466" w:rsidRDefault="00DB7466" w:rsidP="00AD4EA1"/>
    <w:p w14:paraId="48B298DB" w14:textId="77777777" w:rsidR="00DB7466" w:rsidRDefault="00DB7466" w:rsidP="00AD4EA1"/>
    <w:p w14:paraId="069EEC18" w14:textId="77777777" w:rsidR="00DB7466" w:rsidRDefault="00DB7466" w:rsidP="00AD4EA1"/>
    <w:p w14:paraId="19D402BA" w14:textId="77777777" w:rsidR="00DB7466" w:rsidRDefault="00DB7466" w:rsidP="00AD4EA1"/>
    <w:p w14:paraId="75796146" w14:textId="77777777" w:rsidR="00DB7466" w:rsidRDefault="00DB7466" w:rsidP="00AD4EA1"/>
    <w:p w14:paraId="4C95B41D" w14:textId="77777777" w:rsidR="00DB7466" w:rsidRDefault="00DB7466" w:rsidP="00AD4EA1"/>
    <w:p w14:paraId="262B95C7" w14:textId="77777777" w:rsidR="00DB7466" w:rsidRDefault="00DB7466" w:rsidP="00AD4EA1"/>
    <w:p w14:paraId="711DB394" w14:textId="77777777" w:rsidR="00DB7466" w:rsidRDefault="00DB7466" w:rsidP="00AD4EA1"/>
    <w:p w14:paraId="1B7F2F20" w14:textId="77777777" w:rsidR="00DB7466" w:rsidRDefault="00DB7466" w:rsidP="00AD4EA1"/>
    <w:p w14:paraId="793FA9ED" w14:textId="77777777" w:rsidR="00DB7466" w:rsidRDefault="00DB7466" w:rsidP="00AD4EA1"/>
    <w:p w14:paraId="1A66D7FF" w14:textId="77777777" w:rsidR="00DB7466" w:rsidRDefault="00DB7466" w:rsidP="00AD4EA1"/>
    <w:p w14:paraId="7678FE84" w14:textId="77777777" w:rsidR="00DB7466" w:rsidRDefault="00DB7466" w:rsidP="00AD4EA1"/>
    <w:p w14:paraId="1AC90697" w14:textId="77777777" w:rsidR="00DB7466" w:rsidRDefault="00DB7466" w:rsidP="00AD4EA1"/>
    <w:p w14:paraId="2D0E936B" w14:textId="77777777" w:rsidR="00DB7466" w:rsidRDefault="00DB7466" w:rsidP="00AD4EA1"/>
    <w:p w14:paraId="233A2B11" w14:textId="77777777" w:rsidR="00DB7466" w:rsidRDefault="00DB7466" w:rsidP="00AD4EA1"/>
    <w:p w14:paraId="0992F1B0" w14:textId="77777777" w:rsidR="00DB7466" w:rsidRDefault="00DB7466" w:rsidP="00AD4EA1"/>
    <w:p w14:paraId="654E9D7D" w14:textId="77777777" w:rsidR="00DB7466" w:rsidRDefault="00DB7466" w:rsidP="00AD4EA1"/>
    <w:p w14:paraId="13FCB93A" w14:textId="77777777" w:rsidR="00DB7466" w:rsidRDefault="00DB7466" w:rsidP="00AD4EA1"/>
    <w:p w14:paraId="615AA05D" w14:textId="77777777" w:rsidR="00DB7466" w:rsidRDefault="00DB7466" w:rsidP="00AD4EA1"/>
    <w:p w14:paraId="6CC6F5C3" w14:textId="77777777" w:rsidR="00DB7466" w:rsidRDefault="00DB7466" w:rsidP="00AD4EA1"/>
    <w:p w14:paraId="27CF1BD9" w14:textId="77777777" w:rsidR="00DB7466" w:rsidRDefault="00DB7466" w:rsidP="00AD4EA1"/>
    <w:p w14:paraId="4F6C1DC9" w14:textId="77777777" w:rsidR="00DB7466" w:rsidRDefault="00DB7466" w:rsidP="00AD4EA1"/>
    <w:p w14:paraId="01BF8C94" w14:textId="77777777" w:rsidR="00DB7466" w:rsidRDefault="00DB7466" w:rsidP="00AD4EA1"/>
    <w:p w14:paraId="2C80B41A" w14:textId="77777777" w:rsidR="00DB7466" w:rsidRDefault="00DB7466" w:rsidP="00AD4EA1"/>
    <w:p w14:paraId="608A14F9" w14:textId="77777777" w:rsidR="00DB7466" w:rsidRDefault="00DB7466" w:rsidP="00AD4EA1"/>
    <w:p w14:paraId="2C5388E6" w14:textId="77777777" w:rsidR="00DB7466" w:rsidRDefault="00DB7466" w:rsidP="00AD4EA1"/>
    <w:p w14:paraId="1BB79D60" w14:textId="77777777" w:rsidR="00DB7466" w:rsidRDefault="00DB7466" w:rsidP="00AD4EA1"/>
    <w:p w14:paraId="6E1D19BB" w14:textId="77777777" w:rsidR="00DB7466" w:rsidRDefault="00DB7466" w:rsidP="00AD4EA1"/>
    <w:p w14:paraId="6D70FB10" w14:textId="77777777" w:rsidR="00DB7466" w:rsidRDefault="00DB7466" w:rsidP="00AD4EA1"/>
    <w:p w14:paraId="225C96D1" w14:textId="77777777" w:rsidR="00DB7466" w:rsidRDefault="00DB7466" w:rsidP="00AD4EA1"/>
    <w:p w14:paraId="55128918" w14:textId="77777777" w:rsidR="00DB7466" w:rsidRDefault="00DB7466" w:rsidP="00AD4EA1"/>
    <w:p w14:paraId="43224E43" w14:textId="77777777" w:rsidR="00DB7466" w:rsidRDefault="00DB7466" w:rsidP="00AD4EA1"/>
    <w:p w14:paraId="16213370" w14:textId="77777777" w:rsidR="00DB7466" w:rsidRDefault="00DB7466" w:rsidP="00AD4EA1"/>
    <w:p w14:paraId="12BF1406" w14:textId="77777777" w:rsidR="00DB7466" w:rsidRDefault="00DB7466" w:rsidP="00AD4EA1"/>
    <w:p w14:paraId="476FF6D5" w14:textId="77777777" w:rsidR="00DB7466" w:rsidRDefault="00DB7466" w:rsidP="00AD4EA1"/>
    <w:p w14:paraId="2D5D1C40" w14:textId="77777777" w:rsidR="00DB7466" w:rsidRDefault="00DB7466" w:rsidP="00AD4EA1"/>
    <w:p w14:paraId="6811990A" w14:textId="77777777" w:rsidR="00DB7466" w:rsidRDefault="00DB7466" w:rsidP="00AD4EA1"/>
    <w:p w14:paraId="06291404" w14:textId="77777777" w:rsidR="00DB7466" w:rsidRDefault="00DB7466" w:rsidP="00AD4EA1"/>
    <w:p w14:paraId="70F188D5" w14:textId="77777777" w:rsidR="00DB7466" w:rsidRDefault="00DB7466" w:rsidP="00AD4EA1"/>
    <w:p w14:paraId="7D1B5A19" w14:textId="77777777" w:rsidR="00DB7466" w:rsidRDefault="00DB7466" w:rsidP="00AD4EA1"/>
    <w:p w14:paraId="1D5C61B4" w14:textId="77777777" w:rsidR="00DB7466" w:rsidRDefault="00DB7466" w:rsidP="00AD4EA1"/>
    <w:p w14:paraId="7C1CEA2A" w14:textId="77777777" w:rsidR="00DB7466" w:rsidRDefault="00DB7466" w:rsidP="00AD4EA1"/>
    <w:p w14:paraId="7C503ACD" w14:textId="77777777" w:rsidR="00DB7466" w:rsidRDefault="00DB7466" w:rsidP="00AD4EA1"/>
    <w:p w14:paraId="2CECB9E4" w14:textId="77777777" w:rsidR="00DB7466" w:rsidRDefault="00DB7466" w:rsidP="00AD4EA1"/>
    <w:p w14:paraId="10A43D91" w14:textId="77777777" w:rsidR="00DB7466" w:rsidRDefault="00DB7466" w:rsidP="00AD4EA1"/>
    <w:p w14:paraId="07DAA012" w14:textId="77777777" w:rsidR="00DB7466" w:rsidRDefault="00DB7466" w:rsidP="00AD4EA1"/>
    <w:p w14:paraId="693B9573" w14:textId="77777777" w:rsidR="00DB7466" w:rsidRDefault="00DB7466" w:rsidP="00AD4EA1"/>
    <w:p w14:paraId="2DE13E7C" w14:textId="77777777" w:rsidR="00DB7466" w:rsidRDefault="00DB7466" w:rsidP="00AD4EA1"/>
    <w:p w14:paraId="3526EF7E" w14:textId="77777777" w:rsidR="00DB7466" w:rsidRDefault="00DB7466" w:rsidP="00AD4EA1"/>
    <w:p w14:paraId="31BE8373" w14:textId="77777777" w:rsidR="00DB7466" w:rsidRDefault="00DB7466" w:rsidP="00AD4EA1"/>
    <w:p w14:paraId="74C5A1F9" w14:textId="77777777" w:rsidR="00DB7466" w:rsidRDefault="00DB7466" w:rsidP="00AD4EA1"/>
    <w:p w14:paraId="5CE3CD6F" w14:textId="77777777" w:rsidR="00DB7466" w:rsidRDefault="00DB7466" w:rsidP="00AD4EA1"/>
    <w:p w14:paraId="2A4CFE75" w14:textId="77777777" w:rsidR="00DB7466" w:rsidRDefault="00DB7466" w:rsidP="00AD4EA1"/>
    <w:p w14:paraId="66CA8DE4" w14:textId="77777777" w:rsidR="00DB7466" w:rsidRDefault="00DB7466" w:rsidP="00AD4EA1"/>
    <w:p w14:paraId="03B2574C" w14:textId="77777777" w:rsidR="00DB7466" w:rsidRDefault="00DB7466" w:rsidP="00AD4EA1"/>
    <w:p w14:paraId="6BCBAE90" w14:textId="77777777" w:rsidR="00DB7466" w:rsidRDefault="00DB7466" w:rsidP="00AD4EA1"/>
    <w:p w14:paraId="7FF4ADBD" w14:textId="77777777" w:rsidR="00DB7466" w:rsidRDefault="00DB7466" w:rsidP="00AD4EA1">
      <w:pPr>
        <w:pStyle w:val="ListParagraph"/>
        <w:numPr>
          <w:ilvl w:val="0"/>
          <w:numId w:val="9"/>
        </w:numPr>
      </w:pPr>
    </w:p>
    <w:p w14:paraId="68BA2D5C" w14:textId="77777777" w:rsidR="00DB7466" w:rsidRDefault="00DB7466" w:rsidP="00AD4EA1">
      <w:pPr>
        <w:pStyle w:val="ListParagraph"/>
        <w:numPr>
          <w:ilvl w:val="0"/>
          <w:numId w:val="9"/>
        </w:numPr>
      </w:pPr>
    </w:p>
    <w:p w14:paraId="496B0C72" w14:textId="77777777" w:rsidR="00DB7466" w:rsidRDefault="00DB7466" w:rsidP="00AD4EA1">
      <w:pPr>
        <w:pStyle w:val="ListParagraph"/>
        <w:numPr>
          <w:ilvl w:val="0"/>
          <w:numId w:val="9"/>
        </w:numPr>
      </w:pPr>
    </w:p>
    <w:p w14:paraId="2AC94C14" w14:textId="77777777" w:rsidR="00DB7466" w:rsidRDefault="00DB7466" w:rsidP="00AD4EA1">
      <w:pPr>
        <w:pStyle w:val="ListParagraph"/>
        <w:numPr>
          <w:ilvl w:val="0"/>
          <w:numId w:val="9"/>
        </w:numPr>
      </w:pPr>
    </w:p>
    <w:p w14:paraId="07786CDE" w14:textId="77777777" w:rsidR="00DB7466" w:rsidRDefault="00DB7466" w:rsidP="00AD4EA1">
      <w:pPr>
        <w:pStyle w:val="ListParagraph"/>
        <w:numPr>
          <w:ilvl w:val="0"/>
          <w:numId w:val="9"/>
        </w:numPr>
      </w:pPr>
    </w:p>
    <w:p w14:paraId="31F52CB5" w14:textId="77777777" w:rsidR="00DB7466" w:rsidRDefault="00DB7466" w:rsidP="00AD4EA1">
      <w:pPr>
        <w:pStyle w:val="ListParagraph"/>
        <w:numPr>
          <w:ilvl w:val="0"/>
          <w:numId w:val="9"/>
        </w:numPr>
      </w:pPr>
    </w:p>
    <w:p w14:paraId="25C0EE1A" w14:textId="77777777" w:rsidR="00DB7466" w:rsidRDefault="00DB7466" w:rsidP="00AD4EA1">
      <w:pPr>
        <w:pStyle w:val="ListParagraph"/>
        <w:numPr>
          <w:ilvl w:val="0"/>
          <w:numId w:val="9"/>
        </w:numPr>
      </w:pPr>
    </w:p>
    <w:p w14:paraId="757B26D2" w14:textId="77777777" w:rsidR="00DB7466" w:rsidRDefault="00DB7466" w:rsidP="00AD4EA1">
      <w:pPr>
        <w:pStyle w:val="ListParagraph"/>
        <w:numPr>
          <w:ilvl w:val="0"/>
          <w:numId w:val="9"/>
        </w:numPr>
      </w:pPr>
    </w:p>
    <w:p w14:paraId="108D3C28" w14:textId="77777777" w:rsidR="00DB7466" w:rsidRDefault="00DB7466" w:rsidP="00AD4EA1">
      <w:pPr>
        <w:pStyle w:val="ListParagraph"/>
        <w:numPr>
          <w:ilvl w:val="0"/>
          <w:numId w:val="9"/>
        </w:numPr>
      </w:pPr>
    </w:p>
    <w:p w14:paraId="1549735F" w14:textId="77777777" w:rsidR="00DB7466" w:rsidRDefault="00DB7466" w:rsidP="00AD4EA1">
      <w:pPr>
        <w:pStyle w:val="ListParagraph"/>
        <w:numPr>
          <w:ilvl w:val="0"/>
          <w:numId w:val="9"/>
        </w:numPr>
      </w:pPr>
    </w:p>
    <w:p w14:paraId="3DDBB6C3" w14:textId="77777777" w:rsidR="00DB7466" w:rsidRDefault="00DB7466" w:rsidP="00AD4EA1">
      <w:pPr>
        <w:pStyle w:val="ListParagraph"/>
        <w:numPr>
          <w:ilvl w:val="0"/>
          <w:numId w:val="9"/>
        </w:numPr>
      </w:pPr>
    </w:p>
    <w:p w14:paraId="30FF39F9" w14:textId="77777777" w:rsidR="00DB7466" w:rsidRDefault="00DB7466" w:rsidP="00AD4EA1"/>
    <w:p w14:paraId="4A5FC4D9" w14:textId="77777777" w:rsidR="00DB7466" w:rsidRDefault="00DB7466" w:rsidP="00AD4EA1"/>
    <w:p w14:paraId="570F85EF" w14:textId="77777777" w:rsidR="00DB7466" w:rsidRDefault="00DB7466" w:rsidP="00AD4EA1"/>
    <w:p w14:paraId="0991F825" w14:textId="77777777" w:rsidR="00DB7466" w:rsidRDefault="00DB7466" w:rsidP="00AD4EA1"/>
    <w:p w14:paraId="3FE96082" w14:textId="77777777" w:rsidR="00DB7466" w:rsidRDefault="00DB7466" w:rsidP="00AD4EA1"/>
    <w:p w14:paraId="7728367C" w14:textId="77777777" w:rsidR="00DB7466" w:rsidRDefault="00DB7466" w:rsidP="00AD4EA1"/>
    <w:p w14:paraId="5CBF3C64" w14:textId="77777777" w:rsidR="00DB7466" w:rsidRDefault="00DB7466" w:rsidP="00AD4EA1"/>
    <w:p w14:paraId="2F7CA038" w14:textId="77777777" w:rsidR="00DB7466" w:rsidRDefault="00DB7466" w:rsidP="00AD4EA1"/>
    <w:p w14:paraId="5B1B60A7" w14:textId="77777777" w:rsidR="00DB7466" w:rsidRDefault="00DB7466" w:rsidP="00AD4EA1"/>
    <w:p w14:paraId="4457DE7A" w14:textId="77777777" w:rsidR="00DB7466" w:rsidRDefault="00DB7466" w:rsidP="00AD4EA1">
      <w:pPr>
        <w:pStyle w:val="ListParagraph"/>
        <w:numPr>
          <w:ilvl w:val="0"/>
          <w:numId w:val="8"/>
        </w:numPr>
      </w:pPr>
    </w:p>
    <w:p w14:paraId="79FED92A" w14:textId="77777777" w:rsidR="00DB7466" w:rsidRDefault="00DB7466" w:rsidP="00AD4EA1">
      <w:pPr>
        <w:pStyle w:val="ListParagraph"/>
        <w:numPr>
          <w:ilvl w:val="0"/>
          <w:numId w:val="8"/>
        </w:numPr>
      </w:pPr>
    </w:p>
    <w:p w14:paraId="40DE2136" w14:textId="77777777" w:rsidR="00DB7466" w:rsidRDefault="00DB7466" w:rsidP="00AD4EA1">
      <w:pPr>
        <w:pStyle w:val="ListParagraph"/>
        <w:numPr>
          <w:ilvl w:val="0"/>
          <w:numId w:val="8"/>
        </w:numPr>
      </w:pPr>
    </w:p>
    <w:p w14:paraId="24ACDF53" w14:textId="77777777" w:rsidR="00DB7466" w:rsidRDefault="00DB7466" w:rsidP="00AD4EA1">
      <w:pPr>
        <w:pStyle w:val="ListParagraph"/>
        <w:numPr>
          <w:ilvl w:val="0"/>
          <w:numId w:val="8"/>
        </w:numPr>
      </w:pPr>
    </w:p>
    <w:p w14:paraId="17002A4D" w14:textId="77777777" w:rsidR="00DB7466" w:rsidRDefault="00DB7466" w:rsidP="00AD4EA1">
      <w:pPr>
        <w:pStyle w:val="ListParagraph"/>
        <w:numPr>
          <w:ilvl w:val="0"/>
          <w:numId w:val="8"/>
        </w:numPr>
      </w:pPr>
    </w:p>
    <w:p w14:paraId="7C6399D2" w14:textId="77777777" w:rsidR="00DB7466" w:rsidRDefault="00DB7466" w:rsidP="00AD4EA1">
      <w:pPr>
        <w:pStyle w:val="ListParagraph"/>
        <w:numPr>
          <w:ilvl w:val="0"/>
          <w:numId w:val="8"/>
        </w:numPr>
      </w:pPr>
    </w:p>
    <w:p w14:paraId="141102EE" w14:textId="77777777" w:rsidR="00DB7466" w:rsidRDefault="00DB7466" w:rsidP="00AD4EA1">
      <w:pPr>
        <w:pStyle w:val="ListParagraph"/>
        <w:numPr>
          <w:ilvl w:val="0"/>
          <w:numId w:val="8"/>
        </w:numPr>
      </w:pPr>
    </w:p>
    <w:p w14:paraId="6BAA1ED4" w14:textId="77777777" w:rsidR="00DB7466" w:rsidRDefault="00DB7466" w:rsidP="00AD4EA1">
      <w:pPr>
        <w:pStyle w:val="ListParagraph"/>
        <w:numPr>
          <w:ilvl w:val="0"/>
          <w:numId w:val="8"/>
        </w:numPr>
      </w:pPr>
    </w:p>
    <w:p w14:paraId="786D97F5" w14:textId="77777777" w:rsidR="00DB7466" w:rsidRDefault="00DB7466" w:rsidP="00AD4EA1">
      <w:pPr>
        <w:pStyle w:val="ListParagraph"/>
        <w:numPr>
          <w:ilvl w:val="0"/>
          <w:numId w:val="8"/>
        </w:numPr>
      </w:pPr>
    </w:p>
    <w:p w14:paraId="1F6B9668" w14:textId="77777777" w:rsidR="00DB7466" w:rsidRDefault="00DB7466" w:rsidP="00AD4EA1">
      <w:pPr>
        <w:pStyle w:val="ListParagraph"/>
        <w:numPr>
          <w:ilvl w:val="0"/>
          <w:numId w:val="8"/>
        </w:numPr>
      </w:pPr>
    </w:p>
    <w:p w14:paraId="7D75C5C1" w14:textId="77777777" w:rsidR="00DB7466" w:rsidRDefault="00DB7466" w:rsidP="00AD4EA1">
      <w:pPr>
        <w:pStyle w:val="ListParagraph"/>
        <w:numPr>
          <w:ilvl w:val="0"/>
          <w:numId w:val="8"/>
        </w:numPr>
      </w:pPr>
    </w:p>
    <w:p w14:paraId="2A30833D" w14:textId="77777777" w:rsidR="00DB7466" w:rsidRDefault="00DB7466" w:rsidP="00AD4EA1">
      <w:pPr>
        <w:pStyle w:val="ListParagraph"/>
        <w:numPr>
          <w:ilvl w:val="0"/>
          <w:numId w:val="8"/>
        </w:numPr>
      </w:pPr>
    </w:p>
    <w:p w14:paraId="22277408" w14:textId="77777777" w:rsidR="00DB7466" w:rsidRDefault="00DB7466" w:rsidP="00AD4EA1">
      <w:pPr>
        <w:pStyle w:val="ListParagraph"/>
        <w:numPr>
          <w:ilvl w:val="0"/>
          <w:numId w:val="8"/>
        </w:numPr>
      </w:pPr>
    </w:p>
    <w:p w14:paraId="5E9B2B93" w14:textId="77777777" w:rsidR="00DB7466" w:rsidRDefault="00DB7466" w:rsidP="00AD4EA1">
      <w:pPr>
        <w:pStyle w:val="ListParagraph"/>
        <w:numPr>
          <w:ilvl w:val="0"/>
          <w:numId w:val="8"/>
        </w:numPr>
      </w:pPr>
    </w:p>
    <w:p w14:paraId="01E389FC" w14:textId="77777777" w:rsidR="00DB7466" w:rsidRDefault="00DB7466" w:rsidP="00AD4EA1">
      <w:pPr>
        <w:pStyle w:val="ListParagraph"/>
        <w:numPr>
          <w:ilvl w:val="0"/>
          <w:numId w:val="8"/>
        </w:numPr>
      </w:pPr>
    </w:p>
    <w:p w14:paraId="11314B63" w14:textId="77777777" w:rsidR="00DB7466" w:rsidRDefault="00DB7466" w:rsidP="00AD4EA1">
      <w:pPr>
        <w:pStyle w:val="ListParagraph"/>
        <w:numPr>
          <w:ilvl w:val="0"/>
          <w:numId w:val="8"/>
        </w:numPr>
      </w:pPr>
    </w:p>
    <w:p w14:paraId="2B25C958" w14:textId="77777777" w:rsidR="00DB7466" w:rsidRDefault="00DB7466" w:rsidP="00AD4EA1">
      <w:pPr>
        <w:pStyle w:val="ListParagraph"/>
        <w:numPr>
          <w:ilvl w:val="0"/>
          <w:numId w:val="8"/>
        </w:numPr>
      </w:pPr>
    </w:p>
    <w:p w14:paraId="63A9FE2C" w14:textId="77777777" w:rsidR="00DB7466" w:rsidRDefault="00DB7466" w:rsidP="00AD4EA1">
      <w:pPr>
        <w:pStyle w:val="ListParagraph"/>
        <w:numPr>
          <w:ilvl w:val="0"/>
          <w:numId w:val="8"/>
        </w:numPr>
      </w:pPr>
    </w:p>
    <w:p w14:paraId="0B88C996" w14:textId="77777777" w:rsidR="00DB7466" w:rsidRDefault="00DB7466" w:rsidP="00AD4EA1">
      <w:pPr>
        <w:pStyle w:val="ListParagraph"/>
        <w:numPr>
          <w:ilvl w:val="0"/>
          <w:numId w:val="8"/>
        </w:numPr>
      </w:pPr>
    </w:p>
    <w:p w14:paraId="19AA2CAD" w14:textId="77777777" w:rsidR="00DB7466" w:rsidRDefault="00DB7466" w:rsidP="00AD4EA1">
      <w:pPr>
        <w:pStyle w:val="ListParagraph"/>
        <w:numPr>
          <w:ilvl w:val="0"/>
          <w:numId w:val="8"/>
        </w:numPr>
      </w:pPr>
    </w:p>
    <w:p w14:paraId="3080B0A1" w14:textId="77777777" w:rsidR="00DB7466" w:rsidRDefault="00DB7466" w:rsidP="00AD4EA1">
      <w:pPr>
        <w:pStyle w:val="ListParagraph"/>
        <w:numPr>
          <w:ilvl w:val="0"/>
          <w:numId w:val="8"/>
        </w:numPr>
      </w:pPr>
    </w:p>
    <w:p w14:paraId="5404EAC7" w14:textId="77777777" w:rsidR="00DB7466" w:rsidRDefault="00DB7466" w:rsidP="00AD4EA1">
      <w:pPr>
        <w:pStyle w:val="ListParagraph"/>
        <w:numPr>
          <w:ilvl w:val="0"/>
          <w:numId w:val="8"/>
        </w:numPr>
      </w:pPr>
    </w:p>
    <w:p w14:paraId="5BAFA969" w14:textId="77777777" w:rsidR="00DB7466" w:rsidRDefault="00DB7466" w:rsidP="00AD4EA1">
      <w:pPr>
        <w:pStyle w:val="ListParagraph"/>
        <w:numPr>
          <w:ilvl w:val="0"/>
          <w:numId w:val="8"/>
        </w:numPr>
      </w:pPr>
    </w:p>
    <w:p w14:paraId="7D03082B" w14:textId="77777777" w:rsidR="00DB7466" w:rsidRDefault="00DB7466" w:rsidP="00AD4EA1">
      <w:pPr>
        <w:pStyle w:val="ListParagraph"/>
        <w:numPr>
          <w:ilvl w:val="0"/>
          <w:numId w:val="8"/>
        </w:numPr>
      </w:pPr>
    </w:p>
    <w:p w14:paraId="785D5074" w14:textId="77777777" w:rsidR="00DB7466" w:rsidRDefault="00DB7466" w:rsidP="00AD4EA1"/>
    <w:p w14:paraId="2EE475A4" w14:textId="77777777" w:rsidR="00DB7466" w:rsidRDefault="00DB7466" w:rsidP="00AD4EA1"/>
    <w:p w14:paraId="0D81E607" w14:textId="77777777" w:rsidR="00DB7466" w:rsidRDefault="00DB7466" w:rsidP="00AD4EA1"/>
    <w:p w14:paraId="4B625F07" w14:textId="77777777" w:rsidR="00DB7466" w:rsidRDefault="00DB7466" w:rsidP="00AD4EA1">
      <w:pPr>
        <w:pStyle w:val="ListParagraph"/>
        <w:numPr>
          <w:ilvl w:val="0"/>
          <w:numId w:val="10"/>
        </w:numPr>
      </w:pPr>
    </w:p>
    <w:p w14:paraId="17E46A22" w14:textId="77777777" w:rsidR="00DB7466" w:rsidRDefault="00DB7466" w:rsidP="00AD4EA1">
      <w:pPr>
        <w:pStyle w:val="ListParagraph"/>
        <w:numPr>
          <w:ilvl w:val="0"/>
          <w:numId w:val="10"/>
        </w:numPr>
      </w:pPr>
    </w:p>
    <w:p w14:paraId="30C864FB" w14:textId="77777777" w:rsidR="00DB7466" w:rsidRDefault="00DB7466" w:rsidP="00AD4EA1">
      <w:pPr>
        <w:pStyle w:val="ListParagraph"/>
        <w:numPr>
          <w:ilvl w:val="0"/>
          <w:numId w:val="10"/>
        </w:numPr>
      </w:pPr>
    </w:p>
    <w:p w14:paraId="12D6C7BB" w14:textId="77777777" w:rsidR="00DB7466" w:rsidRDefault="00DB7466" w:rsidP="00AD4EA1">
      <w:pPr>
        <w:pStyle w:val="ListParagraph"/>
        <w:numPr>
          <w:ilvl w:val="0"/>
          <w:numId w:val="10"/>
        </w:numPr>
      </w:pPr>
    </w:p>
    <w:p w14:paraId="54B8FC8A" w14:textId="77777777" w:rsidR="00DB7466" w:rsidRDefault="00DB7466" w:rsidP="00AD4EA1">
      <w:pPr>
        <w:pStyle w:val="ListParagraph"/>
        <w:numPr>
          <w:ilvl w:val="0"/>
          <w:numId w:val="10"/>
        </w:numPr>
      </w:pPr>
    </w:p>
    <w:p w14:paraId="57BD2F65" w14:textId="77777777" w:rsidR="00DB7466" w:rsidRDefault="00DB7466" w:rsidP="00AD4EA1">
      <w:pPr>
        <w:pStyle w:val="ListParagraph"/>
        <w:numPr>
          <w:ilvl w:val="0"/>
          <w:numId w:val="10"/>
        </w:numPr>
      </w:pPr>
    </w:p>
    <w:p w14:paraId="0FD019CD" w14:textId="77777777" w:rsidR="00DB7466" w:rsidRDefault="00DB7466" w:rsidP="00AD4EA1">
      <w:pPr>
        <w:pStyle w:val="ListParagraph"/>
        <w:numPr>
          <w:ilvl w:val="0"/>
          <w:numId w:val="10"/>
        </w:numPr>
      </w:pPr>
    </w:p>
    <w:p w14:paraId="3D7A745C" w14:textId="77777777" w:rsidR="00DB7466" w:rsidRDefault="00DB7466" w:rsidP="00AD4EA1">
      <w:pPr>
        <w:pStyle w:val="ListParagraph"/>
        <w:numPr>
          <w:ilvl w:val="0"/>
          <w:numId w:val="10"/>
        </w:numPr>
      </w:pPr>
    </w:p>
    <w:p w14:paraId="1DCED1AE" w14:textId="77777777" w:rsidR="00DB7466" w:rsidRDefault="00DB7466" w:rsidP="00AD4EA1">
      <w:pPr>
        <w:pStyle w:val="ListParagraph"/>
        <w:numPr>
          <w:ilvl w:val="0"/>
          <w:numId w:val="10"/>
        </w:numPr>
      </w:pPr>
    </w:p>
    <w:p w14:paraId="224EB50A" w14:textId="77777777" w:rsidR="00DB7466" w:rsidRDefault="00DB7466" w:rsidP="00AD4EA1">
      <w:pPr>
        <w:pStyle w:val="ListParagraph"/>
        <w:numPr>
          <w:ilvl w:val="0"/>
          <w:numId w:val="10"/>
        </w:numPr>
      </w:pPr>
    </w:p>
    <w:p w14:paraId="4083F648" w14:textId="77777777" w:rsidR="00DB7466" w:rsidRDefault="00DB7466" w:rsidP="00AD4EA1">
      <w:pPr>
        <w:pStyle w:val="ListParagraph"/>
        <w:numPr>
          <w:ilvl w:val="0"/>
          <w:numId w:val="10"/>
        </w:numPr>
      </w:pPr>
    </w:p>
    <w:p w14:paraId="218C0418" w14:textId="77777777" w:rsidR="00DB7466" w:rsidRDefault="00DB7466" w:rsidP="00AD4EA1">
      <w:pPr>
        <w:pStyle w:val="ListParagraph"/>
        <w:numPr>
          <w:ilvl w:val="0"/>
          <w:numId w:val="10"/>
        </w:numPr>
      </w:pPr>
    </w:p>
    <w:p w14:paraId="1385E1B1" w14:textId="77777777" w:rsidR="00DB7466" w:rsidRDefault="00DB7466" w:rsidP="00AD4EA1">
      <w:pPr>
        <w:pStyle w:val="ListParagraph"/>
        <w:numPr>
          <w:ilvl w:val="0"/>
          <w:numId w:val="10"/>
        </w:numPr>
      </w:pPr>
    </w:p>
    <w:p w14:paraId="122FF608" w14:textId="77777777" w:rsidR="00DB7466" w:rsidRDefault="00DB7466" w:rsidP="00AD4EA1">
      <w:pPr>
        <w:pStyle w:val="ListParagraph"/>
        <w:numPr>
          <w:ilvl w:val="0"/>
          <w:numId w:val="10"/>
        </w:numPr>
      </w:pPr>
    </w:p>
    <w:p w14:paraId="54FE4342" w14:textId="77777777" w:rsidR="00DB7466" w:rsidRDefault="00DB7466" w:rsidP="00AD4EA1">
      <w:pPr>
        <w:pStyle w:val="ListParagraph"/>
        <w:numPr>
          <w:ilvl w:val="0"/>
          <w:numId w:val="10"/>
        </w:numPr>
      </w:pPr>
    </w:p>
    <w:p w14:paraId="39671737" w14:textId="77777777" w:rsidR="00DB7466" w:rsidRDefault="00DB7466" w:rsidP="00AD4EA1">
      <w:pPr>
        <w:pStyle w:val="ListParagraph"/>
        <w:numPr>
          <w:ilvl w:val="0"/>
          <w:numId w:val="10"/>
        </w:numPr>
      </w:pPr>
    </w:p>
    <w:p w14:paraId="42F26376" w14:textId="77777777" w:rsidR="00DB7466" w:rsidRDefault="00DB7466" w:rsidP="00AD4EA1">
      <w:pPr>
        <w:pStyle w:val="ListParagraph"/>
        <w:numPr>
          <w:ilvl w:val="0"/>
          <w:numId w:val="10"/>
        </w:numPr>
      </w:pPr>
    </w:p>
    <w:p w14:paraId="67DE6E78" w14:textId="77777777" w:rsidR="00DB7466" w:rsidRDefault="00DB7466" w:rsidP="00AD4EA1">
      <w:pPr>
        <w:pStyle w:val="ListParagraph"/>
        <w:numPr>
          <w:ilvl w:val="0"/>
          <w:numId w:val="10"/>
        </w:numPr>
      </w:pPr>
    </w:p>
    <w:p w14:paraId="5B40F22B" w14:textId="77777777" w:rsidR="00DB7466" w:rsidRDefault="00DB7466" w:rsidP="00AD4EA1">
      <w:pPr>
        <w:pStyle w:val="ListParagraph"/>
        <w:numPr>
          <w:ilvl w:val="0"/>
          <w:numId w:val="10"/>
        </w:numPr>
      </w:pPr>
    </w:p>
    <w:p w14:paraId="65975022" w14:textId="77777777" w:rsidR="00DB7466" w:rsidRDefault="00DB7466" w:rsidP="00AD4EA1">
      <w:pPr>
        <w:pStyle w:val="ListParagraph"/>
        <w:numPr>
          <w:ilvl w:val="0"/>
          <w:numId w:val="10"/>
        </w:numPr>
      </w:pPr>
    </w:p>
    <w:p w14:paraId="78EA137F" w14:textId="77777777" w:rsidR="00DB7466" w:rsidRDefault="00DB7466" w:rsidP="00AD4EA1">
      <w:pPr>
        <w:pStyle w:val="ListParagraph"/>
        <w:numPr>
          <w:ilvl w:val="0"/>
          <w:numId w:val="10"/>
        </w:numPr>
      </w:pPr>
    </w:p>
    <w:p w14:paraId="46FAE599" w14:textId="77777777" w:rsidR="00DB7466" w:rsidRDefault="00DB7466" w:rsidP="00AD4EA1">
      <w:pPr>
        <w:pStyle w:val="ListParagraph"/>
        <w:numPr>
          <w:ilvl w:val="0"/>
          <w:numId w:val="10"/>
        </w:numPr>
      </w:pPr>
    </w:p>
    <w:p w14:paraId="2246FF2B" w14:textId="77777777" w:rsidR="00DB7466" w:rsidRDefault="00DB7466" w:rsidP="00AD4EA1">
      <w:pPr>
        <w:pStyle w:val="ListParagraph"/>
        <w:numPr>
          <w:ilvl w:val="0"/>
          <w:numId w:val="10"/>
        </w:numPr>
      </w:pPr>
    </w:p>
    <w:p w14:paraId="18B7CD45" w14:textId="77777777" w:rsidR="00DB7466" w:rsidRDefault="00DB7466" w:rsidP="00AD4EA1">
      <w:pPr>
        <w:pStyle w:val="ListParagraph"/>
        <w:numPr>
          <w:ilvl w:val="0"/>
          <w:numId w:val="10"/>
        </w:numPr>
      </w:pPr>
    </w:p>
    <w:p w14:paraId="5E4A8FD4" w14:textId="77777777" w:rsidR="00DB7466" w:rsidRDefault="00DB7466" w:rsidP="00AD4EA1">
      <w:pPr>
        <w:pStyle w:val="ListParagraph"/>
        <w:numPr>
          <w:ilvl w:val="0"/>
          <w:numId w:val="10"/>
        </w:numPr>
      </w:pPr>
    </w:p>
    <w:p w14:paraId="6D7CA7F5" w14:textId="77777777" w:rsidR="00DB7466" w:rsidRDefault="00DB7466" w:rsidP="00AD4EA1">
      <w:pPr>
        <w:pStyle w:val="ListParagraph"/>
        <w:numPr>
          <w:ilvl w:val="0"/>
          <w:numId w:val="10"/>
        </w:numPr>
      </w:pPr>
    </w:p>
    <w:p w14:paraId="62444A14" w14:textId="77777777" w:rsidR="00DB7466" w:rsidRDefault="00DB7466" w:rsidP="00AD4EA1">
      <w:pPr>
        <w:pStyle w:val="ListParagraph"/>
        <w:numPr>
          <w:ilvl w:val="0"/>
          <w:numId w:val="10"/>
        </w:numPr>
      </w:pPr>
    </w:p>
    <w:p w14:paraId="70DAC6A4" w14:textId="77777777" w:rsidR="00DB7466" w:rsidRDefault="00DB7466" w:rsidP="00AD4EA1">
      <w:pPr>
        <w:pStyle w:val="ListParagraph"/>
        <w:numPr>
          <w:ilvl w:val="0"/>
          <w:numId w:val="10"/>
        </w:numPr>
      </w:pPr>
    </w:p>
    <w:p w14:paraId="14037891" w14:textId="77777777" w:rsidR="00DB7466" w:rsidRDefault="00DB7466" w:rsidP="00AD4EA1">
      <w:pPr>
        <w:pStyle w:val="ListParagraph"/>
        <w:numPr>
          <w:ilvl w:val="0"/>
          <w:numId w:val="10"/>
        </w:numPr>
      </w:pPr>
    </w:p>
    <w:p w14:paraId="6435173C" w14:textId="77777777" w:rsidR="00DB7466" w:rsidRDefault="00DB7466" w:rsidP="00AD4EA1">
      <w:pPr>
        <w:pStyle w:val="ListParagraph"/>
        <w:numPr>
          <w:ilvl w:val="0"/>
          <w:numId w:val="10"/>
        </w:numPr>
      </w:pPr>
    </w:p>
    <w:p w14:paraId="63C93A5A" w14:textId="77777777" w:rsidR="00DB7466" w:rsidRDefault="00DB7466" w:rsidP="00AD4EA1">
      <w:pPr>
        <w:pStyle w:val="ListParagraph"/>
        <w:numPr>
          <w:ilvl w:val="0"/>
          <w:numId w:val="10"/>
        </w:numPr>
      </w:pPr>
    </w:p>
    <w:p w14:paraId="39D07B91" w14:textId="77777777" w:rsidR="00DB7466" w:rsidRDefault="00DB7466" w:rsidP="00AD4EA1">
      <w:pPr>
        <w:pStyle w:val="ListParagraph"/>
        <w:numPr>
          <w:ilvl w:val="0"/>
          <w:numId w:val="10"/>
        </w:numPr>
      </w:pPr>
    </w:p>
    <w:p w14:paraId="0E214099" w14:textId="77777777" w:rsidR="00DB7466" w:rsidRDefault="00DB7466" w:rsidP="00AD4EA1">
      <w:pPr>
        <w:pStyle w:val="ListParagraph"/>
        <w:numPr>
          <w:ilvl w:val="0"/>
          <w:numId w:val="10"/>
        </w:numPr>
      </w:pPr>
    </w:p>
    <w:p w14:paraId="2CB7D5AC" w14:textId="77777777" w:rsidR="00DB7466" w:rsidRDefault="00DB7466" w:rsidP="00AD4EA1">
      <w:pPr>
        <w:pStyle w:val="ListParagraph"/>
        <w:numPr>
          <w:ilvl w:val="0"/>
          <w:numId w:val="10"/>
        </w:numPr>
      </w:pPr>
    </w:p>
    <w:p w14:paraId="238CE1C8" w14:textId="77777777" w:rsidR="00DB7466" w:rsidRDefault="00DB7466" w:rsidP="00AD4EA1">
      <w:pPr>
        <w:pStyle w:val="ListParagraph"/>
        <w:numPr>
          <w:ilvl w:val="0"/>
          <w:numId w:val="10"/>
        </w:numPr>
      </w:pPr>
    </w:p>
    <w:p w14:paraId="6EBE7545" w14:textId="77777777" w:rsidR="00DB7466" w:rsidRDefault="00DB7466" w:rsidP="00AD4EA1">
      <w:pPr>
        <w:pStyle w:val="ListParagraph"/>
        <w:numPr>
          <w:ilvl w:val="0"/>
          <w:numId w:val="10"/>
        </w:numPr>
      </w:pPr>
    </w:p>
    <w:p w14:paraId="1BA5BA13" w14:textId="77777777" w:rsidR="00DB7466" w:rsidRDefault="00DB7466" w:rsidP="00AD4EA1">
      <w:pPr>
        <w:pStyle w:val="ListParagraph"/>
        <w:numPr>
          <w:ilvl w:val="0"/>
          <w:numId w:val="10"/>
        </w:numPr>
      </w:pPr>
    </w:p>
    <w:p w14:paraId="3FE034DB" w14:textId="77777777" w:rsidR="00DB7466" w:rsidRDefault="00DB7466" w:rsidP="00AD4EA1">
      <w:pPr>
        <w:pStyle w:val="ListParagraph"/>
        <w:numPr>
          <w:ilvl w:val="0"/>
          <w:numId w:val="10"/>
        </w:numPr>
      </w:pPr>
    </w:p>
    <w:p w14:paraId="17589A1D" w14:textId="77777777" w:rsidR="00DB7466" w:rsidRDefault="00DB7466" w:rsidP="00AD4EA1">
      <w:pPr>
        <w:pStyle w:val="ListParagraph"/>
        <w:numPr>
          <w:ilvl w:val="0"/>
          <w:numId w:val="10"/>
        </w:numPr>
      </w:pPr>
    </w:p>
    <w:p w14:paraId="3D1D1B3C" w14:textId="77777777" w:rsidR="00DB7466" w:rsidRDefault="00DB7466" w:rsidP="00AD4EA1">
      <w:pPr>
        <w:pStyle w:val="ListParagraph"/>
        <w:numPr>
          <w:ilvl w:val="0"/>
          <w:numId w:val="10"/>
        </w:numPr>
      </w:pPr>
    </w:p>
    <w:p w14:paraId="20AA9854" w14:textId="77777777" w:rsidR="00DB7466" w:rsidRDefault="00DB7466" w:rsidP="00AD4EA1">
      <w:pPr>
        <w:pStyle w:val="ListParagraph"/>
        <w:numPr>
          <w:ilvl w:val="0"/>
          <w:numId w:val="10"/>
        </w:numPr>
      </w:pPr>
    </w:p>
    <w:p w14:paraId="4BA28596" w14:textId="77777777" w:rsidR="00DB7466" w:rsidRDefault="00DB7466" w:rsidP="00AD4EA1">
      <w:pPr>
        <w:pStyle w:val="ListParagraph"/>
        <w:numPr>
          <w:ilvl w:val="0"/>
          <w:numId w:val="10"/>
        </w:numPr>
      </w:pPr>
    </w:p>
    <w:p w14:paraId="34EBB8BD" w14:textId="77777777" w:rsidR="00DB7466" w:rsidRDefault="00DB7466" w:rsidP="00AD4EA1">
      <w:pPr>
        <w:pStyle w:val="ListParagraph"/>
        <w:numPr>
          <w:ilvl w:val="0"/>
          <w:numId w:val="10"/>
        </w:numPr>
      </w:pPr>
    </w:p>
    <w:p w14:paraId="521AFE0E" w14:textId="77777777" w:rsidR="00DB7466" w:rsidRDefault="00DB7466" w:rsidP="00AD4EA1">
      <w:pPr>
        <w:pStyle w:val="ListParagraph"/>
        <w:numPr>
          <w:ilvl w:val="0"/>
          <w:numId w:val="10"/>
        </w:numPr>
      </w:pPr>
    </w:p>
    <w:p w14:paraId="70913F4B" w14:textId="77777777" w:rsidR="00DB7466" w:rsidRDefault="00DB7466" w:rsidP="00AD4EA1">
      <w:pPr>
        <w:pStyle w:val="ListParagraph"/>
        <w:numPr>
          <w:ilvl w:val="0"/>
          <w:numId w:val="10"/>
        </w:numPr>
      </w:pPr>
    </w:p>
    <w:p w14:paraId="0F3602C8" w14:textId="77777777" w:rsidR="00DB7466" w:rsidRDefault="00DB7466" w:rsidP="00AD4EA1">
      <w:pPr>
        <w:pStyle w:val="ListParagraph"/>
        <w:numPr>
          <w:ilvl w:val="0"/>
          <w:numId w:val="10"/>
        </w:numPr>
      </w:pPr>
    </w:p>
    <w:p w14:paraId="261560BD" w14:textId="77777777" w:rsidR="00DB7466" w:rsidRDefault="00DB7466" w:rsidP="00AD4EA1">
      <w:pPr>
        <w:pStyle w:val="ListParagraph"/>
        <w:numPr>
          <w:ilvl w:val="0"/>
          <w:numId w:val="10"/>
        </w:numPr>
      </w:pPr>
    </w:p>
    <w:p w14:paraId="1D2D0156" w14:textId="77777777" w:rsidR="00DB7466" w:rsidRDefault="00DB7466" w:rsidP="00AD4EA1"/>
    <w:p w14:paraId="62990F71" w14:textId="77777777" w:rsidR="00DB7466" w:rsidRDefault="00DB7466" w:rsidP="00AD4EA1"/>
    <w:p w14:paraId="24F23BAB" w14:textId="77777777" w:rsidR="00DB7466" w:rsidRDefault="00DB7466" w:rsidP="00AD4EA1"/>
    <w:p w14:paraId="7BE7CBE2" w14:textId="77777777" w:rsidR="00DB7466" w:rsidRDefault="00DB7466" w:rsidP="00AD4EA1"/>
    <w:p w14:paraId="0685A939" w14:textId="77777777" w:rsidR="00DB7466" w:rsidRDefault="00DB7466" w:rsidP="00AD4EA1"/>
    <w:p w14:paraId="50B99698" w14:textId="77777777" w:rsidR="00DB7466" w:rsidRDefault="00DB7466" w:rsidP="00AD4EA1"/>
    <w:p w14:paraId="7AD32978" w14:textId="77777777" w:rsidR="00DB7466" w:rsidRDefault="00DB7466" w:rsidP="00AD4EA1"/>
    <w:p w14:paraId="11EAE226" w14:textId="77777777" w:rsidR="00DB7466" w:rsidRDefault="00DB7466" w:rsidP="00AD4EA1"/>
    <w:p w14:paraId="7AF28186" w14:textId="77777777" w:rsidR="00DB7466" w:rsidRDefault="00DB7466" w:rsidP="00AD4EA1"/>
    <w:p w14:paraId="445FFAF3" w14:textId="77777777" w:rsidR="00DB7466" w:rsidRDefault="00DB7466" w:rsidP="00AD4EA1"/>
    <w:p w14:paraId="312B0D20" w14:textId="77777777" w:rsidR="00DB7466" w:rsidRDefault="00DB7466" w:rsidP="00AD4EA1"/>
    <w:p w14:paraId="5BA35E17" w14:textId="77777777" w:rsidR="00DB7466" w:rsidRDefault="00DB7466" w:rsidP="00AD4EA1"/>
    <w:p w14:paraId="255D6D8D" w14:textId="77777777" w:rsidR="00DB7466" w:rsidRDefault="00DB7466" w:rsidP="00AD4EA1"/>
    <w:p w14:paraId="0C4081DC" w14:textId="77777777" w:rsidR="00DB7466" w:rsidRDefault="00DB7466" w:rsidP="00AD4EA1"/>
    <w:p w14:paraId="21C27AEA" w14:textId="77777777" w:rsidR="00DB7466" w:rsidRDefault="00DB7466" w:rsidP="00AD4EA1"/>
    <w:p w14:paraId="3CF21A01" w14:textId="77777777" w:rsidR="00DB7466" w:rsidRDefault="00DB7466" w:rsidP="00AD4EA1"/>
    <w:p w14:paraId="2EDC7EA4" w14:textId="77777777" w:rsidR="00DB7466" w:rsidRDefault="00DB7466" w:rsidP="00AD4EA1"/>
    <w:p w14:paraId="5BF33118" w14:textId="77777777" w:rsidR="00DB7466" w:rsidRDefault="00DB7466" w:rsidP="00AD4EA1"/>
    <w:p w14:paraId="1BAF458E" w14:textId="77777777" w:rsidR="00DB7466" w:rsidRDefault="00DB7466" w:rsidP="00AD4EA1"/>
    <w:p w14:paraId="2E0C1847" w14:textId="77777777" w:rsidR="00DB7466" w:rsidRDefault="00DB7466" w:rsidP="00AD4EA1"/>
    <w:p w14:paraId="210C1E68" w14:textId="77777777" w:rsidR="00DB7466" w:rsidRDefault="00DB7466" w:rsidP="00AD4EA1"/>
    <w:p w14:paraId="68F7419D" w14:textId="77777777" w:rsidR="00DB7466" w:rsidRDefault="00DB7466" w:rsidP="00AD4EA1"/>
    <w:p w14:paraId="709D08F6" w14:textId="77777777" w:rsidR="00DB7466" w:rsidRDefault="00DB7466" w:rsidP="00AD4EA1"/>
    <w:p w14:paraId="536DB8E8" w14:textId="77777777" w:rsidR="00DB7466" w:rsidRDefault="00DB7466" w:rsidP="00AD4EA1"/>
    <w:p w14:paraId="335B79B8" w14:textId="77777777" w:rsidR="00DB7466" w:rsidRDefault="00DB7466" w:rsidP="00AD4EA1"/>
    <w:p w14:paraId="57594EBA" w14:textId="77777777" w:rsidR="00DB7466" w:rsidRDefault="00DB7466" w:rsidP="00AD4EA1"/>
    <w:p w14:paraId="182E08F8" w14:textId="77777777" w:rsidR="00DB7466" w:rsidRDefault="00DB7466" w:rsidP="00AD4EA1"/>
    <w:p w14:paraId="391ACBF0" w14:textId="77777777" w:rsidR="00DB7466" w:rsidRDefault="00DB7466" w:rsidP="00AD4EA1"/>
    <w:p w14:paraId="540E98B8" w14:textId="77777777" w:rsidR="00DB7466" w:rsidRDefault="00DB7466" w:rsidP="00AD4EA1"/>
    <w:p w14:paraId="4F059F36" w14:textId="77777777" w:rsidR="00DB7466" w:rsidRDefault="00DB7466" w:rsidP="00AD4EA1"/>
    <w:p w14:paraId="25B9C8B0" w14:textId="77777777" w:rsidR="00DB7466" w:rsidRDefault="00DB7466" w:rsidP="00AD4EA1"/>
    <w:p w14:paraId="6354DB42" w14:textId="77777777" w:rsidR="00DB7466" w:rsidRDefault="00DB7466" w:rsidP="00AD4EA1"/>
    <w:p w14:paraId="496C4C37" w14:textId="77777777" w:rsidR="00DB7466" w:rsidRDefault="00DB7466" w:rsidP="00AD4EA1"/>
    <w:p w14:paraId="5AB4C0A2" w14:textId="77777777" w:rsidR="00DB7466" w:rsidRDefault="00DB7466" w:rsidP="00AD4EA1"/>
    <w:p w14:paraId="634EDAD8" w14:textId="77777777" w:rsidR="00DB7466" w:rsidRDefault="00DB7466" w:rsidP="00AD4EA1"/>
    <w:p w14:paraId="632E820F" w14:textId="77777777" w:rsidR="00DB7466" w:rsidRDefault="00DB7466" w:rsidP="00AD4EA1"/>
    <w:p w14:paraId="0A406161" w14:textId="77777777" w:rsidR="00DB7466" w:rsidRDefault="00DB7466" w:rsidP="00AD4EA1"/>
    <w:p w14:paraId="62E4773D" w14:textId="77777777" w:rsidR="00DB7466" w:rsidRDefault="00DB7466" w:rsidP="00AD4EA1"/>
    <w:p w14:paraId="71BF576B" w14:textId="77777777" w:rsidR="00DB7466" w:rsidRDefault="00DB7466" w:rsidP="00AD4EA1"/>
    <w:p w14:paraId="5489922A" w14:textId="77777777" w:rsidR="00DB7466" w:rsidRDefault="00DB7466" w:rsidP="00AD4EA1"/>
    <w:p w14:paraId="3CB93D7C" w14:textId="77777777" w:rsidR="00DB7466" w:rsidRDefault="00DB7466" w:rsidP="00AD4EA1"/>
    <w:p w14:paraId="29788AED" w14:textId="77777777" w:rsidR="00DB7466" w:rsidRDefault="00DB7466" w:rsidP="00AD4EA1"/>
    <w:p w14:paraId="10766783" w14:textId="77777777" w:rsidR="00DB7466" w:rsidRDefault="00DB7466" w:rsidP="00AD4EA1"/>
    <w:p w14:paraId="296DD605" w14:textId="77777777" w:rsidR="00DB7466" w:rsidRDefault="00DB7466" w:rsidP="00AD4EA1"/>
    <w:p w14:paraId="75B857F4" w14:textId="77777777" w:rsidR="00DB7466" w:rsidRDefault="00DB7466" w:rsidP="00AD4EA1"/>
    <w:p w14:paraId="3C131930" w14:textId="77777777" w:rsidR="00DB7466" w:rsidRDefault="00DB7466" w:rsidP="00AD4EA1"/>
    <w:p w14:paraId="43BA0F7E" w14:textId="77777777" w:rsidR="00DB7466" w:rsidRDefault="00DB7466" w:rsidP="00AD4EA1"/>
    <w:p w14:paraId="53F1326F" w14:textId="77777777" w:rsidR="00DB7466" w:rsidRDefault="00DB7466" w:rsidP="00AD4EA1"/>
    <w:p w14:paraId="6728A81C" w14:textId="77777777" w:rsidR="00DB7466" w:rsidRDefault="00DB7466" w:rsidP="00AD4EA1"/>
    <w:p w14:paraId="1DC62792" w14:textId="77777777" w:rsidR="00DB7466" w:rsidRDefault="00DB7466" w:rsidP="00AD4EA1"/>
    <w:p w14:paraId="55E8C702" w14:textId="77777777" w:rsidR="00DB7466" w:rsidRDefault="00DB7466" w:rsidP="00AD4EA1"/>
    <w:p w14:paraId="5E276FB1" w14:textId="77777777" w:rsidR="00DB7466" w:rsidRDefault="00DB7466" w:rsidP="00AD4EA1"/>
    <w:p w14:paraId="29F4BC95" w14:textId="77777777" w:rsidR="00DB7466" w:rsidRDefault="00DB7466" w:rsidP="00AD4EA1"/>
    <w:p w14:paraId="2CF36D75" w14:textId="77777777" w:rsidR="00DB7466" w:rsidRDefault="00DB7466" w:rsidP="00AD4EA1"/>
    <w:p w14:paraId="11BAE65E" w14:textId="77777777" w:rsidR="00DB7466" w:rsidRDefault="00DB7466" w:rsidP="00AD4EA1"/>
    <w:p w14:paraId="4A2454DA" w14:textId="77777777" w:rsidR="00DB7466" w:rsidRDefault="00DB7466" w:rsidP="00AD4EA1"/>
    <w:p w14:paraId="6ED80B94" w14:textId="77777777" w:rsidR="00DB7466" w:rsidRDefault="00DB7466" w:rsidP="00AD4EA1"/>
    <w:p w14:paraId="71412B8B" w14:textId="77777777" w:rsidR="00DB7466" w:rsidRDefault="00DB7466" w:rsidP="00AD4EA1"/>
    <w:p w14:paraId="6C305A38" w14:textId="77777777" w:rsidR="00DB7466" w:rsidRDefault="00DB7466" w:rsidP="00AD4EA1"/>
    <w:p w14:paraId="160217BF" w14:textId="77777777" w:rsidR="00DB7466" w:rsidRDefault="00DB7466" w:rsidP="00AD4EA1"/>
    <w:p w14:paraId="6955C889" w14:textId="77777777" w:rsidR="00DB7466" w:rsidRDefault="00DB7466" w:rsidP="00AD4EA1"/>
    <w:p w14:paraId="1AFB1AEB" w14:textId="77777777" w:rsidR="00DB7466" w:rsidRDefault="00DB7466" w:rsidP="00AD4EA1"/>
    <w:p w14:paraId="2E447979" w14:textId="77777777" w:rsidR="00DB7466" w:rsidRDefault="00DB7466" w:rsidP="00AD4EA1"/>
    <w:p w14:paraId="13F4D11B" w14:textId="77777777" w:rsidR="00DB7466" w:rsidRDefault="00DB7466" w:rsidP="00AD4EA1"/>
    <w:p w14:paraId="3206AA7D" w14:textId="77777777" w:rsidR="00DB7466" w:rsidRDefault="00DB7466" w:rsidP="00AD4EA1"/>
    <w:p w14:paraId="44C7414C" w14:textId="77777777" w:rsidR="00DB7466" w:rsidRDefault="00DB7466" w:rsidP="00AD4EA1"/>
    <w:p w14:paraId="2B20C9D1" w14:textId="77777777" w:rsidR="00DB7466" w:rsidRDefault="00DB7466" w:rsidP="00AD4EA1"/>
    <w:p w14:paraId="23EB1C29" w14:textId="77777777" w:rsidR="00DB7466" w:rsidRDefault="00DB7466" w:rsidP="00AD4EA1"/>
    <w:p w14:paraId="0DA42471" w14:textId="77777777" w:rsidR="00DB7466" w:rsidRDefault="00DB7466" w:rsidP="00AD4EA1"/>
    <w:p w14:paraId="6D16CAD4" w14:textId="77777777" w:rsidR="00DB7466" w:rsidRDefault="00DB7466" w:rsidP="00AD4EA1"/>
    <w:p w14:paraId="1E7027AB" w14:textId="77777777" w:rsidR="00DB7466" w:rsidRDefault="00DB7466" w:rsidP="00AD4EA1"/>
    <w:p w14:paraId="4FAEA050" w14:textId="77777777" w:rsidR="00DB7466" w:rsidRDefault="00DB7466" w:rsidP="00AD4EA1"/>
    <w:p w14:paraId="79490B0E" w14:textId="77777777" w:rsidR="00DB7466" w:rsidRDefault="00DB7466" w:rsidP="00AD4EA1"/>
    <w:p w14:paraId="023A0ACE" w14:textId="77777777" w:rsidR="00DB7466" w:rsidRDefault="00DB7466" w:rsidP="00AD4EA1"/>
    <w:p w14:paraId="07BD37E9" w14:textId="77777777" w:rsidR="00DB7466" w:rsidRDefault="00DB7466" w:rsidP="00AD4EA1"/>
    <w:p w14:paraId="0116AC89" w14:textId="77777777" w:rsidR="00DB7466" w:rsidRDefault="00DB7466" w:rsidP="00AD4EA1"/>
    <w:p w14:paraId="5DE5A16E" w14:textId="77777777" w:rsidR="00DB7466" w:rsidRDefault="00DB7466" w:rsidP="00AD4EA1"/>
    <w:p w14:paraId="4D6EE736" w14:textId="77777777" w:rsidR="00DB7466" w:rsidRDefault="00DB7466" w:rsidP="00AD4EA1"/>
    <w:p w14:paraId="32A8D065" w14:textId="77777777" w:rsidR="00DB7466" w:rsidRDefault="00DB7466" w:rsidP="00AD4EA1"/>
    <w:p w14:paraId="114F7B00" w14:textId="77777777" w:rsidR="00DB7466" w:rsidRDefault="00DB7466" w:rsidP="00AD4EA1"/>
    <w:p w14:paraId="312E6D57" w14:textId="77777777" w:rsidR="00DB7466" w:rsidRDefault="00DB7466" w:rsidP="00AD4EA1"/>
    <w:p w14:paraId="5D25813D" w14:textId="77777777" w:rsidR="00DB7466" w:rsidRDefault="00DB7466" w:rsidP="00AD4EA1"/>
    <w:p w14:paraId="02DBEAD0" w14:textId="77777777" w:rsidR="00DB7466" w:rsidRDefault="00DB7466" w:rsidP="00AD4EA1"/>
    <w:p w14:paraId="49CBE562" w14:textId="77777777" w:rsidR="00DB7466" w:rsidRDefault="00DB7466" w:rsidP="00AD4EA1"/>
    <w:p w14:paraId="2E2BC6CF" w14:textId="77777777" w:rsidR="00DB7466" w:rsidRDefault="00DB7466" w:rsidP="00AD4EA1"/>
    <w:p w14:paraId="6076B463" w14:textId="77777777" w:rsidR="00DB7466" w:rsidRDefault="00DB7466" w:rsidP="00AD4EA1"/>
    <w:p w14:paraId="44F314DA" w14:textId="77777777" w:rsidR="00DB7466" w:rsidRDefault="00DB7466" w:rsidP="00AD4EA1"/>
    <w:p w14:paraId="3C73D5B3" w14:textId="77777777" w:rsidR="00DB7466" w:rsidRDefault="00DB7466" w:rsidP="00AD4EA1"/>
    <w:p w14:paraId="42D9FA16" w14:textId="77777777" w:rsidR="00DB7466" w:rsidRDefault="00DB7466" w:rsidP="00AD4EA1">
      <w:pPr>
        <w:pStyle w:val="ListParagraph"/>
        <w:numPr>
          <w:ilvl w:val="0"/>
          <w:numId w:val="11"/>
        </w:numPr>
      </w:pPr>
    </w:p>
    <w:p w14:paraId="3F5BF176" w14:textId="77777777" w:rsidR="00DB7466" w:rsidRDefault="00DB7466" w:rsidP="00AD4EA1">
      <w:pPr>
        <w:pStyle w:val="ListParagraph"/>
        <w:numPr>
          <w:ilvl w:val="0"/>
          <w:numId w:val="11"/>
        </w:numPr>
      </w:pPr>
    </w:p>
    <w:p w14:paraId="454B230B" w14:textId="77777777" w:rsidR="00DB7466" w:rsidRDefault="00DB7466" w:rsidP="00AD4EA1">
      <w:pPr>
        <w:pStyle w:val="ListParagraph"/>
        <w:numPr>
          <w:ilvl w:val="0"/>
          <w:numId w:val="11"/>
        </w:numPr>
      </w:pPr>
    </w:p>
    <w:p w14:paraId="6E8C3B67" w14:textId="77777777" w:rsidR="00DB7466" w:rsidRDefault="00DB7466" w:rsidP="00AD4EA1">
      <w:pPr>
        <w:pStyle w:val="ListParagraph"/>
        <w:numPr>
          <w:ilvl w:val="0"/>
          <w:numId w:val="11"/>
        </w:numPr>
      </w:pPr>
    </w:p>
    <w:p w14:paraId="14CFD987" w14:textId="77777777" w:rsidR="00DB7466" w:rsidRDefault="00DB7466" w:rsidP="00AD4EA1">
      <w:pPr>
        <w:pStyle w:val="ListParagraph"/>
        <w:numPr>
          <w:ilvl w:val="0"/>
          <w:numId w:val="11"/>
        </w:numPr>
      </w:pPr>
    </w:p>
    <w:p w14:paraId="04D8D44E" w14:textId="77777777" w:rsidR="00DB7466" w:rsidRDefault="00DB7466" w:rsidP="00AD4EA1">
      <w:pPr>
        <w:pStyle w:val="ListParagraph"/>
        <w:numPr>
          <w:ilvl w:val="0"/>
          <w:numId w:val="11"/>
        </w:numPr>
      </w:pPr>
    </w:p>
    <w:p w14:paraId="0D557A06" w14:textId="77777777" w:rsidR="00DB7466" w:rsidRDefault="00DB7466" w:rsidP="00AD4EA1">
      <w:pPr>
        <w:pStyle w:val="ListParagraph"/>
        <w:numPr>
          <w:ilvl w:val="0"/>
          <w:numId w:val="11"/>
        </w:numPr>
      </w:pPr>
    </w:p>
    <w:p w14:paraId="2336E8CF" w14:textId="77777777" w:rsidR="00DB7466" w:rsidRDefault="00DB7466" w:rsidP="00AD4EA1">
      <w:pPr>
        <w:pStyle w:val="ListParagraph"/>
        <w:numPr>
          <w:ilvl w:val="0"/>
          <w:numId w:val="11"/>
        </w:numPr>
      </w:pPr>
    </w:p>
    <w:p w14:paraId="0C8E229F" w14:textId="77777777" w:rsidR="00DB7466" w:rsidRDefault="00DB7466" w:rsidP="00AD4EA1">
      <w:pPr>
        <w:pStyle w:val="ListParagraph"/>
        <w:numPr>
          <w:ilvl w:val="0"/>
          <w:numId w:val="11"/>
        </w:numPr>
      </w:pPr>
    </w:p>
    <w:p w14:paraId="43D2E3EF" w14:textId="77777777" w:rsidR="00DB7466" w:rsidRDefault="00DB7466" w:rsidP="00AD4EA1">
      <w:pPr>
        <w:pStyle w:val="ListParagraph"/>
        <w:numPr>
          <w:ilvl w:val="0"/>
          <w:numId w:val="11"/>
        </w:numPr>
      </w:pPr>
    </w:p>
    <w:p w14:paraId="0C7F2E2E" w14:textId="77777777" w:rsidR="00DB7466" w:rsidRDefault="00DB7466" w:rsidP="00AD4EA1">
      <w:pPr>
        <w:pStyle w:val="ListParagraph"/>
        <w:numPr>
          <w:ilvl w:val="0"/>
          <w:numId w:val="11"/>
        </w:numPr>
      </w:pPr>
    </w:p>
    <w:p w14:paraId="061B52D6" w14:textId="77777777" w:rsidR="00DB7466" w:rsidRDefault="00DB7466" w:rsidP="00AD4EA1">
      <w:pPr>
        <w:pStyle w:val="ListParagraph"/>
        <w:numPr>
          <w:ilvl w:val="0"/>
          <w:numId w:val="11"/>
        </w:numPr>
      </w:pPr>
    </w:p>
    <w:p w14:paraId="61459117" w14:textId="77777777" w:rsidR="00DB7466" w:rsidRDefault="00DB7466" w:rsidP="00AD4EA1">
      <w:pPr>
        <w:pStyle w:val="ListParagraph"/>
        <w:numPr>
          <w:ilvl w:val="0"/>
          <w:numId w:val="11"/>
        </w:numPr>
      </w:pPr>
    </w:p>
    <w:p w14:paraId="44DC05C8" w14:textId="77777777" w:rsidR="00DB7466" w:rsidRDefault="00DB7466" w:rsidP="00AD4EA1">
      <w:pPr>
        <w:pStyle w:val="ListParagraph"/>
        <w:numPr>
          <w:ilvl w:val="0"/>
          <w:numId w:val="11"/>
        </w:numPr>
      </w:pPr>
    </w:p>
    <w:p w14:paraId="47D6AF1C" w14:textId="77777777" w:rsidR="00DB7466" w:rsidRDefault="00DB7466" w:rsidP="00AD4EA1">
      <w:pPr>
        <w:pStyle w:val="ListParagraph"/>
        <w:numPr>
          <w:ilvl w:val="0"/>
          <w:numId w:val="11"/>
        </w:numPr>
      </w:pPr>
    </w:p>
    <w:p w14:paraId="12089CC4" w14:textId="77777777" w:rsidR="00DB7466" w:rsidRDefault="00DB7466" w:rsidP="00AD4EA1">
      <w:pPr>
        <w:pStyle w:val="ListParagraph"/>
        <w:numPr>
          <w:ilvl w:val="0"/>
          <w:numId w:val="11"/>
        </w:numPr>
      </w:pPr>
    </w:p>
    <w:p w14:paraId="6F72CBA4" w14:textId="77777777" w:rsidR="00DB7466" w:rsidRDefault="00DB7466" w:rsidP="00AD4EA1">
      <w:pPr>
        <w:pStyle w:val="ListParagraph"/>
        <w:numPr>
          <w:ilvl w:val="0"/>
          <w:numId w:val="11"/>
        </w:numPr>
      </w:pPr>
    </w:p>
    <w:p w14:paraId="21FB3483" w14:textId="77777777" w:rsidR="00DB7466" w:rsidRDefault="00DB7466" w:rsidP="00AD4EA1"/>
    <w:p w14:paraId="3D1A48A7" w14:textId="77777777" w:rsidR="00DB7466" w:rsidRDefault="00DB7466" w:rsidP="00AD4EA1"/>
    <w:p w14:paraId="3461F7F3" w14:textId="77777777" w:rsidR="00DB7466" w:rsidRDefault="00DB7466" w:rsidP="00AD4EA1"/>
    <w:p w14:paraId="2D71F17B" w14:textId="77777777" w:rsidR="00DB7466" w:rsidRDefault="00DB7466" w:rsidP="00AD4EA1"/>
    <w:p w14:paraId="0749CB1D" w14:textId="77777777" w:rsidR="00DB7466" w:rsidRDefault="00DB7466" w:rsidP="00AD4EA1"/>
    <w:p w14:paraId="3501B954" w14:textId="77777777" w:rsidR="00DB7466" w:rsidRDefault="00DB7466" w:rsidP="00AD4EA1"/>
    <w:p w14:paraId="1E2FA249" w14:textId="77777777" w:rsidR="00DB7466" w:rsidRDefault="00DB7466" w:rsidP="00AD4EA1"/>
    <w:p w14:paraId="24718B09" w14:textId="77777777" w:rsidR="00DB7466" w:rsidRDefault="00DB7466" w:rsidP="00AD4EA1"/>
    <w:p w14:paraId="32EF9ACF" w14:textId="77777777" w:rsidR="00DB7466" w:rsidRDefault="00DB7466" w:rsidP="00AD4EA1"/>
    <w:p w14:paraId="2D12B611" w14:textId="77777777" w:rsidR="00DB7466" w:rsidRDefault="00DB7466" w:rsidP="00AD4EA1"/>
    <w:p w14:paraId="41DF6CDD" w14:textId="77777777" w:rsidR="00DB7466" w:rsidRDefault="00DB7466" w:rsidP="00AD4EA1"/>
    <w:p w14:paraId="33602716" w14:textId="77777777" w:rsidR="00DB7466" w:rsidRDefault="00DB7466" w:rsidP="00AD4EA1"/>
    <w:p w14:paraId="0AC857CE" w14:textId="77777777" w:rsidR="00DB7466" w:rsidRDefault="00DB7466" w:rsidP="00AD4EA1"/>
    <w:p w14:paraId="42DD2106" w14:textId="77777777" w:rsidR="00DB7466" w:rsidRDefault="00DB7466" w:rsidP="00AD4EA1"/>
    <w:p w14:paraId="3848BCF2" w14:textId="77777777" w:rsidR="00DB7466" w:rsidRDefault="00DB7466" w:rsidP="00AD4EA1"/>
    <w:p w14:paraId="59855A9E" w14:textId="77777777" w:rsidR="00DB7466" w:rsidRDefault="00DB7466" w:rsidP="00AD4EA1"/>
    <w:p w14:paraId="6BF23CE8" w14:textId="77777777" w:rsidR="00DB7466" w:rsidRDefault="00DB7466" w:rsidP="00AD4EA1"/>
    <w:p w14:paraId="4717847F" w14:textId="77777777" w:rsidR="00DB7466" w:rsidRDefault="00DB7466" w:rsidP="00AD4EA1"/>
    <w:p w14:paraId="6C42CB7C" w14:textId="77777777" w:rsidR="00DB7466" w:rsidRDefault="00DB7466" w:rsidP="00AD4EA1"/>
    <w:p w14:paraId="59853B99" w14:textId="77777777" w:rsidR="00DB7466" w:rsidRDefault="00DB7466" w:rsidP="00AD4EA1"/>
    <w:p w14:paraId="674C379E" w14:textId="77777777" w:rsidR="00DB7466" w:rsidRDefault="00DB7466" w:rsidP="00AD4EA1"/>
    <w:p w14:paraId="71FE9CD6" w14:textId="77777777" w:rsidR="00DB7466" w:rsidRDefault="00DB7466" w:rsidP="00AD4EA1"/>
    <w:p w14:paraId="4FD3A1EC" w14:textId="77777777" w:rsidR="00DB7466" w:rsidRDefault="00DB7466" w:rsidP="00AD4EA1"/>
    <w:p w14:paraId="04F7AF08" w14:textId="77777777" w:rsidR="00DB7466" w:rsidRDefault="00DB7466" w:rsidP="00AD4EA1"/>
    <w:p w14:paraId="2D0286A5" w14:textId="77777777" w:rsidR="00DB7466" w:rsidRDefault="00DB7466" w:rsidP="00AD4EA1"/>
    <w:p w14:paraId="54F43F62" w14:textId="77777777" w:rsidR="00DB7466" w:rsidRDefault="00DB7466" w:rsidP="00AD4EA1"/>
    <w:p w14:paraId="39306B78" w14:textId="77777777" w:rsidR="00DB7466" w:rsidRDefault="00DB7466" w:rsidP="00AD4EA1"/>
    <w:p w14:paraId="11979E68" w14:textId="77777777" w:rsidR="00DB7466" w:rsidRDefault="00DB7466" w:rsidP="00AD4EA1"/>
    <w:p w14:paraId="00A4BE06" w14:textId="77777777" w:rsidR="00DB7466" w:rsidRDefault="00DB7466" w:rsidP="00AD4EA1"/>
    <w:p w14:paraId="4B1A8F2C" w14:textId="77777777" w:rsidR="00DB7466" w:rsidRDefault="00DB7466" w:rsidP="00AD4EA1"/>
    <w:p w14:paraId="54F35E28" w14:textId="77777777" w:rsidR="00DB7466" w:rsidRDefault="00DB7466" w:rsidP="00AD4EA1"/>
    <w:p w14:paraId="176FFB4D" w14:textId="77777777" w:rsidR="00DB7466" w:rsidRDefault="00DB7466" w:rsidP="00AD4EA1"/>
    <w:p w14:paraId="3E08797D" w14:textId="77777777" w:rsidR="00DB7466" w:rsidRDefault="00DB7466" w:rsidP="00AD4EA1"/>
    <w:p w14:paraId="662972F2" w14:textId="77777777" w:rsidR="00DB7466" w:rsidRDefault="00DB7466" w:rsidP="00AD4EA1"/>
    <w:p w14:paraId="5F2B9324" w14:textId="77777777" w:rsidR="00DB7466" w:rsidRDefault="00DB7466" w:rsidP="00AD4EA1"/>
    <w:p w14:paraId="25B8B521" w14:textId="77777777" w:rsidR="00DB7466" w:rsidRDefault="00DB7466" w:rsidP="00AD4EA1"/>
    <w:p w14:paraId="3A097FCA" w14:textId="77777777" w:rsidR="00DB7466" w:rsidRDefault="00DB7466" w:rsidP="00AD4EA1"/>
    <w:p w14:paraId="19784931" w14:textId="77777777" w:rsidR="00DB7466" w:rsidRDefault="00DB7466" w:rsidP="00AD4EA1"/>
    <w:p w14:paraId="369CAA5A" w14:textId="77777777" w:rsidR="00DB7466" w:rsidRDefault="00DB7466" w:rsidP="00AD4EA1"/>
    <w:p w14:paraId="33401876" w14:textId="77777777" w:rsidR="00DB7466" w:rsidRDefault="00DB7466" w:rsidP="00AD4EA1"/>
    <w:p w14:paraId="3CF73192" w14:textId="77777777" w:rsidR="00DB7466" w:rsidRDefault="00DB7466" w:rsidP="00AD4EA1"/>
    <w:p w14:paraId="72358B8C" w14:textId="77777777" w:rsidR="00DB7466" w:rsidRDefault="00DB7466" w:rsidP="00AD4EA1"/>
    <w:p w14:paraId="0B376E14" w14:textId="77777777" w:rsidR="00DB7466" w:rsidRDefault="00DB7466" w:rsidP="00AD4EA1"/>
    <w:p w14:paraId="68869E40" w14:textId="77777777" w:rsidR="00DB7466" w:rsidRDefault="00DB7466" w:rsidP="00AD4EA1"/>
    <w:p w14:paraId="0F71E4CE" w14:textId="77777777" w:rsidR="00DB7466" w:rsidRDefault="00DB7466" w:rsidP="00AD4EA1"/>
    <w:p w14:paraId="1F63675D" w14:textId="77777777" w:rsidR="00DB7466" w:rsidRDefault="00DB7466" w:rsidP="00AD4EA1"/>
    <w:p w14:paraId="43811AED" w14:textId="77777777" w:rsidR="00DB7466" w:rsidRDefault="00DB7466" w:rsidP="00AD4EA1"/>
    <w:p w14:paraId="4AF2BC28" w14:textId="77777777" w:rsidR="00DB7466" w:rsidRDefault="00DB7466" w:rsidP="00AD4EA1"/>
    <w:p w14:paraId="5D291E00" w14:textId="77777777" w:rsidR="00DB7466" w:rsidRDefault="00DB7466" w:rsidP="00AD4EA1"/>
    <w:p w14:paraId="0D70CD2E" w14:textId="77777777" w:rsidR="00DB7466" w:rsidRDefault="00DB7466" w:rsidP="00AD4EA1"/>
    <w:p w14:paraId="3B7C15C2" w14:textId="77777777" w:rsidR="00DB7466" w:rsidRDefault="00DB7466" w:rsidP="00AD4EA1"/>
    <w:p w14:paraId="225B8839" w14:textId="77777777" w:rsidR="00DB7466" w:rsidRDefault="00DB7466" w:rsidP="00AD4EA1"/>
    <w:p w14:paraId="2C85B6E5" w14:textId="77777777" w:rsidR="00DB7466" w:rsidRDefault="00DB7466" w:rsidP="00AD4EA1"/>
    <w:p w14:paraId="20C62DE9" w14:textId="77777777" w:rsidR="00DB7466" w:rsidRDefault="00DB7466" w:rsidP="00AD4EA1"/>
    <w:p w14:paraId="6DDBF864" w14:textId="77777777" w:rsidR="00DB7466" w:rsidRDefault="00DB7466" w:rsidP="00AD4EA1"/>
    <w:p w14:paraId="2AD50FBD" w14:textId="77777777" w:rsidR="00DB7466" w:rsidRDefault="00DB7466" w:rsidP="00AD4EA1"/>
    <w:p w14:paraId="4AC97F6E" w14:textId="77777777" w:rsidR="00DB7466" w:rsidRDefault="00DB7466" w:rsidP="00AD4EA1"/>
    <w:p w14:paraId="2F2A7A86" w14:textId="77777777" w:rsidR="00DB7466" w:rsidRDefault="00DB7466" w:rsidP="00AD4EA1"/>
    <w:p w14:paraId="0BAB3F2C" w14:textId="77777777" w:rsidR="00DB7466" w:rsidRDefault="00DB7466" w:rsidP="00AD4EA1"/>
    <w:p w14:paraId="43A34251" w14:textId="77777777" w:rsidR="00DB7466" w:rsidRDefault="00DB7466" w:rsidP="00AD4EA1"/>
    <w:p w14:paraId="6933F444" w14:textId="77777777" w:rsidR="00DB7466" w:rsidRDefault="00DB7466" w:rsidP="00AD4EA1"/>
    <w:p w14:paraId="092EC28D" w14:textId="77777777" w:rsidR="00DB7466" w:rsidRDefault="00DB7466" w:rsidP="00AD4EA1"/>
    <w:p w14:paraId="61EA59A3" w14:textId="77777777" w:rsidR="00DB7466" w:rsidRDefault="00DB7466" w:rsidP="00AD4EA1"/>
    <w:p w14:paraId="767DA7D1" w14:textId="77777777" w:rsidR="00DB7466" w:rsidRDefault="00DB7466" w:rsidP="00AD4EA1"/>
    <w:p w14:paraId="4D9BE274" w14:textId="77777777" w:rsidR="00DB7466" w:rsidRDefault="00DB7466" w:rsidP="00AD4EA1"/>
    <w:p w14:paraId="704B5AC6" w14:textId="77777777" w:rsidR="00DB7466" w:rsidRDefault="00DB7466" w:rsidP="00AD4EA1"/>
    <w:p w14:paraId="15E64795" w14:textId="77777777" w:rsidR="00DB7466" w:rsidRDefault="00DB7466" w:rsidP="00AD4EA1"/>
    <w:p w14:paraId="3E54D71A" w14:textId="77777777" w:rsidR="00DB7466" w:rsidRDefault="00DB7466" w:rsidP="00AD4EA1"/>
    <w:p w14:paraId="57CCCE38" w14:textId="77777777" w:rsidR="00DB7466" w:rsidRDefault="00DB7466" w:rsidP="00AD4EA1"/>
    <w:p w14:paraId="67102903" w14:textId="77777777" w:rsidR="00DB7466" w:rsidRDefault="00DB7466" w:rsidP="00AD4EA1"/>
    <w:p w14:paraId="72023CCA" w14:textId="77777777" w:rsidR="00DB7466" w:rsidRDefault="00DB7466" w:rsidP="00AD4EA1"/>
    <w:p w14:paraId="5AE31661" w14:textId="77777777" w:rsidR="00DB7466" w:rsidRDefault="00DB7466" w:rsidP="00AD4EA1"/>
    <w:p w14:paraId="54DE70F6" w14:textId="77777777" w:rsidR="00DB7466" w:rsidRDefault="00DB7466" w:rsidP="00AD4EA1"/>
    <w:p w14:paraId="74A07284" w14:textId="77777777" w:rsidR="00DB7466" w:rsidRDefault="00DB7466" w:rsidP="00AD4EA1"/>
    <w:p w14:paraId="4A563A66" w14:textId="77777777" w:rsidR="00DB7466" w:rsidRDefault="00DB7466" w:rsidP="00AD4EA1"/>
    <w:p w14:paraId="690B2C0D" w14:textId="77777777" w:rsidR="00DB7466" w:rsidRDefault="00DB7466" w:rsidP="00AD4EA1"/>
    <w:p w14:paraId="6CA5D61F" w14:textId="77777777" w:rsidR="00DB7466" w:rsidRDefault="00DB7466" w:rsidP="00AD4EA1"/>
    <w:p w14:paraId="31145694" w14:textId="77777777" w:rsidR="00DB7466" w:rsidRDefault="00DB7466" w:rsidP="00AD4EA1"/>
    <w:p w14:paraId="744A3438" w14:textId="77777777" w:rsidR="00DB7466" w:rsidRDefault="00DB7466" w:rsidP="00AD4EA1"/>
    <w:p w14:paraId="5DC23AFC" w14:textId="77777777" w:rsidR="00DB7466" w:rsidRDefault="00DB7466" w:rsidP="00AD4EA1"/>
    <w:p w14:paraId="7F5DAC16" w14:textId="77777777" w:rsidR="00DB7466" w:rsidRDefault="00DB7466" w:rsidP="00AD4EA1"/>
    <w:p w14:paraId="479FC054" w14:textId="77777777" w:rsidR="00DB7466" w:rsidRDefault="00DB7466" w:rsidP="00AD4EA1"/>
    <w:p w14:paraId="56A22590" w14:textId="77777777" w:rsidR="00DB7466" w:rsidRDefault="00DB7466" w:rsidP="00AD4EA1"/>
    <w:p w14:paraId="2587F75B" w14:textId="77777777" w:rsidR="00DB7466" w:rsidRDefault="00DB7466" w:rsidP="00AD4EA1"/>
    <w:p w14:paraId="6C292311" w14:textId="77777777" w:rsidR="00DB7466" w:rsidRDefault="00DB7466" w:rsidP="00AD4EA1"/>
    <w:p w14:paraId="0133282F" w14:textId="77777777" w:rsidR="00DB7466" w:rsidRDefault="00DB7466" w:rsidP="00AD4EA1"/>
    <w:p w14:paraId="229940DC" w14:textId="77777777" w:rsidR="00DB7466" w:rsidRDefault="00DB7466" w:rsidP="00AD4EA1"/>
    <w:p w14:paraId="6C59EAB9" w14:textId="77777777" w:rsidR="00DB7466" w:rsidRDefault="00DB7466" w:rsidP="00AD4EA1"/>
    <w:p w14:paraId="508EA664" w14:textId="77777777" w:rsidR="00DB7466" w:rsidRDefault="00DB7466" w:rsidP="00AD4EA1"/>
    <w:p w14:paraId="0B923135" w14:textId="77777777" w:rsidR="00DB7466" w:rsidRDefault="00DB7466" w:rsidP="00AD4EA1"/>
    <w:p w14:paraId="027680CB" w14:textId="77777777" w:rsidR="00DB7466" w:rsidRDefault="00DB7466" w:rsidP="00AD4EA1"/>
    <w:p w14:paraId="1737AA9D" w14:textId="77777777" w:rsidR="00DB7466" w:rsidRDefault="00DB7466" w:rsidP="00AD4EA1"/>
    <w:p w14:paraId="4D990BB9" w14:textId="77777777" w:rsidR="00DB7466" w:rsidRDefault="00DB7466" w:rsidP="00AD4EA1"/>
    <w:p w14:paraId="03639C04" w14:textId="77777777" w:rsidR="00DB7466" w:rsidRDefault="00DB7466" w:rsidP="00AD4EA1"/>
    <w:p w14:paraId="1F64F6D5" w14:textId="77777777" w:rsidR="00DB7466" w:rsidRDefault="00DB7466" w:rsidP="00AD4EA1"/>
    <w:p w14:paraId="7F5E17C0" w14:textId="77777777" w:rsidR="00DB7466" w:rsidRDefault="00DB7466" w:rsidP="00AD4EA1"/>
    <w:p w14:paraId="57C220CD" w14:textId="77777777" w:rsidR="00DB7466" w:rsidRDefault="00DB7466" w:rsidP="00AD4EA1"/>
    <w:p w14:paraId="4D7142A5" w14:textId="77777777" w:rsidR="00DB7466" w:rsidRDefault="00DB7466" w:rsidP="00AD4EA1"/>
    <w:p w14:paraId="0D169C8B" w14:textId="77777777" w:rsidR="00DB7466" w:rsidRDefault="00DB7466" w:rsidP="00AD4EA1"/>
    <w:p w14:paraId="378049DA" w14:textId="77777777" w:rsidR="00DB7466" w:rsidRDefault="00DB7466" w:rsidP="00AD4EA1"/>
    <w:p w14:paraId="4F9E035D" w14:textId="77777777" w:rsidR="00DB7466" w:rsidRDefault="00DB7466" w:rsidP="00AD4EA1"/>
    <w:p w14:paraId="7BF3F873" w14:textId="77777777" w:rsidR="00DB7466" w:rsidRDefault="00DB7466" w:rsidP="00AD4EA1"/>
    <w:p w14:paraId="598F42AC" w14:textId="77777777" w:rsidR="00DB7466" w:rsidRDefault="00DB7466" w:rsidP="00AD4EA1"/>
    <w:p w14:paraId="67FD93BA" w14:textId="77777777" w:rsidR="00DB7466" w:rsidRDefault="00DB7466" w:rsidP="00AD4EA1"/>
    <w:p w14:paraId="06193F35" w14:textId="77777777" w:rsidR="00DB7466" w:rsidRDefault="00DB7466" w:rsidP="00AD4EA1"/>
    <w:p w14:paraId="119A98AB" w14:textId="77777777" w:rsidR="00DB7466" w:rsidRDefault="00DB7466" w:rsidP="00AD4EA1"/>
    <w:p w14:paraId="72DF8560" w14:textId="77777777" w:rsidR="00DB7466" w:rsidRDefault="00DB7466" w:rsidP="00AD4EA1"/>
    <w:p w14:paraId="040CA8FE" w14:textId="77777777" w:rsidR="00DB7466" w:rsidRDefault="00DB7466" w:rsidP="00AD4EA1"/>
    <w:p w14:paraId="74BBC826" w14:textId="77777777" w:rsidR="00DB7466" w:rsidRDefault="00DB7466" w:rsidP="00AD4EA1"/>
    <w:p w14:paraId="62FA5CA1" w14:textId="77777777" w:rsidR="00DB7466" w:rsidRDefault="00DB7466" w:rsidP="00AD4EA1"/>
    <w:p w14:paraId="39C06C06" w14:textId="77777777" w:rsidR="00DB7466" w:rsidRDefault="00DB7466" w:rsidP="00AD4EA1"/>
    <w:p w14:paraId="25FCEC5C" w14:textId="77777777" w:rsidR="00DB7466" w:rsidRDefault="00DB7466" w:rsidP="00AD4EA1"/>
    <w:p w14:paraId="73045884" w14:textId="77777777" w:rsidR="00DB7466" w:rsidRDefault="00DB7466" w:rsidP="00AD4EA1"/>
    <w:p w14:paraId="08C4AAA8" w14:textId="77777777" w:rsidR="00DB7466" w:rsidRDefault="00DB7466" w:rsidP="00AD4EA1"/>
    <w:p w14:paraId="7BD39551" w14:textId="77777777" w:rsidR="00DB7466" w:rsidRDefault="00DB7466" w:rsidP="00AD4EA1"/>
    <w:p w14:paraId="7F143DA8" w14:textId="77777777" w:rsidR="00DB7466" w:rsidRDefault="00DB7466" w:rsidP="00AD4EA1"/>
    <w:p w14:paraId="468E5256" w14:textId="77777777" w:rsidR="00DB7466" w:rsidRDefault="00DB7466" w:rsidP="00AD4EA1"/>
    <w:p w14:paraId="5CF99444" w14:textId="77777777" w:rsidR="00DB7466" w:rsidRDefault="00DB7466" w:rsidP="00AD4EA1"/>
    <w:p w14:paraId="6DB9EB89" w14:textId="77777777" w:rsidR="00DB7466" w:rsidRDefault="00DB7466" w:rsidP="00AD4EA1"/>
    <w:p w14:paraId="108DEA1F" w14:textId="77777777" w:rsidR="00DB7466" w:rsidRDefault="00DB7466" w:rsidP="00AD4EA1"/>
    <w:p w14:paraId="2F5B6AC6" w14:textId="77777777" w:rsidR="00DB7466" w:rsidRDefault="00DB7466" w:rsidP="00AD4EA1"/>
    <w:p w14:paraId="611BFAA8" w14:textId="77777777" w:rsidR="00DB7466" w:rsidRDefault="00DB7466" w:rsidP="00AD4EA1"/>
    <w:p w14:paraId="096BD8E0" w14:textId="77777777" w:rsidR="00DB7466" w:rsidRDefault="00DB7466" w:rsidP="00AD4EA1"/>
    <w:p w14:paraId="096BB4B0" w14:textId="77777777" w:rsidR="00DB7466" w:rsidRDefault="00DB7466" w:rsidP="00AD4EA1"/>
    <w:p w14:paraId="03FF76F8" w14:textId="77777777" w:rsidR="00DB7466" w:rsidRDefault="00DB7466" w:rsidP="00AD4EA1"/>
    <w:p w14:paraId="7A83AFF4" w14:textId="77777777" w:rsidR="00DB7466" w:rsidRDefault="00DB7466" w:rsidP="00AD4EA1"/>
    <w:p w14:paraId="290215C2" w14:textId="77777777" w:rsidR="00DB7466" w:rsidRDefault="00DB7466" w:rsidP="00AD4EA1"/>
    <w:p w14:paraId="50097F87" w14:textId="77777777" w:rsidR="00DB7466" w:rsidRDefault="00DB7466" w:rsidP="00AD4EA1"/>
    <w:p w14:paraId="176E45E5" w14:textId="77777777" w:rsidR="00DB7466" w:rsidRDefault="00DB7466" w:rsidP="00AD4EA1"/>
    <w:p w14:paraId="7C7C3296" w14:textId="77777777" w:rsidR="00DB7466" w:rsidRDefault="00DB7466" w:rsidP="00AD4EA1"/>
    <w:p w14:paraId="43ADA0E0" w14:textId="77777777" w:rsidR="00DB7466" w:rsidRDefault="00DB7466" w:rsidP="00AD4EA1"/>
    <w:p w14:paraId="770178EE" w14:textId="77777777" w:rsidR="00DB7466" w:rsidRDefault="00DB7466" w:rsidP="00AD4EA1"/>
    <w:p w14:paraId="0E892E36" w14:textId="77777777" w:rsidR="00DB7466" w:rsidRDefault="00DB7466" w:rsidP="00AD4EA1"/>
    <w:p w14:paraId="3FBE88E3" w14:textId="77777777" w:rsidR="00DB7466" w:rsidRDefault="00DB7466" w:rsidP="00AD4EA1"/>
    <w:p w14:paraId="0B9639F2" w14:textId="77777777" w:rsidR="00DB7466" w:rsidRDefault="00DB7466" w:rsidP="00AD4EA1"/>
    <w:p w14:paraId="1D39A559" w14:textId="77777777" w:rsidR="00DB7466" w:rsidRDefault="00DB7466" w:rsidP="00AD4EA1"/>
    <w:p w14:paraId="47891628" w14:textId="77777777" w:rsidR="00DB7466" w:rsidRDefault="00DB7466" w:rsidP="00AD4EA1"/>
    <w:p w14:paraId="7123D9AA" w14:textId="77777777" w:rsidR="00DB7466" w:rsidRDefault="00DB7466" w:rsidP="00AD4EA1"/>
    <w:p w14:paraId="0762467F" w14:textId="77777777" w:rsidR="00DB7466" w:rsidRDefault="00DB7466" w:rsidP="00AD4EA1"/>
    <w:p w14:paraId="603733CD" w14:textId="77777777" w:rsidR="00DB7466" w:rsidRDefault="00DB7466" w:rsidP="00AD4EA1"/>
    <w:p w14:paraId="40CB2C1E" w14:textId="77777777" w:rsidR="00DB7466" w:rsidRDefault="00DB7466" w:rsidP="00AD4EA1"/>
    <w:p w14:paraId="4D686346" w14:textId="77777777" w:rsidR="00DB7466" w:rsidRDefault="00DB7466" w:rsidP="00AD4EA1"/>
    <w:p w14:paraId="38B54F3E" w14:textId="77777777" w:rsidR="00DB7466" w:rsidRDefault="00DB7466" w:rsidP="00AD4EA1"/>
    <w:p w14:paraId="1EADDD0F" w14:textId="77777777" w:rsidR="00DB7466" w:rsidRDefault="00DB7466" w:rsidP="00AD4EA1"/>
    <w:p w14:paraId="0F0652A2" w14:textId="77777777" w:rsidR="00DB7466" w:rsidRDefault="00DB7466" w:rsidP="00AD4EA1"/>
    <w:p w14:paraId="009CBD97" w14:textId="77777777" w:rsidR="00DB7466" w:rsidRDefault="00DB7466" w:rsidP="00AD4EA1"/>
    <w:p w14:paraId="1821E7D4" w14:textId="77777777" w:rsidR="00DB7466" w:rsidRDefault="00DB7466" w:rsidP="00AD4EA1"/>
    <w:p w14:paraId="67C77CAB" w14:textId="77777777" w:rsidR="00DB7466" w:rsidRDefault="00DB7466" w:rsidP="00AD4EA1"/>
    <w:p w14:paraId="6B068A7E" w14:textId="77777777" w:rsidR="00DB7466" w:rsidRDefault="00DB7466" w:rsidP="00AD4EA1"/>
    <w:p w14:paraId="74FBE82D" w14:textId="77777777" w:rsidR="00DB7466" w:rsidRDefault="00DB7466" w:rsidP="00AD4EA1"/>
    <w:p w14:paraId="7F06EF78" w14:textId="77777777" w:rsidR="00DB7466" w:rsidRDefault="00DB7466" w:rsidP="00AD4EA1"/>
    <w:p w14:paraId="481DC8CD" w14:textId="77777777" w:rsidR="00DB7466" w:rsidRDefault="00DB7466" w:rsidP="00AD4EA1"/>
    <w:p w14:paraId="39AD4434" w14:textId="77777777" w:rsidR="00DB7466" w:rsidRDefault="00DB7466" w:rsidP="00AD4EA1"/>
    <w:p w14:paraId="471E4FAA" w14:textId="77777777" w:rsidR="00DB7466" w:rsidRDefault="00DB7466" w:rsidP="00AD4EA1"/>
    <w:p w14:paraId="70E2FF40" w14:textId="77777777" w:rsidR="00DB7466" w:rsidRDefault="00DB7466" w:rsidP="00AD4EA1"/>
    <w:p w14:paraId="4F6739ED" w14:textId="77777777" w:rsidR="00DB7466" w:rsidRDefault="00DB7466" w:rsidP="00AD4EA1"/>
    <w:p w14:paraId="462626B8" w14:textId="77777777" w:rsidR="00DB7466" w:rsidRDefault="00DB7466" w:rsidP="00AD4EA1"/>
    <w:p w14:paraId="40A830B8" w14:textId="77777777" w:rsidR="00DB7466" w:rsidRDefault="00DB7466" w:rsidP="00AD4EA1"/>
    <w:p w14:paraId="0F61CE73" w14:textId="77777777" w:rsidR="00DB7466" w:rsidRDefault="00DB7466" w:rsidP="00AD4EA1"/>
    <w:p w14:paraId="3639CFD2" w14:textId="77777777" w:rsidR="00DB7466" w:rsidRDefault="00DB7466" w:rsidP="00AD4EA1"/>
    <w:p w14:paraId="62E66E0C" w14:textId="77777777" w:rsidR="00DB7466" w:rsidRDefault="00DB7466" w:rsidP="00AD4EA1"/>
    <w:p w14:paraId="3D18BC7E" w14:textId="77777777" w:rsidR="00DB7466" w:rsidRDefault="00DB7466" w:rsidP="00AD4EA1"/>
    <w:p w14:paraId="79040A75" w14:textId="77777777" w:rsidR="00DB7466" w:rsidRDefault="00DB7466" w:rsidP="00AD4EA1"/>
    <w:p w14:paraId="2B121ECB" w14:textId="77777777" w:rsidR="00DB7466" w:rsidRDefault="00DB7466" w:rsidP="00AD4EA1"/>
    <w:p w14:paraId="713427FC" w14:textId="77777777" w:rsidR="00DB7466" w:rsidRDefault="00DB7466" w:rsidP="00AD4EA1"/>
    <w:p w14:paraId="78EEF15E" w14:textId="77777777" w:rsidR="00DB7466" w:rsidRDefault="00DB7466" w:rsidP="00AD4EA1"/>
    <w:p w14:paraId="01AEA90D" w14:textId="77777777" w:rsidR="00DB7466" w:rsidRDefault="00DB7466" w:rsidP="00AD4EA1"/>
    <w:p w14:paraId="2497FB9E" w14:textId="77777777" w:rsidR="00DB7466" w:rsidRDefault="00DB7466" w:rsidP="00AD4EA1"/>
    <w:p w14:paraId="759C9019" w14:textId="77777777" w:rsidR="00DB7466" w:rsidRDefault="00DB7466" w:rsidP="00AD4EA1"/>
    <w:p w14:paraId="12510CAA" w14:textId="77777777" w:rsidR="00DB7466" w:rsidRDefault="00DB7466" w:rsidP="00AD4EA1"/>
    <w:p w14:paraId="4A5F99B8" w14:textId="77777777" w:rsidR="00DB7466" w:rsidRDefault="00DB7466" w:rsidP="00AD4EA1"/>
    <w:p w14:paraId="5098F804" w14:textId="77777777" w:rsidR="00DB7466" w:rsidRDefault="00DB7466" w:rsidP="00AD4EA1"/>
    <w:p w14:paraId="176F98EF" w14:textId="77777777" w:rsidR="00DB7466" w:rsidRDefault="00DB7466" w:rsidP="00AD4EA1"/>
    <w:p w14:paraId="2F4AB662" w14:textId="77777777" w:rsidR="00DB7466" w:rsidRDefault="00DB7466" w:rsidP="00AD4EA1"/>
    <w:p w14:paraId="604391DC" w14:textId="77777777" w:rsidR="00DB7466" w:rsidRDefault="00DB7466" w:rsidP="00AD4EA1"/>
    <w:p w14:paraId="1B3F90F9" w14:textId="77777777" w:rsidR="00DB7466" w:rsidRDefault="00DB7466" w:rsidP="00AD4EA1"/>
    <w:p w14:paraId="70A95115" w14:textId="77777777" w:rsidR="00DB7466" w:rsidRDefault="00DB7466" w:rsidP="00AD4EA1"/>
    <w:p w14:paraId="2A988E69" w14:textId="77777777" w:rsidR="00DB7466" w:rsidRDefault="00DB7466" w:rsidP="00AD4EA1"/>
    <w:p w14:paraId="399C2EAF" w14:textId="77777777" w:rsidR="00DB7466" w:rsidRDefault="00DB7466" w:rsidP="00AD4EA1"/>
    <w:p w14:paraId="37B7AF90" w14:textId="77777777" w:rsidR="00DB7466" w:rsidRDefault="00DB7466" w:rsidP="00AD4EA1"/>
    <w:p w14:paraId="1CD705CD" w14:textId="77777777" w:rsidR="00DB7466" w:rsidRDefault="00DB7466" w:rsidP="00AD4EA1"/>
    <w:p w14:paraId="00063ED3" w14:textId="77777777" w:rsidR="00DB7466" w:rsidRDefault="00DB7466" w:rsidP="00AD4EA1"/>
    <w:p w14:paraId="0AA4E4B8" w14:textId="77777777" w:rsidR="00DB7466" w:rsidRDefault="00DB7466" w:rsidP="00AD4EA1"/>
    <w:p w14:paraId="72E725EF" w14:textId="77777777" w:rsidR="00DB7466" w:rsidRDefault="00DB7466" w:rsidP="00AD4EA1"/>
    <w:p w14:paraId="28A72713" w14:textId="77777777" w:rsidR="00DB7466" w:rsidRDefault="00DB7466" w:rsidP="00AD4EA1"/>
    <w:p w14:paraId="2F92BEDF" w14:textId="77777777" w:rsidR="00DB7466" w:rsidRDefault="00DB7466" w:rsidP="00AD4EA1"/>
    <w:p w14:paraId="2BB148FB" w14:textId="77777777" w:rsidR="00DB7466" w:rsidRDefault="00DB7466" w:rsidP="00AD4EA1"/>
    <w:p w14:paraId="4B49821A" w14:textId="77777777" w:rsidR="00DB7466" w:rsidRDefault="00DB7466" w:rsidP="00AD4EA1"/>
    <w:p w14:paraId="5E10ECC5" w14:textId="77777777" w:rsidR="00DB7466" w:rsidRDefault="00DB7466" w:rsidP="00AD4EA1"/>
    <w:p w14:paraId="4A582CCA" w14:textId="77777777" w:rsidR="00DB7466" w:rsidRDefault="00DB7466" w:rsidP="00AD4EA1"/>
    <w:p w14:paraId="33BB1873" w14:textId="77777777" w:rsidR="00DB7466" w:rsidRDefault="00DB7466" w:rsidP="00AD4EA1"/>
    <w:p w14:paraId="2BA5D02A" w14:textId="77777777" w:rsidR="00DB7466" w:rsidRDefault="00DB7466" w:rsidP="00AD4EA1"/>
    <w:p w14:paraId="132FB3AD" w14:textId="77777777" w:rsidR="00DB7466" w:rsidRDefault="00DB7466" w:rsidP="00AD4EA1"/>
    <w:p w14:paraId="280CB436" w14:textId="77777777" w:rsidR="00DB7466" w:rsidRDefault="00DB7466" w:rsidP="00AD4EA1"/>
    <w:p w14:paraId="0A6A5695" w14:textId="77777777" w:rsidR="00DB7466" w:rsidRDefault="00DB7466" w:rsidP="00AD4EA1"/>
    <w:p w14:paraId="2C88593D" w14:textId="77777777" w:rsidR="00DB7466" w:rsidRDefault="00DB7466" w:rsidP="00AD4EA1"/>
    <w:p w14:paraId="05D43B1A" w14:textId="77777777" w:rsidR="00DB7466" w:rsidRDefault="00DB7466" w:rsidP="00AD4EA1"/>
    <w:p w14:paraId="39EC01ED" w14:textId="77777777" w:rsidR="00DB7466" w:rsidRDefault="00DB7466" w:rsidP="00AD4EA1"/>
    <w:p w14:paraId="2E12C4C1" w14:textId="77777777" w:rsidR="00DB7466" w:rsidRDefault="00DB7466" w:rsidP="00AD4EA1"/>
    <w:p w14:paraId="2112E9EB" w14:textId="77777777" w:rsidR="00DB7466" w:rsidRDefault="00DB7466" w:rsidP="00AD4EA1"/>
    <w:p w14:paraId="6DA4B2FC" w14:textId="77777777" w:rsidR="00DB7466" w:rsidRDefault="00DB7466" w:rsidP="00AD4EA1"/>
    <w:p w14:paraId="62736CD9" w14:textId="77777777" w:rsidR="00DB7466" w:rsidRDefault="00DB7466" w:rsidP="00AD4EA1"/>
    <w:p w14:paraId="0123B20E" w14:textId="77777777" w:rsidR="00DB7466" w:rsidRDefault="00DB7466" w:rsidP="00AD4EA1"/>
    <w:p w14:paraId="517261CE" w14:textId="77777777" w:rsidR="00DB7466" w:rsidRDefault="00DB7466" w:rsidP="00AD4EA1"/>
    <w:p w14:paraId="2C1F07CF" w14:textId="77777777" w:rsidR="00DB7466" w:rsidRDefault="00DB7466" w:rsidP="00AD4EA1"/>
    <w:p w14:paraId="3D7B6BB0" w14:textId="77777777" w:rsidR="00DB7466" w:rsidRDefault="00DB7466" w:rsidP="00AD4EA1"/>
    <w:p w14:paraId="42DF1076" w14:textId="77777777" w:rsidR="00DB7466" w:rsidRDefault="00DB7466" w:rsidP="00AD4EA1"/>
    <w:p w14:paraId="02874A53" w14:textId="77777777" w:rsidR="00DB7466" w:rsidRDefault="00DB7466" w:rsidP="00AD4EA1"/>
    <w:p w14:paraId="1B3B0242" w14:textId="77777777" w:rsidR="00DB7466" w:rsidRDefault="00DB7466" w:rsidP="00AD4EA1"/>
    <w:p w14:paraId="41D268FB" w14:textId="77777777" w:rsidR="00DB7466" w:rsidRDefault="00DB7466" w:rsidP="00AD4EA1"/>
    <w:p w14:paraId="40124F35" w14:textId="77777777" w:rsidR="00DB7466" w:rsidRDefault="00DB7466" w:rsidP="00AD4EA1"/>
    <w:p w14:paraId="19757EEB" w14:textId="77777777" w:rsidR="00DB7466" w:rsidRDefault="00DB7466" w:rsidP="00AD4EA1"/>
    <w:p w14:paraId="4B92CEF8" w14:textId="77777777" w:rsidR="00DB7466" w:rsidRDefault="00DB7466" w:rsidP="00AD4EA1"/>
    <w:p w14:paraId="5A1AD283" w14:textId="77777777" w:rsidR="00DB7466" w:rsidRDefault="00DB7466" w:rsidP="00AD4EA1"/>
    <w:p w14:paraId="520AE44C" w14:textId="77777777" w:rsidR="00DB7466" w:rsidRDefault="00DB7466" w:rsidP="00AD4EA1"/>
    <w:p w14:paraId="06E5295B" w14:textId="77777777" w:rsidR="00DB7466" w:rsidRDefault="00DB7466" w:rsidP="00AD4EA1"/>
    <w:p w14:paraId="20703132" w14:textId="77777777" w:rsidR="00DB7466" w:rsidRDefault="00DB7466" w:rsidP="00AD4EA1"/>
    <w:p w14:paraId="0B1C1A4B" w14:textId="77777777" w:rsidR="00DB7466" w:rsidRDefault="00DB7466" w:rsidP="00AD4EA1"/>
    <w:p w14:paraId="50295B87" w14:textId="77777777" w:rsidR="00DB7466" w:rsidRDefault="00DB7466" w:rsidP="00AD4EA1"/>
    <w:p w14:paraId="5DA9314B" w14:textId="77777777" w:rsidR="00DB7466" w:rsidRDefault="00DB7466" w:rsidP="00AD4EA1"/>
    <w:p w14:paraId="3ED4EFA0" w14:textId="77777777" w:rsidR="00DB7466" w:rsidRDefault="00DB7466" w:rsidP="00AD4EA1"/>
    <w:p w14:paraId="09F99DC0" w14:textId="77777777" w:rsidR="00DB7466" w:rsidRDefault="00DB7466" w:rsidP="00AD4EA1"/>
    <w:p w14:paraId="4825934F" w14:textId="77777777" w:rsidR="00DB7466" w:rsidRDefault="00DB7466" w:rsidP="00AD4EA1"/>
    <w:p w14:paraId="64911F41" w14:textId="77777777" w:rsidR="00DB7466" w:rsidRDefault="00DB7466" w:rsidP="00AD4EA1"/>
    <w:p w14:paraId="2E68ED7C" w14:textId="77777777" w:rsidR="00DB7466" w:rsidRDefault="00DB7466" w:rsidP="00AD4EA1"/>
    <w:p w14:paraId="0A6B84F8" w14:textId="77777777" w:rsidR="00DB7466" w:rsidRDefault="00DB7466" w:rsidP="00AD4EA1"/>
    <w:p w14:paraId="59D8C62E" w14:textId="77777777" w:rsidR="00DB7466" w:rsidRDefault="00DB7466" w:rsidP="00AD4EA1"/>
    <w:p w14:paraId="6C37B35E" w14:textId="77777777" w:rsidR="00DB7466" w:rsidRDefault="00DB7466" w:rsidP="00AD4EA1"/>
    <w:p w14:paraId="2FE90321" w14:textId="77777777" w:rsidR="00DB7466" w:rsidRDefault="00DB7466" w:rsidP="00AD4EA1"/>
    <w:p w14:paraId="1929C4B5" w14:textId="77777777" w:rsidR="00DB7466" w:rsidRDefault="00DB7466" w:rsidP="00AD4EA1"/>
    <w:p w14:paraId="726C24AC" w14:textId="77777777" w:rsidR="00DB7466" w:rsidRDefault="00DB7466" w:rsidP="00AD4EA1"/>
    <w:p w14:paraId="39C7E148" w14:textId="77777777" w:rsidR="00DB7466" w:rsidRDefault="00DB7466" w:rsidP="00AD4EA1"/>
    <w:p w14:paraId="441A584E" w14:textId="77777777" w:rsidR="00DB7466" w:rsidRDefault="00DB7466" w:rsidP="00AD4EA1"/>
    <w:p w14:paraId="41BA7750" w14:textId="77777777" w:rsidR="00DB7466" w:rsidRDefault="00DB7466" w:rsidP="00AD4EA1"/>
    <w:p w14:paraId="297FFCC6" w14:textId="77777777" w:rsidR="00DB7466" w:rsidRDefault="00DB7466" w:rsidP="00AD4EA1"/>
    <w:p w14:paraId="2E110110" w14:textId="77777777" w:rsidR="00DB7466" w:rsidRDefault="00DB7466" w:rsidP="00AD4EA1"/>
    <w:p w14:paraId="5D628114" w14:textId="77777777" w:rsidR="00DB7466" w:rsidRDefault="00DB7466" w:rsidP="00AD4EA1"/>
    <w:p w14:paraId="26FEB3EF" w14:textId="77777777" w:rsidR="00DB7466" w:rsidRDefault="00DB7466" w:rsidP="00AD4EA1"/>
    <w:p w14:paraId="14499F3C" w14:textId="77777777" w:rsidR="00DB7466" w:rsidRDefault="00DB7466" w:rsidP="00AD4EA1"/>
    <w:p w14:paraId="676E783E" w14:textId="77777777" w:rsidR="00DB7466" w:rsidRDefault="00DB7466" w:rsidP="00AD4EA1"/>
    <w:p w14:paraId="1407CC40" w14:textId="77777777" w:rsidR="00DB7466" w:rsidRDefault="00DB7466" w:rsidP="00AD4EA1"/>
    <w:p w14:paraId="0A33720B" w14:textId="77777777" w:rsidR="00DB7466" w:rsidRDefault="00DB7466" w:rsidP="00AD4EA1"/>
    <w:p w14:paraId="72AACBB6" w14:textId="77777777" w:rsidR="00DB7466" w:rsidRDefault="00DB7466" w:rsidP="00AD4EA1"/>
    <w:p w14:paraId="1D55FC68" w14:textId="77777777" w:rsidR="00DB7466" w:rsidRDefault="00DB7466" w:rsidP="00AD4EA1"/>
    <w:p w14:paraId="06C0DBDB" w14:textId="77777777" w:rsidR="00DB7466" w:rsidRDefault="00DB7466" w:rsidP="00AD4EA1"/>
    <w:p w14:paraId="2FBF0B45" w14:textId="77777777" w:rsidR="00DB7466" w:rsidRDefault="00DB7466" w:rsidP="00AD4EA1"/>
    <w:p w14:paraId="4F201E12" w14:textId="77777777" w:rsidR="00DB7466" w:rsidRDefault="00DB7466" w:rsidP="00AD4EA1"/>
    <w:p w14:paraId="1E2E87BC" w14:textId="77777777" w:rsidR="00DB7466" w:rsidRDefault="00DB7466" w:rsidP="00AD4EA1"/>
    <w:p w14:paraId="7A1A000D" w14:textId="77777777" w:rsidR="00DB7466" w:rsidRDefault="00DB7466" w:rsidP="00AD4EA1"/>
    <w:p w14:paraId="5280DADF" w14:textId="77777777" w:rsidR="00DB7466" w:rsidRDefault="00DB7466" w:rsidP="00AD4EA1"/>
    <w:p w14:paraId="3459896F" w14:textId="77777777" w:rsidR="00DB7466" w:rsidRDefault="00DB7466" w:rsidP="00AD4EA1"/>
    <w:p w14:paraId="69FA3ACB" w14:textId="77777777" w:rsidR="00DB7466" w:rsidRDefault="00DB7466" w:rsidP="00AD4EA1"/>
    <w:p w14:paraId="3FAE64EC" w14:textId="77777777" w:rsidR="00DB7466" w:rsidRDefault="00DB7466" w:rsidP="00AD4EA1"/>
    <w:p w14:paraId="20629025" w14:textId="77777777" w:rsidR="00DB7466" w:rsidRDefault="00DB7466" w:rsidP="00AD4EA1"/>
    <w:p w14:paraId="0040B031" w14:textId="77777777" w:rsidR="00DB7466" w:rsidRDefault="00DB7466" w:rsidP="00AD4EA1"/>
    <w:p w14:paraId="4CB3E59F" w14:textId="77777777" w:rsidR="00DB7466" w:rsidRDefault="00DB7466" w:rsidP="00AD4EA1"/>
    <w:p w14:paraId="2C7CE9D8" w14:textId="77777777" w:rsidR="00DB7466" w:rsidRDefault="00DB7466" w:rsidP="00AD4EA1"/>
    <w:p w14:paraId="4F23C69B" w14:textId="77777777" w:rsidR="00DB7466" w:rsidRDefault="00DB7466" w:rsidP="00AD4EA1"/>
    <w:p w14:paraId="2A86F88F" w14:textId="77777777" w:rsidR="00DB7466" w:rsidRDefault="00DB7466" w:rsidP="00AD4EA1"/>
    <w:p w14:paraId="16FA4E08" w14:textId="77777777" w:rsidR="00DB7466" w:rsidRDefault="00DB7466" w:rsidP="00AD4EA1"/>
    <w:p w14:paraId="1B9058B5" w14:textId="77777777" w:rsidR="00DB7466" w:rsidRDefault="00DB7466" w:rsidP="00AD4EA1"/>
    <w:p w14:paraId="0BA7DC64" w14:textId="77777777" w:rsidR="00DB7466" w:rsidRDefault="00DB7466" w:rsidP="00AD4EA1"/>
    <w:p w14:paraId="41BEAA7D" w14:textId="77777777" w:rsidR="00DB7466" w:rsidRDefault="00DB7466" w:rsidP="00AD4EA1"/>
    <w:p w14:paraId="4A9F6629" w14:textId="77777777" w:rsidR="00DB7466" w:rsidRDefault="00DB7466" w:rsidP="00AD4EA1"/>
    <w:p w14:paraId="601F0A2F" w14:textId="77777777" w:rsidR="00DB7466" w:rsidRDefault="00DB7466" w:rsidP="00AD4EA1"/>
    <w:p w14:paraId="21D69E5E" w14:textId="77777777" w:rsidR="00DB7466" w:rsidRDefault="00DB7466" w:rsidP="00AD4EA1"/>
    <w:p w14:paraId="41864833" w14:textId="77777777" w:rsidR="00DB7466" w:rsidRDefault="00DB7466" w:rsidP="00AD4EA1"/>
    <w:p w14:paraId="578CB460" w14:textId="77777777" w:rsidR="00DB7466" w:rsidRDefault="00DB7466" w:rsidP="00AD4EA1"/>
    <w:p w14:paraId="4BF0BDA3" w14:textId="77777777" w:rsidR="00DB7466" w:rsidRDefault="00DB7466" w:rsidP="00CD4DEC"/>
    <w:p w14:paraId="6DA7EC3B" w14:textId="77777777" w:rsidR="00DB7466" w:rsidRDefault="00DB7466" w:rsidP="002C583C"/>
    <w:p w14:paraId="5E1E815A" w14:textId="77777777" w:rsidR="00DB7466" w:rsidRDefault="00DB7466" w:rsidP="002C583C"/>
    <w:p w14:paraId="53554584" w14:textId="77777777" w:rsidR="00DB7466" w:rsidRDefault="00DB7466" w:rsidP="006208C5"/>
    <w:p w14:paraId="0958C168" w14:textId="77777777" w:rsidR="00DB7466" w:rsidRDefault="00DB7466" w:rsidP="006208C5"/>
    <w:p w14:paraId="2D006E33" w14:textId="77777777" w:rsidR="00DB7466" w:rsidRDefault="00DB7466" w:rsidP="003E60B3"/>
    <w:p w14:paraId="049075F2" w14:textId="77777777" w:rsidR="00DB7466" w:rsidRDefault="00DB7466" w:rsidP="003E60B3"/>
    <w:p w14:paraId="3509691B" w14:textId="77777777" w:rsidR="00DB7466" w:rsidRDefault="00DB7466" w:rsidP="00C7542B"/>
    <w:p w14:paraId="45120062" w14:textId="77777777" w:rsidR="00DB7466" w:rsidRDefault="00DB7466" w:rsidP="00C7542B"/>
    <w:p w14:paraId="5EA585B1" w14:textId="77777777" w:rsidR="00DB7466" w:rsidRDefault="00DB7466" w:rsidP="00C7542B"/>
    <w:p w14:paraId="0F06CC31" w14:textId="77777777" w:rsidR="00DB7466" w:rsidRDefault="00DB7466" w:rsidP="00C7542B"/>
    <w:p w14:paraId="12D43511" w14:textId="77777777" w:rsidR="00DB7466" w:rsidRDefault="00DB7466" w:rsidP="00C7542B"/>
    <w:p w14:paraId="720488AB" w14:textId="77777777" w:rsidR="00DB7466" w:rsidRDefault="00DB7466" w:rsidP="00C7542B"/>
    <w:p w14:paraId="32FBEA81" w14:textId="77777777" w:rsidR="00DB7466" w:rsidRDefault="00DB7466" w:rsidP="00E668AB"/>
    <w:p w14:paraId="05601D60" w14:textId="77777777" w:rsidR="00DB7466" w:rsidRDefault="00DB7466" w:rsidP="002E2DD5"/>
    <w:p w14:paraId="53539C6D" w14:textId="77777777" w:rsidR="00DB7466" w:rsidRDefault="00DB7466" w:rsidP="00F34FE7"/>
    <w:p w14:paraId="49A4F669" w14:textId="77777777" w:rsidR="00DB7466" w:rsidRDefault="00DB7466" w:rsidP="00987D5A"/>
    <w:p w14:paraId="588DFACD" w14:textId="77777777" w:rsidR="00DB7466" w:rsidRDefault="00DB7466" w:rsidP="00987D5A"/>
    <w:p w14:paraId="59DB7073" w14:textId="77777777" w:rsidR="00DB7466" w:rsidRDefault="00DB7466" w:rsidP="00DA3815"/>
    <w:p w14:paraId="5275CDC8" w14:textId="77777777" w:rsidR="00DB7466" w:rsidRDefault="00DB7466" w:rsidP="00BE5921"/>
    <w:p w14:paraId="0C6461FA" w14:textId="77777777" w:rsidR="00DB7466" w:rsidRDefault="00DB7466" w:rsidP="00BA65A1"/>
    <w:p w14:paraId="020F7204" w14:textId="77777777" w:rsidR="00DB7466" w:rsidRDefault="00DB7466" w:rsidP="00BA65A1"/>
    <w:p w14:paraId="2595ADCA" w14:textId="77777777" w:rsidR="00DB7466" w:rsidRDefault="00DB7466" w:rsidP="00BA65A1"/>
    <w:p w14:paraId="7A38E9E9" w14:textId="77777777" w:rsidR="00DB7466" w:rsidRDefault="00DB7466" w:rsidP="00E972D0"/>
    <w:p w14:paraId="74728415" w14:textId="77777777" w:rsidR="00DB7466" w:rsidRDefault="00DB7466" w:rsidP="00EA4A6E"/>
    <w:p w14:paraId="6841FDF5" w14:textId="77777777" w:rsidR="00DB7466" w:rsidRDefault="00DB7466" w:rsidP="00B206BE"/>
    <w:p w14:paraId="46B8823C" w14:textId="77777777" w:rsidR="00DB7466" w:rsidRDefault="00DB7466" w:rsidP="006D36B9"/>
    <w:p w14:paraId="2F6916A8" w14:textId="77777777" w:rsidR="00DB7466" w:rsidRDefault="00DB7466" w:rsidP="006D36B9"/>
    <w:p w14:paraId="6D970338" w14:textId="77777777" w:rsidR="00DB7466" w:rsidRDefault="00DB7466" w:rsidP="006D36B9"/>
    <w:p w14:paraId="55637387" w14:textId="77777777" w:rsidR="00DB7466" w:rsidRDefault="00DB7466" w:rsidP="006D36B9"/>
    <w:p w14:paraId="6353E95E" w14:textId="77777777" w:rsidR="00DB7466" w:rsidRDefault="00DB7466" w:rsidP="006D36B9"/>
    <w:p w14:paraId="252CA77F" w14:textId="77777777" w:rsidR="00DB7466" w:rsidRDefault="00DB7466" w:rsidP="006D36B9"/>
    <w:p w14:paraId="3D227FA4" w14:textId="77777777" w:rsidR="00DB7466" w:rsidRDefault="00DB7466" w:rsidP="00EA23F1"/>
    <w:p w14:paraId="6F877B82" w14:textId="77777777" w:rsidR="00DB7466" w:rsidRDefault="00DB7466"/>
    <w:p w14:paraId="3B9A2EA0" w14:textId="77777777" w:rsidR="00DB7466" w:rsidRDefault="00DB7466" w:rsidP="00AC6278"/>
    <w:p w14:paraId="24FB8878" w14:textId="77777777" w:rsidR="00DB7466" w:rsidRDefault="00DB7466" w:rsidP="000F7EB3"/>
    <w:p w14:paraId="60AF1CFD" w14:textId="77777777" w:rsidR="00DB7466" w:rsidRDefault="00DB7466" w:rsidP="00FB722B"/>
    <w:p w14:paraId="38F7F4FF" w14:textId="77777777" w:rsidR="00DB7466" w:rsidRDefault="00DB7466" w:rsidP="00FB722B"/>
    <w:p w14:paraId="1B7EA15F" w14:textId="77777777" w:rsidR="00DB7466" w:rsidRDefault="00DB7466" w:rsidP="00760684"/>
    <w:p w14:paraId="64017EF8" w14:textId="77777777" w:rsidR="00DB7466" w:rsidRDefault="00DB7466"/>
    <w:p w14:paraId="2870D88C" w14:textId="77777777" w:rsidR="00DB7466" w:rsidRDefault="00DB7466"/>
    <w:p w14:paraId="0C302E48" w14:textId="77777777" w:rsidR="00DB7466" w:rsidRDefault="00DB7466"/>
    <w:p w14:paraId="2F6C3535" w14:textId="77777777" w:rsidR="00DB7466" w:rsidRDefault="00DB7466" w:rsidP="00E97D21"/>
    <w:p w14:paraId="6541FCCE" w14:textId="77777777" w:rsidR="00DB7466" w:rsidRDefault="00DB7466" w:rsidP="00A2303A"/>
    <w:p w14:paraId="2F8C60C6" w14:textId="77777777" w:rsidR="00DB7466" w:rsidRDefault="00DB7466" w:rsidP="00A2303A"/>
    <w:p w14:paraId="37696206" w14:textId="77777777" w:rsidR="00DB7466" w:rsidRDefault="00DB7466" w:rsidP="00A2303A"/>
    <w:p w14:paraId="60E24EB4" w14:textId="77777777" w:rsidR="00DB7466" w:rsidRDefault="00DB7466"/>
    <w:p w14:paraId="64F23704" w14:textId="77777777" w:rsidR="00DB7466" w:rsidRDefault="00DB7466" w:rsidP="004B37A9"/>
    <w:p w14:paraId="3B35764F" w14:textId="77777777" w:rsidR="00DB7466" w:rsidRDefault="00DB7466" w:rsidP="004B37A9"/>
    <w:p w14:paraId="0D089715" w14:textId="77777777" w:rsidR="00DB7466" w:rsidRDefault="00DB7466"/>
    <w:p w14:paraId="1D98C710" w14:textId="77777777" w:rsidR="00DB7466" w:rsidRDefault="00DB7466" w:rsidP="00F2792F"/>
    <w:p w14:paraId="091980C4" w14:textId="77777777" w:rsidR="00DB7466" w:rsidRDefault="00DB7466" w:rsidP="00F2792F"/>
    <w:p w14:paraId="326D8B69" w14:textId="77777777" w:rsidR="00DB7466" w:rsidRDefault="00DB7466" w:rsidP="00F2792F"/>
    <w:p w14:paraId="2F8A1B6E" w14:textId="77777777" w:rsidR="00DB7466" w:rsidRDefault="00DB7466" w:rsidP="00F2792F"/>
    <w:p w14:paraId="604B0E18" w14:textId="77777777" w:rsidR="00DB7466" w:rsidRDefault="00DB7466" w:rsidP="003F470F"/>
    <w:p w14:paraId="3A68A555" w14:textId="77777777" w:rsidR="00DB7466" w:rsidRDefault="00DB7466" w:rsidP="00FE2957"/>
    <w:p w14:paraId="5B9B75F5" w14:textId="77777777" w:rsidR="00DB7466" w:rsidRDefault="00DB7466" w:rsidP="00FE2957"/>
    <w:p w14:paraId="76092E2A" w14:textId="77777777" w:rsidR="00DB7466" w:rsidRDefault="00DB7466" w:rsidP="00E02438"/>
    <w:p w14:paraId="593CEC41" w14:textId="77777777" w:rsidR="00DB7466" w:rsidRDefault="00DB7466" w:rsidP="008F70A3"/>
    <w:p w14:paraId="11406224" w14:textId="77777777" w:rsidR="00DB7466" w:rsidRDefault="00DB7466" w:rsidP="00727452"/>
    <w:p w14:paraId="6E01C176" w14:textId="77777777" w:rsidR="00DB7466" w:rsidRDefault="00DB7466" w:rsidP="00676913"/>
    <w:p w14:paraId="5467C985" w14:textId="77777777" w:rsidR="00DB7466" w:rsidRDefault="00DB7466"/>
    <w:p w14:paraId="2CAAE4AF" w14:textId="77777777" w:rsidR="00DB7466" w:rsidRDefault="00DB7466" w:rsidP="0088433B"/>
    <w:p w14:paraId="3313E099" w14:textId="77777777" w:rsidR="00DB7466" w:rsidRDefault="00DB7466" w:rsidP="0088433B"/>
    <w:p w14:paraId="1C9C0AF3" w14:textId="77777777" w:rsidR="00DB7466" w:rsidRDefault="00DB7466" w:rsidP="00B005BD"/>
    <w:p w14:paraId="295CDD0D" w14:textId="77777777" w:rsidR="00DB7466" w:rsidRDefault="00DB7466" w:rsidP="00B005BD"/>
    <w:p w14:paraId="6A990E37" w14:textId="77777777" w:rsidR="00DB7466" w:rsidRDefault="00DB7466" w:rsidP="00FE1B67"/>
    <w:p w14:paraId="0CC353A9" w14:textId="77777777" w:rsidR="00DB7466" w:rsidRDefault="00DB7466" w:rsidP="00FE1B67"/>
    <w:p w14:paraId="3C6D41A7" w14:textId="77777777" w:rsidR="00DB7466" w:rsidRDefault="00DB7466" w:rsidP="00FE1B67"/>
    <w:p w14:paraId="467C738B" w14:textId="77777777" w:rsidR="00DB7466" w:rsidRDefault="00DB7466"/>
    <w:p w14:paraId="2F69671A" w14:textId="77777777" w:rsidR="00DB7466" w:rsidRDefault="00DB7466"/>
    <w:p w14:paraId="79A50E7C" w14:textId="77777777" w:rsidR="00DB7466" w:rsidRDefault="00DB7466"/>
    <w:p w14:paraId="4C29942C" w14:textId="77777777" w:rsidR="00DB7466" w:rsidRDefault="00DB7466" w:rsidP="00A25F00"/>
    <w:p w14:paraId="72262FD4" w14:textId="77777777" w:rsidR="00DB7466" w:rsidRDefault="00DB7466"/>
    <w:p w14:paraId="3E05BBAC" w14:textId="77777777" w:rsidR="00DB7466" w:rsidRDefault="00DB7466" w:rsidP="00C86149"/>
    <w:p w14:paraId="7CFD7F6F" w14:textId="77777777" w:rsidR="00DB7466" w:rsidRDefault="00DB7466"/>
    <w:p w14:paraId="240ED03E" w14:textId="77777777" w:rsidR="00DB7466" w:rsidRDefault="00DB7466" w:rsidP="00AE612D"/>
    <w:p w14:paraId="6757AB5E" w14:textId="77777777" w:rsidR="00DB7466" w:rsidRDefault="00DB7466" w:rsidP="008D16DA"/>
    <w:p w14:paraId="295634FA" w14:textId="77777777" w:rsidR="00DB7466" w:rsidRDefault="00DB7466" w:rsidP="008D16DA"/>
    <w:p w14:paraId="6B3B3003" w14:textId="77777777" w:rsidR="00DB7466" w:rsidRDefault="00DB7466" w:rsidP="008D16DA"/>
    <w:p w14:paraId="58ADD115" w14:textId="77777777" w:rsidR="00DB7466" w:rsidRDefault="00DB7466" w:rsidP="00221E03"/>
    <w:p w14:paraId="1F3B0559" w14:textId="77777777" w:rsidR="00DB7466" w:rsidRDefault="00DB7466"/>
    <w:p w14:paraId="3648DE55" w14:textId="77777777" w:rsidR="00DB7466" w:rsidRDefault="00DB7466"/>
    <w:p w14:paraId="248622CB" w14:textId="77777777" w:rsidR="00DB7466" w:rsidRDefault="00DB7466" w:rsidP="000B3880"/>
    <w:p w14:paraId="48F19D43" w14:textId="77777777" w:rsidR="00DB7466" w:rsidRDefault="00DB7466" w:rsidP="000B3880"/>
    <w:p w14:paraId="782AF32C" w14:textId="77777777" w:rsidR="00DB7466" w:rsidRDefault="00DB7466" w:rsidP="000B3880"/>
    <w:p w14:paraId="22BFC50A" w14:textId="77777777" w:rsidR="00DB7466" w:rsidRDefault="00DB7466" w:rsidP="00C61011"/>
    <w:p w14:paraId="31F6D365" w14:textId="77777777" w:rsidR="00DB7466" w:rsidRDefault="00DB7466"/>
    <w:p w14:paraId="65189D76" w14:textId="77777777" w:rsidR="00DB7466" w:rsidRDefault="00DB7466" w:rsidP="00442E09"/>
    <w:p w14:paraId="7C5D948D" w14:textId="77777777" w:rsidR="00DB7466" w:rsidRDefault="00DB7466"/>
    <w:p w14:paraId="2D18D983" w14:textId="77777777" w:rsidR="00DB7466" w:rsidRDefault="00DB7466" w:rsidP="002F2F0C"/>
    <w:p w14:paraId="2D5D4CD5" w14:textId="77777777" w:rsidR="00DB7466" w:rsidRDefault="00DB7466" w:rsidP="00035C0D"/>
    <w:p w14:paraId="6F5963D6" w14:textId="77777777" w:rsidR="00DB7466" w:rsidRDefault="00DB7466"/>
    <w:p w14:paraId="53580E7D" w14:textId="77777777" w:rsidR="00DB7466" w:rsidRDefault="00DB7466"/>
    <w:p w14:paraId="7430B416" w14:textId="77777777" w:rsidR="00DB7466" w:rsidRDefault="00DB7466" w:rsidP="00FC0786"/>
    <w:p w14:paraId="0B79B8AA" w14:textId="77777777" w:rsidR="00DB7466" w:rsidRDefault="00DB7466" w:rsidP="00FC0786"/>
    <w:p w14:paraId="57AE1139" w14:textId="77777777" w:rsidR="00DB7466" w:rsidRDefault="00DB7466" w:rsidP="00FC0786"/>
    <w:p w14:paraId="4BD78BC7" w14:textId="77777777" w:rsidR="00DB7466" w:rsidRDefault="00DB7466" w:rsidP="00FC0786"/>
    <w:p w14:paraId="271A237E" w14:textId="77777777" w:rsidR="00DB7466" w:rsidRDefault="00DB7466" w:rsidP="00FC0786"/>
    <w:p w14:paraId="30D05637" w14:textId="77777777" w:rsidR="00DB7466" w:rsidRDefault="00DB7466" w:rsidP="00FC0786"/>
    <w:p w14:paraId="438853B9" w14:textId="77777777" w:rsidR="00DB7466" w:rsidRDefault="00DB7466" w:rsidP="00FC0786"/>
    <w:p w14:paraId="6000AE95" w14:textId="77777777" w:rsidR="00DB7466" w:rsidRDefault="00DB7466" w:rsidP="00FC0786"/>
    <w:p w14:paraId="153663D2" w14:textId="77777777" w:rsidR="00DB7466" w:rsidRDefault="00DB7466" w:rsidP="00FC0786"/>
    <w:p w14:paraId="62A03306" w14:textId="77777777" w:rsidR="00DB7466" w:rsidRDefault="00DB7466" w:rsidP="00FC0786"/>
    <w:p w14:paraId="36D24ED0" w14:textId="77777777" w:rsidR="00DB7466" w:rsidRDefault="00DB7466" w:rsidP="00FC0786"/>
    <w:p w14:paraId="3D264F0A" w14:textId="77777777" w:rsidR="00DB7466" w:rsidRDefault="00DB7466" w:rsidP="00FC0786"/>
    <w:p w14:paraId="01B3056F" w14:textId="77777777" w:rsidR="00DB7466" w:rsidRDefault="00DB7466" w:rsidP="00FC0786"/>
    <w:p w14:paraId="4BE41BC9" w14:textId="77777777" w:rsidR="00DB7466" w:rsidRDefault="00DB7466" w:rsidP="00FC0786"/>
    <w:p w14:paraId="090ACB29" w14:textId="77777777" w:rsidR="00DB7466" w:rsidRDefault="00DB7466" w:rsidP="00FC0786"/>
    <w:p w14:paraId="7E20A5E7" w14:textId="77777777" w:rsidR="00DB7466" w:rsidRDefault="00DB7466" w:rsidP="00FC0786"/>
    <w:p w14:paraId="45899018" w14:textId="77777777" w:rsidR="00DB7466" w:rsidRDefault="00DB7466" w:rsidP="00884294"/>
    <w:p w14:paraId="4969C841" w14:textId="77777777" w:rsidR="00DB7466" w:rsidRDefault="00DB7466" w:rsidP="00115C61"/>
    <w:p w14:paraId="7A342FCA" w14:textId="77777777" w:rsidR="00DB7466" w:rsidRDefault="00DB7466" w:rsidP="00F21980"/>
    <w:p w14:paraId="3F1A51D8" w14:textId="77777777" w:rsidR="00DB7466" w:rsidRDefault="00DB7466"/>
    <w:p w14:paraId="6FC28FE0" w14:textId="77777777" w:rsidR="00DB7466" w:rsidRDefault="00DB7466" w:rsidP="004902EB"/>
    <w:p w14:paraId="16167E5C" w14:textId="77777777" w:rsidR="00DB7466" w:rsidRDefault="00DB7466" w:rsidP="00C165D6"/>
    <w:p w14:paraId="77FA5E2B" w14:textId="77777777" w:rsidR="00DB7466" w:rsidRDefault="00DB7466" w:rsidP="00C165D6"/>
    <w:p w14:paraId="5AFB9427" w14:textId="77777777" w:rsidR="00DB7466" w:rsidRDefault="00DB7466" w:rsidP="00D1652A"/>
    <w:p w14:paraId="006F71D1" w14:textId="77777777" w:rsidR="00DB7466" w:rsidRDefault="00DB7466"/>
    <w:p w14:paraId="4E6E03A4" w14:textId="77777777" w:rsidR="00DB7466" w:rsidRDefault="00DB7466"/>
    <w:p w14:paraId="6D8E8491" w14:textId="77777777" w:rsidR="00DB7466" w:rsidRDefault="00DB7466" w:rsidP="00665E23"/>
    <w:p w14:paraId="0F8099C0" w14:textId="77777777" w:rsidR="00DB7466" w:rsidRDefault="00DB7466" w:rsidP="00665E23"/>
    <w:p w14:paraId="539723F4" w14:textId="77777777" w:rsidR="00DB7466" w:rsidRDefault="00DB7466" w:rsidP="00665E23"/>
    <w:p w14:paraId="684B333C" w14:textId="77777777" w:rsidR="00DB7466" w:rsidRDefault="00DB7466"/>
    <w:p w14:paraId="27F97EB5" w14:textId="77777777" w:rsidR="00DB7466" w:rsidRDefault="00DB7466" w:rsidP="00FC625F"/>
    <w:p w14:paraId="297EAD89" w14:textId="77777777" w:rsidR="00DB7466" w:rsidRDefault="00DB7466" w:rsidP="00CD26FF"/>
    <w:p w14:paraId="7BD43B0E" w14:textId="77777777" w:rsidR="00DB7466" w:rsidRDefault="00DB7466" w:rsidP="005C0894"/>
    <w:p w14:paraId="17EA8392" w14:textId="77777777" w:rsidR="00DB7466" w:rsidRDefault="00DB7466" w:rsidP="005C0894"/>
    <w:p w14:paraId="1AC638B4" w14:textId="77777777" w:rsidR="00DB7466" w:rsidRDefault="00DB7466" w:rsidP="005C0894"/>
    <w:p w14:paraId="417A21DD" w14:textId="77777777" w:rsidR="00DB7466" w:rsidRDefault="00DB7466" w:rsidP="005C0894"/>
    <w:p w14:paraId="0571F846" w14:textId="77777777" w:rsidR="00DB7466" w:rsidRDefault="00DB7466" w:rsidP="005C0894"/>
    <w:p w14:paraId="004E58DF" w14:textId="77777777" w:rsidR="00DB7466" w:rsidRDefault="00DB7466" w:rsidP="005C0894"/>
    <w:p w14:paraId="58B40268" w14:textId="77777777" w:rsidR="00DB7466" w:rsidRDefault="00DB7466" w:rsidP="005C0894"/>
    <w:p w14:paraId="0CCD2DBF" w14:textId="77777777" w:rsidR="00DB7466" w:rsidRDefault="00DB7466" w:rsidP="005C0894"/>
    <w:p w14:paraId="3660B1B5" w14:textId="77777777" w:rsidR="00DB7466" w:rsidRDefault="00DB7466" w:rsidP="00EE7F1F"/>
    <w:p w14:paraId="368E44DF" w14:textId="77777777" w:rsidR="00DB7466" w:rsidRDefault="00DB7466" w:rsidP="00C6037F"/>
    <w:p w14:paraId="0AF4E9DE" w14:textId="77777777" w:rsidR="00DB7466" w:rsidRDefault="00DB7466" w:rsidP="00C6037F"/>
    <w:p w14:paraId="70BCAEBB" w14:textId="77777777" w:rsidR="00DB7466" w:rsidRDefault="00DB7466" w:rsidP="00C6037F"/>
    <w:p w14:paraId="118827E9" w14:textId="77777777" w:rsidR="00DB7466" w:rsidRDefault="00DB7466" w:rsidP="00C6037F"/>
    <w:p w14:paraId="2F6FBF62" w14:textId="77777777" w:rsidR="00DB7466" w:rsidRDefault="00DB7466" w:rsidP="00C6037F"/>
    <w:p w14:paraId="6D0DCCBE" w14:textId="77777777" w:rsidR="00DB7466" w:rsidRDefault="00DB7466" w:rsidP="00B8778C"/>
    <w:p w14:paraId="4574936D" w14:textId="77777777" w:rsidR="00DB7466" w:rsidRDefault="00DB7466" w:rsidP="00B8778C"/>
    <w:p w14:paraId="2448A6EC" w14:textId="77777777" w:rsidR="00DB7466" w:rsidRDefault="00DB7466" w:rsidP="00B8778C"/>
    <w:p w14:paraId="12387BE9" w14:textId="77777777" w:rsidR="00DB7466" w:rsidRDefault="00DB7466" w:rsidP="00B8778C"/>
    <w:p w14:paraId="1BF65AC2" w14:textId="77777777" w:rsidR="00DB7466" w:rsidRDefault="00DB7466" w:rsidP="00B8778C"/>
    <w:p w14:paraId="55049865" w14:textId="77777777" w:rsidR="00DB7466" w:rsidRDefault="00DB7466" w:rsidP="00B8778C"/>
    <w:p w14:paraId="2C574551" w14:textId="77777777" w:rsidR="00DB7466" w:rsidRDefault="00DB7466" w:rsidP="00B8778C"/>
    <w:p w14:paraId="2B0AFA1C" w14:textId="77777777" w:rsidR="00DB7466" w:rsidRDefault="00DB7466"/>
    <w:p w14:paraId="5F29DB29" w14:textId="77777777" w:rsidR="00DB7466" w:rsidRDefault="00DB7466" w:rsidP="00054EA8"/>
    <w:p w14:paraId="63C9AFAD" w14:textId="77777777" w:rsidR="00DB7466" w:rsidRDefault="00DB7466" w:rsidP="00054EA8"/>
    <w:p w14:paraId="4B655C62" w14:textId="77777777" w:rsidR="00DB7466" w:rsidRDefault="00DB7466" w:rsidP="009A1FE6"/>
    <w:p w14:paraId="0A9601F5" w14:textId="77777777" w:rsidR="00DB7466" w:rsidRDefault="00DB7466" w:rsidP="008508D9"/>
    <w:p w14:paraId="37D5CC20" w14:textId="77777777" w:rsidR="00DB7466" w:rsidRDefault="00DB7466" w:rsidP="002E3F59"/>
    <w:p w14:paraId="2004C357" w14:textId="77777777" w:rsidR="00DB7466" w:rsidRDefault="00DB7466" w:rsidP="003347C9"/>
    <w:p w14:paraId="71C6A0AB" w14:textId="77777777" w:rsidR="00DB7466" w:rsidRDefault="00DB7466" w:rsidP="00DB01F5"/>
    <w:p w14:paraId="6C0EA592" w14:textId="77777777" w:rsidR="00DB7466" w:rsidRDefault="00DB7466" w:rsidP="00816B51"/>
    <w:p w14:paraId="08F2D026" w14:textId="77777777" w:rsidR="00DB7466" w:rsidRDefault="00DB7466"/>
    <w:p w14:paraId="6627E9E4" w14:textId="77777777" w:rsidR="00DB7466" w:rsidRDefault="00DB7466"/>
    <w:p w14:paraId="2444B07D" w14:textId="77777777" w:rsidR="00DB7466" w:rsidRDefault="00DB7466" w:rsidP="00D26309"/>
    <w:p w14:paraId="7A336B05" w14:textId="77777777" w:rsidR="00DB7466" w:rsidRDefault="00DB7466" w:rsidP="00C2442C"/>
    <w:p w14:paraId="219DA730" w14:textId="77777777" w:rsidR="00DB7466" w:rsidRDefault="00DB7466"/>
    <w:p w14:paraId="3823A664" w14:textId="77777777" w:rsidR="00DB7466" w:rsidRDefault="00DB7466" w:rsidP="001361EB"/>
    <w:p w14:paraId="4AB32EE2" w14:textId="77777777" w:rsidR="00DB7466" w:rsidRDefault="00DB7466"/>
    <w:p w14:paraId="571A64CC" w14:textId="77777777" w:rsidR="00DB7466" w:rsidRDefault="00DB7466" w:rsidP="003159DE"/>
    <w:p w14:paraId="2A99D801" w14:textId="77777777" w:rsidR="00DB7466" w:rsidRDefault="00DB7466" w:rsidP="003159DE"/>
    <w:p w14:paraId="6B00556F" w14:textId="77777777" w:rsidR="00DB7466" w:rsidRDefault="00DB7466"/>
    <w:p w14:paraId="06DA7093" w14:textId="77777777" w:rsidR="00DB7466" w:rsidRDefault="00DB7466"/>
    <w:p w14:paraId="051D6497" w14:textId="77777777" w:rsidR="00DB7466" w:rsidRDefault="00DB7466"/>
    <w:p w14:paraId="53A89646" w14:textId="77777777" w:rsidR="00DB7466" w:rsidRDefault="00DB7466" w:rsidP="00071B02"/>
    <w:p w14:paraId="0599D5B9" w14:textId="77777777" w:rsidR="00DB7466" w:rsidRDefault="00DB7466" w:rsidP="00071B02"/>
    <w:p w14:paraId="79A8C8F6" w14:textId="77777777" w:rsidR="00DB7466" w:rsidRDefault="00DB7466"/>
    <w:p w14:paraId="37E85039" w14:textId="77777777" w:rsidR="00ED71D7" w:rsidRDefault="00ED71D7"/>
    <w:p w14:paraId="276E19A6" w14:textId="77777777" w:rsidR="00ED71D7" w:rsidRDefault="00ED71D7" w:rsidP="00D90A2B"/>
    <w:p w14:paraId="4BD9A006" w14:textId="77777777" w:rsidR="009248A6" w:rsidRDefault="009248A6"/>
    <w:p w14:paraId="5D7AAC49" w14:textId="77777777" w:rsidR="009248A6" w:rsidRDefault="009248A6" w:rsidP="005A34FE"/>
    <w:p w14:paraId="35519BE8" w14:textId="77777777" w:rsidR="009248A6" w:rsidRDefault="009248A6" w:rsidP="005125FE"/>
    <w:p w14:paraId="71D7B355" w14:textId="77777777" w:rsidR="009248A6" w:rsidRDefault="009248A6" w:rsidP="007D2527"/>
    <w:p w14:paraId="7C3792F8" w14:textId="77777777" w:rsidR="009248A6" w:rsidRDefault="009248A6" w:rsidP="00C61D7E"/>
  </w:endnote>
  <w:endnote w:type="continuationSeparator" w:id="0">
    <w:p w14:paraId="38752F3D" w14:textId="77777777" w:rsidR="00DB7466" w:rsidRDefault="00DB7466" w:rsidP="00AD4EA1">
      <w:r>
        <w:continuationSeparator/>
      </w:r>
    </w:p>
    <w:p w14:paraId="02A21B1E" w14:textId="77777777" w:rsidR="00DB7466" w:rsidRDefault="00DB7466" w:rsidP="00AD4EA1"/>
    <w:p w14:paraId="1FF70D37" w14:textId="77777777" w:rsidR="00DB7466" w:rsidRDefault="00DB7466" w:rsidP="00AD4EA1"/>
    <w:p w14:paraId="63C2BD1D" w14:textId="77777777" w:rsidR="00DB7466" w:rsidRDefault="00DB7466" w:rsidP="00AD4EA1"/>
    <w:p w14:paraId="40DDF2FA" w14:textId="77777777" w:rsidR="00DB7466" w:rsidRDefault="00DB7466" w:rsidP="00AD4EA1"/>
    <w:p w14:paraId="1DBF3AD0" w14:textId="77777777" w:rsidR="00DB7466" w:rsidRDefault="00DB7466" w:rsidP="00AD4EA1"/>
    <w:p w14:paraId="4C3FF6CF" w14:textId="77777777" w:rsidR="00DB7466" w:rsidRDefault="00DB7466" w:rsidP="00AD4EA1"/>
    <w:p w14:paraId="4CEC3459" w14:textId="77777777" w:rsidR="00DB7466" w:rsidRDefault="00DB7466" w:rsidP="00AD4EA1"/>
    <w:p w14:paraId="1CA1094F" w14:textId="77777777" w:rsidR="00DB7466" w:rsidRDefault="00DB7466" w:rsidP="00AD4EA1"/>
    <w:p w14:paraId="68EEE068" w14:textId="77777777" w:rsidR="00DB7466" w:rsidRDefault="00DB7466" w:rsidP="00AD4EA1"/>
    <w:p w14:paraId="2F23E547" w14:textId="77777777" w:rsidR="00DB7466" w:rsidRDefault="00DB7466" w:rsidP="00AD4EA1"/>
    <w:p w14:paraId="0F1F9310" w14:textId="77777777" w:rsidR="00DB7466" w:rsidRDefault="00DB7466" w:rsidP="00AD4EA1"/>
    <w:p w14:paraId="49597E1D" w14:textId="77777777" w:rsidR="00DB7466" w:rsidRDefault="00DB7466" w:rsidP="00AD4EA1"/>
    <w:p w14:paraId="09480C4F" w14:textId="77777777" w:rsidR="00DB7466" w:rsidRDefault="00DB7466" w:rsidP="00AD4EA1"/>
    <w:p w14:paraId="2C0CEA26" w14:textId="77777777" w:rsidR="00DB7466" w:rsidRDefault="00DB7466" w:rsidP="00AD4EA1"/>
    <w:p w14:paraId="067F772B" w14:textId="77777777" w:rsidR="00DB7466" w:rsidRDefault="00DB7466" w:rsidP="00AD4EA1"/>
    <w:p w14:paraId="630B6B69" w14:textId="77777777" w:rsidR="00DB7466" w:rsidRDefault="00DB7466" w:rsidP="00AD4EA1"/>
    <w:p w14:paraId="48247D3A" w14:textId="77777777" w:rsidR="00DB7466" w:rsidRDefault="00DB7466" w:rsidP="00AD4EA1"/>
    <w:p w14:paraId="3AE4EAFE" w14:textId="77777777" w:rsidR="00DB7466" w:rsidRDefault="00DB7466" w:rsidP="00AD4EA1"/>
    <w:p w14:paraId="7B17F2B4" w14:textId="77777777" w:rsidR="00DB7466" w:rsidRDefault="00DB7466" w:rsidP="00AD4EA1"/>
    <w:p w14:paraId="60C6DAD3" w14:textId="77777777" w:rsidR="00DB7466" w:rsidRDefault="00DB7466" w:rsidP="00AD4EA1"/>
    <w:p w14:paraId="47C5BF2C" w14:textId="77777777" w:rsidR="00DB7466" w:rsidRDefault="00DB7466" w:rsidP="00AD4EA1"/>
    <w:p w14:paraId="0843D1C1" w14:textId="77777777" w:rsidR="00DB7466" w:rsidRDefault="00DB7466" w:rsidP="00AD4EA1"/>
    <w:p w14:paraId="2CD299A1" w14:textId="77777777" w:rsidR="00DB7466" w:rsidRDefault="00DB7466" w:rsidP="00AD4EA1"/>
    <w:p w14:paraId="265C7807" w14:textId="77777777" w:rsidR="00DB7466" w:rsidRDefault="00DB7466" w:rsidP="00AD4EA1"/>
    <w:p w14:paraId="44756368" w14:textId="77777777" w:rsidR="00DB7466" w:rsidRDefault="00DB7466" w:rsidP="00AD4EA1"/>
    <w:p w14:paraId="667375D4" w14:textId="77777777" w:rsidR="00DB7466" w:rsidRDefault="00DB7466" w:rsidP="00AD4EA1"/>
    <w:p w14:paraId="767C392D" w14:textId="77777777" w:rsidR="00DB7466" w:rsidRDefault="00DB7466" w:rsidP="00AD4EA1"/>
    <w:p w14:paraId="16AA7A85" w14:textId="77777777" w:rsidR="00DB7466" w:rsidRDefault="00DB7466" w:rsidP="00AD4EA1"/>
    <w:p w14:paraId="252B0DDF" w14:textId="77777777" w:rsidR="00DB7466" w:rsidRDefault="00DB7466" w:rsidP="00AD4EA1"/>
    <w:p w14:paraId="7FBFD769" w14:textId="77777777" w:rsidR="00DB7466" w:rsidRDefault="00DB7466" w:rsidP="00AD4EA1"/>
    <w:p w14:paraId="7DB7C835" w14:textId="77777777" w:rsidR="00DB7466" w:rsidRDefault="00DB7466" w:rsidP="00AD4EA1"/>
    <w:p w14:paraId="0E889D35" w14:textId="77777777" w:rsidR="00DB7466" w:rsidRDefault="00DB7466" w:rsidP="00AD4EA1"/>
    <w:p w14:paraId="2A03A8C9" w14:textId="77777777" w:rsidR="00DB7466" w:rsidRDefault="00DB7466" w:rsidP="00AD4EA1"/>
    <w:p w14:paraId="696EF924" w14:textId="77777777" w:rsidR="00DB7466" w:rsidRDefault="00DB7466" w:rsidP="00AD4EA1"/>
    <w:p w14:paraId="6158B6EA" w14:textId="77777777" w:rsidR="00DB7466" w:rsidRDefault="00DB7466" w:rsidP="00AD4EA1"/>
    <w:p w14:paraId="236E0ADF" w14:textId="77777777" w:rsidR="00DB7466" w:rsidRDefault="00DB7466" w:rsidP="00AD4EA1"/>
    <w:p w14:paraId="4FA3DB03" w14:textId="77777777" w:rsidR="00DB7466" w:rsidRDefault="00DB7466" w:rsidP="00AD4EA1"/>
    <w:p w14:paraId="5C15DF4D" w14:textId="77777777" w:rsidR="00DB7466" w:rsidRDefault="00DB7466" w:rsidP="00AD4EA1"/>
    <w:p w14:paraId="4E246550" w14:textId="77777777" w:rsidR="00DB7466" w:rsidRDefault="00DB7466" w:rsidP="00AD4EA1"/>
    <w:p w14:paraId="654F8DD2" w14:textId="77777777" w:rsidR="00DB7466" w:rsidRDefault="00DB7466" w:rsidP="00AD4EA1"/>
    <w:p w14:paraId="38009060" w14:textId="77777777" w:rsidR="00DB7466" w:rsidRDefault="00DB7466" w:rsidP="00AD4EA1"/>
    <w:p w14:paraId="08AF799C" w14:textId="77777777" w:rsidR="00DB7466" w:rsidRDefault="00DB7466" w:rsidP="00AD4EA1"/>
    <w:p w14:paraId="4ED91B21" w14:textId="77777777" w:rsidR="00DB7466" w:rsidRDefault="00DB7466" w:rsidP="00AD4EA1"/>
    <w:p w14:paraId="79F2A96F" w14:textId="77777777" w:rsidR="00DB7466" w:rsidRDefault="00DB7466" w:rsidP="00AD4EA1"/>
    <w:p w14:paraId="6D5B0F77" w14:textId="77777777" w:rsidR="00DB7466" w:rsidRDefault="00DB7466" w:rsidP="00AD4EA1"/>
    <w:p w14:paraId="596D4A14" w14:textId="77777777" w:rsidR="00DB7466" w:rsidRDefault="00DB7466" w:rsidP="00AD4EA1"/>
    <w:p w14:paraId="50BFD93A" w14:textId="77777777" w:rsidR="00DB7466" w:rsidRDefault="00DB7466" w:rsidP="00AD4EA1"/>
    <w:p w14:paraId="6AFD587D" w14:textId="77777777" w:rsidR="00DB7466" w:rsidRDefault="00DB7466" w:rsidP="00AD4EA1"/>
    <w:p w14:paraId="1438AC1F" w14:textId="77777777" w:rsidR="00DB7466" w:rsidRDefault="00DB7466" w:rsidP="00AD4EA1"/>
    <w:p w14:paraId="5D2FECB7" w14:textId="77777777" w:rsidR="00DB7466" w:rsidRDefault="00DB7466" w:rsidP="00AD4EA1"/>
    <w:p w14:paraId="1298FEF3" w14:textId="77777777" w:rsidR="00DB7466" w:rsidRDefault="00DB7466" w:rsidP="00AD4EA1"/>
    <w:p w14:paraId="12797B49" w14:textId="77777777" w:rsidR="00DB7466" w:rsidRDefault="00DB7466" w:rsidP="00AD4EA1"/>
    <w:p w14:paraId="597B4C2D" w14:textId="77777777" w:rsidR="00DB7466" w:rsidRDefault="00DB7466" w:rsidP="00AD4EA1"/>
    <w:p w14:paraId="6A263E13" w14:textId="77777777" w:rsidR="00DB7466" w:rsidRDefault="00DB7466" w:rsidP="00AD4EA1"/>
    <w:p w14:paraId="5828560A" w14:textId="77777777" w:rsidR="00DB7466" w:rsidRDefault="00DB7466" w:rsidP="00AD4EA1"/>
    <w:p w14:paraId="1E799022" w14:textId="77777777" w:rsidR="00DB7466" w:rsidRDefault="00DB7466" w:rsidP="00AD4EA1"/>
    <w:p w14:paraId="389B1B4E" w14:textId="77777777" w:rsidR="00DB7466" w:rsidRDefault="00DB7466" w:rsidP="00AD4EA1"/>
    <w:p w14:paraId="31734698" w14:textId="77777777" w:rsidR="00DB7466" w:rsidRDefault="00DB7466" w:rsidP="00AD4EA1"/>
    <w:p w14:paraId="2E680518" w14:textId="77777777" w:rsidR="00DB7466" w:rsidRDefault="00DB7466" w:rsidP="00AD4EA1"/>
    <w:p w14:paraId="67983552" w14:textId="77777777" w:rsidR="00DB7466" w:rsidRDefault="00DB7466" w:rsidP="00AD4EA1"/>
    <w:p w14:paraId="55426F31" w14:textId="77777777" w:rsidR="00DB7466" w:rsidRDefault="00DB7466" w:rsidP="00AD4EA1"/>
    <w:p w14:paraId="70B093EC" w14:textId="77777777" w:rsidR="00DB7466" w:rsidRDefault="00DB7466" w:rsidP="00AD4EA1"/>
    <w:p w14:paraId="4127BEDE" w14:textId="77777777" w:rsidR="00DB7466" w:rsidRDefault="00DB7466" w:rsidP="00AD4EA1"/>
    <w:p w14:paraId="2CD2277C" w14:textId="77777777" w:rsidR="00DB7466" w:rsidRDefault="00DB7466" w:rsidP="00AD4EA1"/>
    <w:p w14:paraId="15419BE9" w14:textId="77777777" w:rsidR="00DB7466" w:rsidRDefault="00DB7466" w:rsidP="00AD4EA1"/>
    <w:p w14:paraId="110707A6" w14:textId="77777777" w:rsidR="00DB7466" w:rsidRDefault="00DB7466" w:rsidP="00AD4EA1"/>
    <w:p w14:paraId="55BD2227" w14:textId="77777777" w:rsidR="00DB7466" w:rsidRDefault="00DB7466" w:rsidP="00AD4EA1"/>
    <w:p w14:paraId="53D40A82" w14:textId="77777777" w:rsidR="00DB7466" w:rsidRDefault="00DB7466" w:rsidP="00AD4EA1"/>
    <w:p w14:paraId="08A3FCFD" w14:textId="77777777" w:rsidR="00DB7466" w:rsidRDefault="00DB7466" w:rsidP="00AD4EA1"/>
    <w:p w14:paraId="162D2EA2" w14:textId="77777777" w:rsidR="00DB7466" w:rsidRDefault="00DB7466" w:rsidP="00AD4EA1"/>
    <w:p w14:paraId="5E62C395" w14:textId="77777777" w:rsidR="00DB7466" w:rsidRDefault="00DB7466" w:rsidP="00AD4EA1"/>
    <w:p w14:paraId="0DF616F4" w14:textId="77777777" w:rsidR="00DB7466" w:rsidRDefault="00DB7466" w:rsidP="00AD4EA1"/>
    <w:p w14:paraId="34DB50BA" w14:textId="77777777" w:rsidR="00DB7466" w:rsidRDefault="00DB7466" w:rsidP="00AD4EA1"/>
    <w:p w14:paraId="5CB4D15A" w14:textId="77777777" w:rsidR="00DB7466" w:rsidRDefault="00DB7466" w:rsidP="00AD4EA1"/>
    <w:p w14:paraId="1FD0451C" w14:textId="77777777" w:rsidR="00DB7466" w:rsidRDefault="00DB7466" w:rsidP="00AD4EA1"/>
    <w:p w14:paraId="13F80DBB" w14:textId="77777777" w:rsidR="00DB7466" w:rsidRDefault="00DB7466" w:rsidP="00AD4EA1"/>
    <w:p w14:paraId="2E336825" w14:textId="77777777" w:rsidR="00DB7466" w:rsidRDefault="00DB7466" w:rsidP="00AD4EA1"/>
    <w:p w14:paraId="052F298A" w14:textId="77777777" w:rsidR="00DB7466" w:rsidRDefault="00DB7466" w:rsidP="00AD4EA1"/>
    <w:p w14:paraId="7D593B4A" w14:textId="77777777" w:rsidR="00DB7466" w:rsidRDefault="00DB7466" w:rsidP="00AD4EA1"/>
    <w:p w14:paraId="634493DF" w14:textId="77777777" w:rsidR="00DB7466" w:rsidRDefault="00DB7466" w:rsidP="00AD4EA1"/>
    <w:p w14:paraId="58E9B3F1" w14:textId="77777777" w:rsidR="00DB7466" w:rsidRDefault="00DB7466" w:rsidP="00AD4EA1"/>
    <w:p w14:paraId="18A90DE7" w14:textId="77777777" w:rsidR="00DB7466" w:rsidRDefault="00DB7466" w:rsidP="00AD4EA1"/>
    <w:p w14:paraId="2887193B" w14:textId="77777777" w:rsidR="00DB7466" w:rsidRDefault="00DB7466" w:rsidP="00AD4EA1"/>
    <w:p w14:paraId="61DFBCC1" w14:textId="77777777" w:rsidR="00DB7466" w:rsidRDefault="00DB7466" w:rsidP="00AD4EA1"/>
    <w:p w14:paraId="5F592D86" w14:textId="77777777" w:rsidR="00DB7466" w:rsidRDefault="00DB7466" w:rsidP="00AD4EA1"/>
    <w:p w14:paraId="7B345FB8" w14:textId="77777777" w:rsidR="00DB7466" w:rsidRDefault="00DB7466" w:rsidP="00AD4EA1"/>
    <w:p w14:paraId="23490138" w14:textId="77777777" w:rsidR="00DB7466" w:rsidRDefault="00DB7466" w:rsidP="00AD4EA1"/>
    <w:p w14:paraId="42C0800F" w14:textId="77777777" w:rsidR="00DB7466" w:rsidRDefault="00DB7466" w:rsidP="00AD4EA1"/>
    <w:p w14:paraId="6DFD9A8F" w14:textId="77777777" w:rsidR="00DB7466" w:rsidRDefault="00DB7466" w:rsidP="00AD4EA1"/>
    <w:p w14:paraId="351F5B5B" w14:textId="77777777" w:rsidR="00DB7466" w:rsidRDefault="00DB7466" w:rsidP="00AD4EA1"/>
    <w:p w14:paraId="0F009232" w14:textId="77777777" w:rsidR="00DB7466" w:rsidRDefault="00DB7466" w:rsidP="00AD4EA1"/>
    <w:p w14:paraId="23F53D5D" w14:textId="77777777" w:rsidR="00DB7466" w:rsidRDefault="00DB7466" w:rsidP="00AD4EA1"/>
    <w:p w14:paraId="123FF147" w14:textId="77777777" w:rsidR="00DB7466" w:rsidRDefault="00DB7466" w:rsidP="00AD4EA1"/>
    <w:p w14:paraId="3A17F820" w14:textId="77777777" w:rsidR="00DB7466" w:rsidRDefault="00DB7466" w:rsidP="00AD4EA1"/>
    <w:p w14:paraId="4496BA78" w14:textId="77777777" w:rsidR="00DB7466" w:rsidRDefault="00DB7466" w:rsidP="00AD4EA1"/>
    <w:p w14:paraId="657C5513" w14:textId="77777777" w:rsidR="00DB7466" w:rsidRDefault="00DB7466" w:rsidP="00AD4EA1"/>
    <w:p w14:paraId="6DD89EAE" w14:textId="77777777" w:rsidR="00DB7466" w:rsidRDefault="00DB7466" w:rsidP="00AD4EA1"/>
    <w:p w14:paraId="2A4C5ED1" w14:textId="77777777" w:rsidR="00DB7466" w:rsidRDefault="00DB7466" w:rsidP="00AD4EA1"/>
    <w:p w14:paraId="4EDE3717" w14:textId="77777777" w:rsidR="00DB7466" w:rsidRDefault="00DB7466" w:rsidP="00AD4EA1"/>
    <w:p w14:paraId="3DF44BEA" w14:textId="77777777" w:rsidR="00DB7466" w:rsidRDefault="00DB7466" w:rsidP="00AD4EA1"/>
    <w:p w14:paraId="601132B0" w14:textId="77777777" w:rsidR="00DB7466" w:rsidRDefault="00DB7466" w:rsidP="00AD4EA1"/>
    <w:p w14:paraId="0ED26C3F" w14:textId="77777777" w:rsidR="00DB7466" w:rsidRDefault="00DB7466" w:rsidP="00AD4EA1"/>
    <w:p w14:paraId="398F6C5A" w14:textId="77777777" w:rsidR="00DB7466" w:rsidRDefault="00DB7466" w:rsidP="00AD4EA1"/>
    <w:p w14:paraId="4E3C8CC4" w14:textId="77777777" w:rsidR="00DB7466" w:rsidRDefault="00DB7466" w:rsidP="00AD4EA1"/>
    <w:p w14:paraId="03F10D67" w14:textId="77777777" w:rsidR="00DB7466" w:rsidRDefault="00DB7466" w:rsidP="00AD4EA1"/>
    <w:p w14:paraId="519BE5DC" w14:textId="77777777" w:rsidR="00DB7466" w:rsidRDefault="00DB7466" w:rsidP="00AD4EA1"/>
    <w:p w14:paraId="64CE00A9" w14:textId="77777777" w:rsidR="00DB7466" w:rsidRDefault="00DB7466" w:rsidP="00AD4EA1"/>
    <w:p w14:paraId="4DFC4822" w14:textId="77777777" w:rsidR="00DB7466" w:rsidRDefault="00DB7466" w:rsidP="00AD4EA1"/>
    <w:p w14:paraId="62681A0A" w14:textId="77777777" w:rsidR="00DB7466" w:rsidRDefault="00DB7466" w:rsidP="00AD4EA1"/>
    <w:p w14:paraId="4EBBDBBB" w14:textId="77777777" w:rsidR="00DB7466" w:rsidRDefault="00DB7466" w:rsidP="00AD4EA1"/>
    <w:p w14:paraId="17E97691" w14:textId="77777777" w:rsidR="00DB7466" w:rsidRDefault="00DB7466" w:rsidP="00AD4EA1"/>
    <w:p w14:paraId="72766626" w14:textId="77777777" w:rsidR="00DB7466" w:rsidRDefault="00DB7466" w:rsidP="00AD4EA1"/>
    <w:p w14:paraId="4339B8F7" w14:textId="77777777" w:rsidR="00DB7466" w:rsidRDefault="00DB7466" w:rsidP="00AD4EA1"/>
    <w:p w14:paraId="1879AAA2" w14:textId="77777777" w:rsidR="00DB7466" w:rsidRDefault="00DB7466" w:rsidP="00AD4EA1"/>
    <w:p w14:paraId="0E93C699" w14:textId="77777777" w:rsidR="00DB7466" w:rsidRDefault="00DB7466" w:rsidP="00AD4EA1"/>
    <w:p w14:paraId="56368278" w14:textId="77777777" w:rsidR="00DB7466" w:rsidRDefault="00DB7466" w:rsidP="00AD4EA1"/>
    <w:p w14:paraId="043819DA" w14:textId="77777777" w:rsidR="00DB7466" w:rsidRDefault="00DB7466" w:rsidP="00AD4EA1"/>
    <w:p w14:paraId="77447504" w14:textId="77777777" w:rsidR="00DB7466" w:rsidRDefault="00DB7466" w:rsidP="00AD4EA1"/>
    <w:p w14:paraId="184A1CD5" w14:textId="77777777" w:rsidR="00DB7466" w:rsidRDefault="00DB7466" w:rsidP="00AD4EA1"/>
    <w:p w14:paraId="6E40CCF3" w14:textId="77777777" w:rsidR="00DB7466" w:rsidRDefault="00DB7466" w:rsidP="00AD4EA1"/>
    <w:p w14:paraId="4703819C" w14:textId="77777777" w:rsidR="00DB7466" w:rsidRDefault="00DB7466" w:rsidP="00AD4EA1"/>
    <w:p w14:paraId="6C9016E9" w14:textId="77777777" w:rsidR="00DB7466" w:rsidRDefault="00DB7466" w:rsidP="00AD4EA1"/>
    <w:p w14:paraId="6ECBCF4B" w14:textId="77777777" w:rsidR="00DB7466" w:rsidRDefault="00DB7466" w:rsidP="00AD4EA1"/>
    <w:p w14:paraId="1BDC6AC2" w14:textId="77777777" w:rsidR="00DB7466" w:rsidRDefault="00DB7466" w:rsidP="00AD4EA1"/>
    <w:p w14:paraId="71F8475A" w14:textId="77777777" w:rsidR="00DB7466" w:rsidRDefault="00DB7466" w:rsidP="00AD4EA1"/>
    <w:p w14:paraId="5CD62E58" w14:textId="77777777" w:rsidR="00DB7466" w:rsidRDefault="00DB7466" w:rsidP="00AD4EA1"/>
    <w:p w14:paraId="1FBCE07B" w14:textId="77777777" w:rsidR="00DB7466" w:rsidRDefault="00DB7466" w:rsidP="00AD4EA1"/>
    <w:p w14:paraId="2BFC817D" w14:textId="77777777" w:rsidR="00DB7466" w:rsidRDefault="00DB7466" w:rsidP="00AD4EA1"/>
    <w:p w14:paraId="110051BC" w14:textId="77777777" w:rsidR="00DB7466" w:rsidRDefault="00DB7466" w:rsidP="00AD4EA1"/>
    <w:p w14:paraId="544C4B0C" w14:textId="77777777" w:rsidR="00DB7466" w:rsidRDefault="00DB7466" w:rsidP="00AD4EA1"/>
    <w:p w14:paraId="0DE7FC94" w14:textId="77777777" w:rsidR="00DB7466" w:rsidRDefault="00DB7466" w:rsidP="00AD4EA1"/>
    <w:p w14:paraId="17D17EDA" w14:textId="77777777" w:rsidR="00DB7466" w:rsidRDefault="00DB7466" w:rsidP="00AD4EA1"/>
    <w:p w14:paraId="5AFC36CD" w14:textId="77777777" w:rsidR="00DB7466" w:rsidRDefault="00DB7466" w:rsidP="00AD4EA1"/>
    <w:p w14:paraId="18CF4CDD" w14:textId="77777777" w:rsidR="00DB7466" w:rsidRDefault="00DB7466" w:rsidP="00AD4EA1"/>
    <w:p w14:paraId="63C46D76" w14:textId="77777777" w:rsidR="00DB7466" w:rsidRDefault="00DB7466" w:rsidP="00AD4EA1"/>
    <w:p w14:paraId="01A82408" w14:textId="77777777" w:rsidR="00DB7466" w:rsidRDefault="00DB7466" w:rsidP="00AD4EA1"/>
    <w:p w14:paraId="2A7B0A6B" w14:textId="77777777" w:rsidR="00DB7466" w:rsidRDefault="00DB7466" w:rsidP="00AD4EA1"/>
    <w:p w14:paraId="4D4B7799" w14:textId="77777777" w:rsidR="00DB7466" w:rsidRDefault="00DB7466" w:rsidP="00AD4EA1"/>
    <w:p w14:paraId="63380DEC" w14:textId="77777777" w:rsidR="00DB7466" w:rsidRDefault="00DB7466" w:rsidP="00AD4EA1"/>
    <w:p w14:paraId="787AF717" w14:textId="77777777" w:rsidR="00DB7466" w:rsidRDefault="00DB7466" w:rsidP="00AD4EA1"/>
    <w:p w14:paraId="20661DD3" w14:textId="77777777" w:rsidR="00DB7466" w:rsidRDefault="00DB7466" w:rsidP="00AD4EA1"/>
    <w:p w14:paraId="0892F3DC" w14:textId="77777777" w:rsidR="00DB7466" w:rsidRDefault="00DB7466" w:rsidP="00AD4EA1"/>
    <w:p w14:paraId="08A1E7FC" w14:textId="77777777" w:rsidR="00DB7466" w:rsidRDefault="00DB7466" w:rsidP="00AD4EA1"/>
    <w:p w14:paraId="464D76B4" w14:textId="77777777" w:rsidR="00DB7466" w:rsidRDefault="00DB7466" w:rsidP="00AD4EA1"/>
    <w:p w14:paraId="24CFAE29" w14:textId="77777777" w:rsidR="00DB7466" w:rsidRDefault="00DB7466" w:rsidP="00AD4EA1"/>
    <w:p w14:paraId="4E591B68" w14:textId="77777777" w:rsidR="00DB7466" w:rsidRDefault="00DB7466" w:rsidP="00AD4EA1"/>
    <w:p w14:paraId="4B7D4DAE" w14:textId="77777777" w:rsidR="00DB7466" w:rsidRDefault="00DB7466" w:rsidP="00AD4EA1"/>
    <w:p w14:paraId="2119F171" w14:textId="77777777" w:rsidR="00DB7466" w:rsidRDefault="00DB7466" w:rsidP="00AD4EA1"/>
    <w:p w14:paraId="7B503EBC" w14:textId="77777777" w:rsidR="00DB7466" w:rsidRDefault="00DB7466" w:rsidP="00AD4EA1"/>
    <w:p w14:paraId="5083A576" w14:textId="77777777" w:rsidR="00DB7466" w:rsidRDefault="00DB7466" w:rsidP="00AD4EA1"/>
    <w:p w14:paraId="656F80BF" w14:textId="77777777" w:rsidR="00DB7466" w:rsidRDefault="00DB7466" w:rsidP="00AD4EA1"/>
    <w:p w14:paraId="01AB1A46" w14:textId="77777777" w:rsidR="00DB7466" w:rsidRDefault="00DB7466" w:rsidP="00AD4EA1"/>
    <w:p w14:paraId="1C1B9EB6" w14:textId="77777777" w:rsidR="00DB7466" w:rsidRDefault="00DB7466" w:rsidP="00AD4EA1"/>
    <w:p w14:paraId="6AA47732" w14:textId="77777777" w:rsidR="00DB7466" w:rsidRDefault="00DB7466" w:rsidP="00AD4EA1"/>
    <w:p w14:paraId="427DAA28" w14:textId="77777777" w:rsidR="00DB7466" w:rsidRDefault="00DB7466" w:rsidP="00AD4EA1"/>
    <w:p w14:paraId="69F59712" w14:textId="77777777" w:rsidR="00DB7466" w:rsidRDefault="00DB7466" w:rsidP="00AD4EA1"/>
    <w:p w14:paraId="0DB185E1" w14:textId="77777777" w:rsidR="00DB7466" w:rsidRDefault="00DB7466" w:rsidP="00AD4EA1"/>
    <w:p w14:paraId="6E69B146" w14:textId="77777777" w:rsidR="00DB7466" w:rsidRDefault="00DB7466" w:rsidP="00AD4EA1"/>
    <w:p w14:paraId="67C2AE88" w14:textId="77777777" w:rsidR="00DB7466" w:rsidRDefault="00DB7466" w:rsidP="00AD4EA1"/>
    <w:p w14:paraId="32AE8B06" w14:textId="77777777" w:rsidR="00DB7466" w:rsidRDefault="00DB7466" w:rsidP="00AD4EA1"/>
    <w:p w14:paraId="6D182311" w14:textId="77777777" w:rsidR="00DB7466" w:rsidRDefault="00DB7466" w:rsidP="00AD4EA1"/>
    <w:p w14:paraId="520644BA" w14:textId="77777777" w:rsidR="00DB7466" w:rsidRDefault="00DB7466" w:rsidP="00AD4EA1"/>
    <w:p w14:paraId="55876FA8" w14:textId="77777777" w:rsidR="00DB7466" w:rsidRDefault="00DB7466" w:rsidP="00AD4EA1"/>
    <w:p w14:paraId="47D362F0" w14:textId="77777777" w:rsidR="00DB7466" w:rsidRDefault="00DB7466" w:rsidP="00AD4EA1"/>
    <w:p w14:paraId="1387620A" w14:textId="77777777" w:rsidR="00DB7466" w:rsidRDefault="00DB7466" w:rsidP="00AD4EA1"/>
    <w:p w14:paraId="4BC8CCBC" w14:textId="77777777" w:rsidR="00DB7466" w:rsidRDefault="00DB7466" w:rsidP="00AD4EA1"/>
    <w:p w14:paraId="71631D7D" w14:textId="77777777" w:rsidR="00DB7466" w:rsidRDefault="00DB7466" w:rsidP="00AD4EA1"/>
    <w:p w14:paraId="026F3269" w14:textId="77777777" w:rsidR="00DB7466" w:rsidRDefault="00DB7466" w:rsidP="00AD4EA1"/>
    <w:p w14:paraId="7EED8C21" w14:textId="77777777" w:rsidR="00DB7466" w:rsidRDefault="00DB7466" w:rsidP="00AD4EA1"/>
    <w:p w14:paraId="7A25D1B6" w14:textId="77777777" w:rsidR="00DB7466" w:rsidRDefault="00DB7466" w:rsidP="00AD4EA1"/>
    <w:p w14:paraId="17EB307A" w14:textId="77777777" w:rsidR="00DB7466" w:rsidRDefault="00DB7466" w:rsidP="00AD4EA1"/>
    <w:p w14:paraId="34AF6774" w14:textId="77777777" w:rsidR="00DB7466" w:rsidRDefault="00DB7466" w:rsidP="00AD4EA1"/>
    <w:p w14:paraId="48208A48" w14:textId="77777777" w:rsidR="00DB7466" w:rsidRDefault="00DB7466" w:rsidP="00AD4EA1"/>
    <w:p w14:paraId="2365CE64" w14:textId="77777777" w:rsidR="00DB7466" w:rsidRDefault="00DB7466" w:rsidP="00AD4EA1"/>
    <w:p w14:paraId="13AB8AD4" w14:textId="77777777" w:rsidR="00DB7466" w:rsidRDefault="00DB7466" w:rsidP="00AD4EA1"/>
    <w:p w14:paraId="36F998D8" w14:textId="77777777" w:rsidR="00DB7466" w:rsidRDefault="00DB7466" w:rsidP="00AD4EA1"/>
    <w:p w14:paraId="2069684B" w14:textId="77777777" w:rsidR="00DB7466" w:rsidRDefault="00DB7466" w:rsidP="00AD4EA1"/>
    <w:p w14:paraId="06D2C636" w14:textId="77777777" w:rsidR="00DB7466" w:rsidRDefault="00DB7466" w:rsidP="00AD4EA1"/>
    <w:p w14:paraId="5F0ACB99" w14:textId="77777777" w:rsidR="00DB7466" w:rsidRDefault="00DB7466" w:rsidP="00AD4EA1"/>
    <w:p w14:paraId="3C319F73" w14:textId="77777777" w:rsidR="00DB7466" w:rsidRDefault="00DB7466" w:rsidP="00AD4EA1"/>
    <w:p w14:paraId="56BEC3B6" w14:textId="77777777" w:rsidR="00DB7466" w:rsidRDefault="00DB7466" w:rsidP="00AD4EA1"/>
    <w:p w14:paraId="6F66FB26" w14:textId="77777777" w:rsidR="00DB7466" w:rsidRDefault="00DB7466" w:rsidP="00AD4EA1"/>
    <w:p w14:paraId="5CBDDF6F" w14:textId="77777777" w:rsidR="00DB7466" w:rsidRDefault="00DB7466" w:rsidP="00AD4EA1"/>
    <w:p w14:paraId="7B317E43" w14:textId="77777777" w:rsidR="00DB7466" w:rsidRDefault="00DB7466" w:rsidP="00AD4EA1"/>
    <w:p w14:paraId="34C5C17C" w14:textId="77777777" w:rsidR="00DB7466" w:rsidRDefault="00DB7466" w:rsidP="00AD4EA1"/>
    <w:p w14:paraId="219C7051" w14:textId="77777777" w:rsidR="00DB7466" w:rsidRDefault="00DB7466" w:rsidP="00AD4EA1"/>
    <w:p w14:paraId="098D84BB" w14:textId="77777777" w:rsidR="00DB7466" w:rsidRDefault="00DB7466" w:rsidP="00AD4EA1"/>
    <w:p w14:paraId="1529C158" w14:textId="77777777" w:rsidR="00DB7466" w:rsidRDefault="00DB7466" w:rsidP="00AD4EA1"/>
    <w:p w14:paraId="7DEB046A" w14:textId="77777777" w:rsidR="00DB7466" w:rsidRDefault="00DB7466" w:rsidP="00AD4EA1"/>
    <w:p w14:paraId="3C15403B" w14:textId="77777777" w:rsidR="00DB7466" w:rsidRDefault="00DB7466" w:rsidP="00AD4EA1"/>
    <w:p w14:paraId="164DFCAA" w14:textId="77777777" w:rsidR="00DB7466" w:rsidRDefault="00DB7466" w:rsidP="00AD4EA1"/>
    <w:p w14:paraId="48E2C872" w14:textId="77777777" w:rsidR="00DB7466" w:rsidRDefault="00DB7466" w:rsidP="00AD4EA1"/>
    <w:p w14:paraId="3F308A37" w14:textId="77777777" w:rsidR="00DB7466" w:rsidRDefault="00DB7466" w:rsidP="00AD4EA1"/>
    <w:p w14:paraId="443340CA" w14:textId="77777777" w:rsidR="00DB7466" w:rsidRDefault="00DB7466" w:rsidP="00AD4EA1"/>
    <w:p w14:paraId="7D4952EE" w14:textId="77777777" w:rsidR="00DB7466" w:rsidRDefault="00DB7466" w:rsidP="00AD4EA1"/>
    <w:p w14:paraId="00FF7498" w14:textId="77777777" w:rsidR="00DB7466" w:rsidRDefault="00DB7466" w:rsidP="00AD4EA1"/>
    <w:p w14:paraId="63288FB5" w14:textId="77777777" w:rsidR="00DB7466" w:rsidRDefault="00DB7466" w:rsidP="00AD4EA1"/>
    <w:p w14:paraId="261DFE34" w14:textId="77777777" w:rsidR="00DB7466" w:rsidRDefault="00DB7466" w:rsidP="00AD4EA1"/>
    <w:p w14:paraId="67ADE1F6" w14:textId="77777777" w:rsidR="00DB7466" w:rsidRDefault="00DB7466" w:rsidP="00AD4EA1"/>
    <w:p w14:paraId="14C288BD" w14:textId="77777777" w:rsidR="00DB7466" w:rsidRDefault="00DB7466" w:rsidP="00AD4EA1"/>
    <w:p w14:paraId="0604837F" w14:textId="77777777" w:rsidR="00DB7466" w:rsidRDefault="00DB7466" w:rsidP="00AD4EA1"/>
    <w:p w14:paraId="76354187" w14:textId="77777777" w:rsidR="00DB7466" w:rsidRDefault="00DB7466" w:rsidP="00AD4EA1"/>
    <w:p w14:paraId="741FC031" w14:textId="77777777" w:rsidR="00DB7466" w:rsidRDefault="00DB7466" w:rsidP="00AD4EA1"/>
    <w:p w14:paraId="011D043A" w14:textId="77777777" w:rsidR="00DB7466" w:rsidRDefault="00DB7466" w:rsidP="00AD4EA1"/>
    <w:p w14:paraId="5137D240" w14:textId="77777777" w:rsidR="00DB7466" w:rsidRDefault="00DB7466" w:rsidP="00AD4EA1"/>
    <w:p w14:paraId="6589CF65" w14:textId="77777777" w:rsidR="00DB7466" w:rsidRDefault="00DB7466" w:rsidP="00AD4EA1"/>
    <w:p w14:paraId="72E63B71" w14:textId="77777777" w:rsidR="00DB7466" w:rsidRDefault="00DB7466" w:rsidP="00AD4EA1"/>
    <w:p w14:paraId="05835185" w14:textId="77777777" w:rsidR="00DB7466" w:rsidRDefault="00DB7466" w:rsidP="00AD4EA1"/>
    <w:p w14:paraId="19DB0B59" w14:textId="77777777" w:rsidR="00DB7466" w:rsidRDefault="00DB7466" w:rsidP="00AD4EA1"/>
    <w:p w14:paraId="034F195F" w14:textId="77777777" w:rsidR="00DB7466" w:rsidRDefault="00DB7466" w:rsidP="00AD4EA1"/>
    <w:p w14:paraId="0C8D024B" w14:textId="77777777" w:rsidR="00DB7466" w:rsidRDefault="00DB7466" w:rsidP="00AD4EA1"/>
    <w:p w14:paraId="189DB43E" w14:textId="77777777" w:rsidR="00DB7466" w:rsidRDefault="00DB7466" w:rsidP="00AD4EA1"/>
    <w:p w14:paraId="75187372" w14:textId="77777777" w:rsidR="00DB7466" w:rsidRDefault="00DB7466" w:rsidP="00AD4EA1"/>
    <w:p w14:paraId="4611D190" w14:textId="77777777" w:rsidR="00DB7466" w:rsidRDefault="00DB7466" w:rsidP="00AD4EA1"/>
    <w:p w14:paraId="34A16E2F" w14:textId="77777777" w:rsidR="00DB7466" w:rsidRDefault="00DB7466" w:rsidP="00AD4EA1"/>
    <w:p w14:paraId="300CD7FE" w14:textId="77777777" w:rsidR="00DB7466" w:rsidRDefault="00DB7466" w:rsidP="00AD4EA1"/>
    <w:p w14:paraId="77C6F9B8" w14:textId="77777777" w:rsidR="00DB7466" w:rsidRDefault="00DB7466" w:rsidP="00AD4EA1"/>
    <w:p w14:paraId="27670EDE" w14:textId="77777777" w:rsidR="00DB7466" w:rsidRDefault="00DB7466" w:rsidP="00AD4EA1"/>
    <w:p w14:paraId="37B21A6A" w14:textId="77777777" w:rsidR="00DB7466" w:rsidRDefault="00DB7466" w:rsidP="00AD4EA1"/>
    <w:p w14:paraId="46AC1E16" w14:textId="77777777" w:rsidR="00DB7466" w:rsidRDefault="00DB7466" w:rsidP="00AD4EA1"/>
    <w:p w14:paraId="540B1A11" w14:textId="77777777" w:rsidR="00DB7466" w:rsidRDefault="00DB7466" w:rsidP="00AD4EA1"/>
    <w:p w14:paraId="48F3E37B" w14:textId="77777777" w:rsidR="00DB7466" w:rsidRDefault="00DB7466" w:rsidP="00AD4EA1"/>
    <w:p w14:paraId="4F6AAF56" w14:textId="77777777" w:rsidR="00DB7466" w:rsidRDefault="00DB7466" w:rsidP="00AD4EA1"/>
    <w:p w14:paraId="4AD56549" w14:textId="77777777" w:rsidR="00DB7466" w:rsidRDefault="00DB7466" w:rsidP="00AD4EA1"/>
    <w:p w14:paraId="779B82B3" w14:textId="77777777" w:rsidR="00DB7466" w:rsidRDefault="00DB7466" w:rsidP="00AD4EA1"/>
    <w:p w14:paraId="23F1FD6C" w14:textId="77777777" w:rsidR="00DB7466" w:rsidRDefault="00DB7466" w:rsidP="00AD4EA1"/>
    <w:p w14:paraId="1593DD65" w14:textId="77777777" w:rsidR="00DB7466" w:rsidRDefault="00DB7466" w:rsidP="00AD4EA1"/>
    <w:p w14:paraId="64A13844" w14:textId="77777777" w:rsidR="00DB7466" w:rsidRDefault="00DB7466" w:rsidP="00AD4EA1"/>
    <w:p w14:paraId="17F87AF9" w14:textId="77777777" w:rsidR="00DB7466" w:rsidRDefault="00DB7466" w:rsidP="00AD4EA1"/>
    <w:p w14:paraId="32925602" w14:textId="77777777" w:rsidR="00DB7466" w:rsidRDefault="00DB7466" w:rsidP="00AD4EA1"/>
    <w:p w14:paraId="32FA635E" w14:textId="77777777" w:rsidR="00DB7466" w:rsidRDefault="00DB7466" w:rsidP="00AD4EA1"/>
    <w:p w14:paraId="4AC2E26B" w14:textId="77777777" w:rsidR="00DB7466" w:rsidRDefault="00DB7466" w:rsidP="00AD4EA1"/>
    <w:p w14:paraId="3174F179" w14:textId="77777777" w:rsidR="00DB7466" w:rsidRDefault="00DB7466" w:rsidP="00AD4EA1"/>
    <w:p w14:paraId="6E60772F" w14:textId="77777777" w:rsidR="00DB7466" w:rsidRDefault="00DB7466" w:rsidP="00AD4EA1"/>
    <w:p w14:paraId="05C94A2D" w14:textId="77777777" w:rsidR="00DB7466" w:rsidRDefault="00DB7466" w:rsidP="00AD4EA1"/>
    <w:p w14:paraId="162F5CD1" w14:textId="77777777" w:rsidR="00DB7466" w:rsidRDefault="00DB7466" w:rsidP="00AD4EA1"/>
    <w:p w14:paraId="320887CE" w14:textId="77777777" w:rsidR="00DB7466" w:rsidRDefault="00DB7466" w:rsidP="00AD4EA1"/>
    <w:p w14:paraId="0C4EC76D" w14:textId="77777777" w:rsidR="00DB7466" w:rsidRDefault="00DB7466" w:rsidP="00AD4EA1"/>
    <w:p w14:paraId="45454F0E" w14:textId="77777777" w:rsidR="00DB7466" w:rsidRDefault="00DB7466" w:rsidP="00AD4EA1"/>
    <w:p w14:paraId="0EF6973E" w14:textId="77777777" w:rsidR="00DB7466" w:rsidRDefault="00DB7466" w:rsidP="00AD4EA1"/>
    <w:p w14:paraId="2514E01F" w14:textId="77777777" w:rsidR="00DB7466" w:rsidRDefault="00DB7466" w:rsidP="00AD4EA1"/>
    <w:p w14:paraId="2CE6BA63" w14:textId="77777777" w:rsidR="00DB7466" w:rsidRDefault="00DB7466" w:rsidP="00AD4EA1"/>
    <w:p w14:paraId="2A89397D" w14:textId="77777777" w:rsidR="00DB7466" w:rsidRDefault="00DB7466" w:rsidP="00AD4EA1"/>
    <w:p w14:paraId="6D6F3BDC" w14:textId="77777777" w:rsidR="00DB7466" w:rsidRDefault="00DB7466" w:rsidP="00AD4EA1"/>
    <w:p w14:paraId="5F5863C0" w14:textId="77777777" w:rsidR="00DB7466" w:rsidRDefault="00DB7466" w:rsidP="00AD4EA1"/>
    <w:p w14:paraId="5CF7AE44" w14:textId="77777777" w:rsidR="00DB7466" w:rsidRDefault="00DB7466" w:rsidP="00AD4EA1"/>
    <w:p w14:paraId="24E547AA" w14:textId="77777777" w:rsidR="00DB7466" w:rsidRDefault="00DB7466" w:rsidP="00AD4EA1"/>
    <w:p w14:paraId="0AFAF9E3" w14:textId="77777777" w:rsidR="00DB7466" w:rsidRDefault="00DB7466" w:rsidP="00AD4EA1"/>
    <w:p w14:paraId="5951249F" w14:textId="77777777" w:rsidR="00DB7466" w:rsidRDefault="00DB7466" w:rsidP="00AD4EA1"/>
    <w:p w14:paraId="18F6D995" w14:textId="77777777" w:rsidR="00DB7466" w:rsidRDefault="00DB7466" w:rsidP="00AD4EA1"/>
    <w:p w14:paraId="5105D93B" w14:textId="77777777" w:rsidR="00DB7466" w:rsidRDefault="00DB7466" w:rsidP="00AD4EA1"/>
    <w:p w14:paraId="686B9DCC" w14:textId="77777777" w:rsidR="00DB7466" w:rsidRDefault="00DB7466" w:rsidP="00AD4EA1"/>
    <w:p w14:paraId="0391947F" w14:textId="77777777" w:rsidR="00DB7466" w:rsidRDefault="00DB7466" w:rsidP="00AD4EA1"/>
    <w:p w14:paraId="02FA8982" w14:textId="77777777" w:rsidR="00DB7466" w:rsidRDefault="00DB7466" w:rsidP="00AD4EA1"/>
    <w:p w14:paraId="6079EAA2" w14:textId="77777777" w:rsidR="00DB7466" w:rsidRDefault="00DB7466" w:rsidP="00AD4EA1"/>
    <w:p w14:paraId="402B41B7" w14:textId="77777777" w:rsidR="00DB7466" w:rsidRDefault="00DB7466" w:rsidP="00AD4EA1"/>
    <w:p w14:paraId="5684D36F" w14:textId="77777777" w:rsidR="00DB7466" w:rsidRDefault="00DB7466" w:rsidP="00AD4EA1"/>
    <w:p w14:paraId="40B02DE1" w14:textId="77777777" w:rsidR="00DB7466" w:rsidRDefault="00DB7466" w:rsidP="00AD4EA1"/>
    <w:p w14:paraId="41DCE170" w14:textId="77777777" w:rsidR="00DB7466" w:rsidRDefault="00DB7466" w:rsidP="00AD4EA1"/>
    <w:p w14:paraId="51C15137" w14:textId="77777777" w:rsidR="00DB7466" w:rsidRDefault="00DB7466" w:rsidP="00AD4EA1"/>
    <w:p w14:paraId="0055886C" w14:textId="77777777" w:rsidR="00DB7466" w:rsidRDefault="00DB7466" w:rsidP="00AD4EA1"/>
    <w:p w14:paraId="6C5F37C0" w14:textId="77777777" w:rsidR="00DB7466" w:rsidRDefault="00DB7466" w:rsidP="00AD4EA1"/>
    <w:p w14:paraId="1BEABA83" w14:textId="77777777" w:rsidR="00DB7466" w:rsidRDefault="00DB7466" w:rsidP="00AD4EA1"/>
    <w:p w14:paraId="1701FBE6" w14:textId="77777777" w:rsidR="00DB7466" w:rsidRDefault="00DB7466" w:rsidP="00AD4EA1"/>
    <w:p w14:paraId="422964E5" w14:textId="77777777" w:rsidR="00DB7466" w:rsidRDefault="00DB7466" w:rsidP="00AD4EA1"/>
    <w:p w14:paraId="491083D3" w14:textId="77777777" w:rsidR="00DB7466" w:rsidRDefault="00DB7466" w:rsidP="00AD4EA1"/>
    <w:p w14:paraId="199E1F4E" w14:textId="77777777" w:rsidR="00DB7466" w:rsidRDefault="00DB7466" w:rsidP="00AD4EA1"/>
    <w:p w14:paraId="6223AB28" w14:textId="77777777" w:rsidR="00DB7466" w:rsidRDefault="00DB7466" w:rsidP="00AD4EA1"/>
    <w:p w14:paraId="0D6A03BD" w14:textId="77777777" w:rsidR="00DB7466" w:rsidRDefault="00DB7466" w:rsidP="00AD4EA1"/>
    <w:p w14:paraId="371E13D8" w14:textId="77777777" w:rsidR="00DB7466" w:rsidRDefault="00DB7466" w:rsidP="00AD4EA1"/>
    <w:p w14:paraId="17EC296D" w14:textId="77777777" w:rsidR="00DB7466" w:rsidRDefault="00DB7466" w:rsidP="00AD4EA1"/>
    <w:p w14:paraId="59FDF9E9" w14:textId="77777777" w:rsidR="00DB7466" w:rsidRDefault="00DB7466" w:rsidP="00AD4EA1"/>
    <w:p w14:paraId="7F694C23" w14:textId="77777777" w:rsidR="00DB7466" w:rsidRDefault="00DB7466" w:rsidP="00AD4EA1"/>
    <w:p w14:paraId="059ADB85" w14:textId="77777777" w:rsidR="00DB7466" w:rsidRDefault="00DB7466" w:rsidP="00AD4EA1"/>
    <w:p w14:paraId="20E43A16" w14:textId="77777777" w:rsidR="00DB7466" w:rsidRDefault="00DB7466" w:rsidP="00AD4EA1"/>
    <w:p w14:paraId="6E951D61" w14:textId="77777777" w:rsidR="00DB7466" w:rsidRDefault="00DB7466" w:rsidP="00AD4EA1"/>
    <w:p w14:paraId="699505B3" w14:textId="77777777" w:rsidR="00DB7466" w:rsidRDefault="00DB7466" w:rsidP="00AD4EA1"/>
    <w:p w14:paraId="1508A0C9" w14:textId="77777777" w:rsidR="00DB7466" w:rsidRDefault="00DB7466" w:rsidP="00AD4EA1"/>
    <w:p w14:paraId="070D030F" w14:textId="77777777" w:rsidR="00DB7466" w:rsidRDefault="00DB7466" w:rsidP="00AD4EA1"/>
    <w:p w14:paraId="193B073B" w14:textId="77777777" w:rsidR="00DB7466" w:rsidRDefault="00DB7466" w:rsidP="00AD4EA1"/>
    <w:p w14:paraId="08911F6E" w14:textId="77777777" w:rsidR="00DB7466" w:rsidRDefault="00DB7466" w:rsidP="00AD4EA1"/>
    <w:p w14:paraId="426F6CE4" w14:textId="77777777" w:rsidR="00DB7466" w:rsidRDefault="00DB7466" w:rsidP="00AD4EA1"/>
    <w:p w14:paraId="47B14DEE" w14:textId="77777777" w:rsidR="00DB7466" w:rsidRDefault="00DB7466" w:rsidP="00AD4EA1"/>
    <w:p w14:paraId="78077AE6" w14:textId="77777777" w:rsidR="00DB7466" w:rsidRDefault="00DB7466" w:rsidP="00AD4EA1"/>
    <w:p w14:paraId="5202C8C8" w14:textId="77777777" w:rsidR="00DB7466" w:rsidRDefault="00DB7466" w:rsidP="00AD4EA1"/>
    <w:p w14:paraId="4FDD8AFB" w14:textId="77777777" w:rsidR="00DB7466" w:rsidRDefault="00DB7466" w:rsidP="00AD4EA1"/>
    <w:p w14:paraId="01298F5C" w14:textId="77777777" w:rsidR="00DB7466" w:rsidRDefault="00DB7466" w:rsidP="00AD4EA1"/>
    <w:p w14:paraId="326D7D89" w14:textId="77777777" w:rsidR="00DB7466" w:rsidRDefault="00DB7466" w:rsidP="00AD4EA1"/>
    <w:p w14:paraId="2D75C4B1" w14:textId="77777777" w:rsidR="00DB7466" w:rsidRDefault="00DB7466" w:rsidP="00AD4EA1"/>
    <w:p w14:paraId="1A078A11" w14:textId="77777777" w:rsidR="00DB7466" w:rsidRDefault="00DB7466" w:rsidP="00AD4EA1"/>
    <w:p w14:paraId="2E485C25" w14:textId="77777777" w:rsidR="00DB7466" w:rsidRDefault="00DB7466" w:rsidP="00AD4EA1"/>
    <w:p w14:paraId="2903CED9" w14:textId="77777777" w:rsidR="00DB7466" w:rsidRDefault="00DB7466" w:rsidP="00AD4EA1"/>
    <w:p w14:paraId="12231D09" w14:textId="77777777" w:rsidR="00DB7466" w:rsidRDefault="00DB7466" w:rsidP="00AD4EA1"/>
    <w:p w14:paraId="681D94F5" w14:textId="77777777" w:rsidR="00DB7466" w:rsidRDefault="00DB7466" w:rsidP="00AD4EA1"/>
    <w:p w14:paraId="51E8636A" w14:textId="77777777" w:rsidR="00DB7466" w:rsidRDefault="00DB7466" w:rsidP="00AD4EA1"/>
    <w:p w14:paraId="5B3ACAF3" w14:textId="77777777" w:rsidR="00DB7466" w:rsidRDefault="00DB7466" w:rsidP="00AD4EA1"/>
    <w:p w14:paraId="7988A643" w14:textId="77777777" w:rsidR="00DB7466" w:rsidRDefault="00DB7466" w:rsidP="00AD4EA1"/>
    <w:p w14:paraId="0A5F5E51" w14:textId="77777777" w:rsidR="00DB7466" w:rsidRDefault="00DB7466" w:rsidP="00AD4EA1"/>
    <w:p w14:paraId="07B1F437" w14:textId="77777777" w:rsidR="00DB7466" w:rsidRDefault="00DB7466" w:rsidP="00AD4EA1"/>
    <w:p w14:paraId="50F28A97" w14:textId="77777777" w:rsidR="00DB7466" w:rsidRDefault="00DB7466" w:rsidP="00AD4EA1"/>
    <w:p w14:paraId="03BBADEF" w14:textId="77777777" w:rsidR="00DB7466" w:rsidRDefault="00DB7466" w:rsidP="00AD4EA1"/>
    <w:p w14:paraId="520C4C97" w14:textId="77777777" w:rsidR="00DB7466" w:rsidRDefault="00DB7466" w:rsidP="00AD4EA1"/>
    <w:p w14:paraId="3CE3217C" w14:textId="77777777" w:rsidR="00DB7466" w:rsidRDefault="00DB7466" w:rsidP="00AD4EA1"/>
    <w:p w14:paraId="708869B6" w14:textId="77777777" w:rsidR="00DB7466" w:rsidRDefault="00DB7466" w:rsidP="00AD4EA1"/>
    <w:p w14:paraId="3C4C58E3" w14:textId="77777777" w:rsidR="00DB7466" w:rsidRDefault="00DB7466" w:rsidP="00AD4EA1"/>
    <w:p w14:paraId="57FADA59" w14:textId="77777777" w:rsidR="00DB7466" w:rsidRDefault="00DB7466" w:rsidP="00AD4EA1"/>
    <w:p w14:paraId="4D977906" w14:textId="77777777" w:rsidR="00DB7466" w:rsidRDefault="00DB7466" w:rsidP="00AD4EA1"/>
    <w:p w14:paraId="470ABC36" w14:textId="77777777" w:rsidR="00DB7466" w:rsidRDefault="00DB7466" w:rsidP="00AD4EA1"/>
    <w:p w14:paraId="01E34614" w14:textId="77777777" w:rsidR="00DB7466" w:rsidRDefault="00DB7466" w:rsidP="00AD4EA1"/>
    <w:p w14:paraId="0704144F" w14:textId="77777777" w:rsidR="00DB7466" w:rsidRDefault="00DB7466" w:rsidP="00AD4EA1"/>
    <w:p w14:paraId="428BC02A" w14:textId="77777777" w:rsidR="00DB7466" w:rsidRDefault="00DB7466" w:rsidP="00AD4EA1"/>
    <w:p w14:paraId="0657F533" w14:textId="77777777" w:rsidR="00DB7466" w:rsidRDefault="00DB7466" w:rsidP="00AD4EA1"/>
    <w:p w14:paraId="776669EF" w14:textId="77777777" w:rsidR="00DB7466" w:rsidRDefault="00DB7466" w:rsidP="00AD4EA1"/>
    <w:p w14:paraId="2EFAEFCF" w14:textId="77777777" w:rsidR="00DB7466" w:rsidRDefault="00DB7466" w:rsidP="00AD4EA1"/>
    <w:p w14:paraId="6BCEA6F2" w14:textId="77777777" w:rsidR="00DB7466" w:rsidRDefault="00DB7466" w:rsidP="00AD4EA1"/>
    <w:p w14:paraId="71E78E71" w14:textId="77777777" w:rsidR="00DB7466" w:rsidRDefault="00DB7466" w:rsidP="00AD4EA1"/>
    <w:p w14:paraId="5B50810E" w14:textId="77777777" w:rsidR="00DB7466" w:rsidRDefault="00DB7466" w:rsidP="00AD4EA1"/>
    <w:p w14:paraId="3A73E79A" w14:textId="77777777" w:rsidR="00DB7466" w:rsidRDefault="00DB7466" w:rsidP="00AD4EA1"/>
    <w:p w14:paraId="0B88DFE8" w14:textId="77777777" w:rsidR="00DB7466" w:rsidRDefault="00DB7466" w:rsidP="00AD4EA1"/>
    <w:p w14:paraId="1D027C68" w14:textId="77777777" w:rsidR="00DB7466" w:rsidRDefault="00DB7466" w:rsidP="00AD4EA1"/>
    <w:p w14:paraId="036B734F" w14:textId="77777777" w:rsidR="00DB7466" w:rsidRDefault="00DB7466" w:rsidP="00AD4EA1"/>
    <w:p w14:paraId="4C3342CA" w14:textId="77777777" w:rsidR="00DB7466" w:rsidRDefault="00DB7466" w:rsidP="00AD4EA1"/>
    <w:p w14:paraId="659615D9" w14:textId="77777777" w:rsidR="00DB7466" w:rsidRDefault="00DB7466" w:rsidP="00AD4EA1"/>
    <w:p w14:paraId="49D11733" w14:textId="77777777" w:rsidR="00DB7466" w:rsidRDefault="00DB7466" w:rsidP="00AD4EA1"/>
    <w:p w14:paraId="7573D28C" w14:textId="77777777" w:rsidR="00DB7466" w:rsidRDefault="00DB7466" w:rsidP="00AD4EA1"/>
    <w:p w14:paraId="77612896" w14:textId="77777777" w:rsidR="00DB7466" w:rsidRDefault="00DB7466" w:rsidP="00AD4EA1"/>
    <w:p w14:paraId="655EF9B3" w14:textId="77777777" w:rsidR="00DB7466" w:rsidRDefault="00DB7466" w:rsidP="00AD4EA1"/>
    <w:p w14:paraId="079E47EF" w14:textId="77777777" w:rsidR="00DB7466" w:rsidRDefault="00DB7466" w:rsidP="00AD4EA1"/>
    <w:p w14:paraId="5E3A519F" w14:textId="77777777" w:rsidR="00DB7466" w:rsidRDefault="00DB7466" w:rsidP="00AD4EA1"/>
    <w:p w14:paraId="7E5A2AA2" w14:textId="77777777" w:rsidR="00DB7466" w:rsidRDefault="00DB7466" w:rsidP="00AD4EA1"/>
    <w:p w14:paraId="64227BF1" w14:textId="77777777" w:rsidR="00DB7466" w:rsidRDefault="00DB7466" w:rsidP="00AD4EA1"/>
    <w:p w14:paraId="19F9A664" w14:textId="77777777" w:rsidR="00DB7466" w:rsidRDefault="00DB7466" w:rsidP="00AD4EA1"/>
    <w:p w14:paraId="19711C01" w14:textId="77777777" w:rsidR="00DB7466" w:rsidRDefault="00DB7466" w:rsidP="00AD4EA1"/>
    <w:p w14:paraId="234C0564" w14:textId="77777777" w:rsidR="00DB7466" w:rsidRDefault="00DB7466" w:rsidP="00AD4EA1"/>
    <w:p w14:paraId="36779B8E" w14:textId="77777777" w:rsidR="00DB7466" w:rsidRDefault="00DB7466" w:rsidP="00AD4EA1"/>
    <w:p w14:paraId="25976257" w14:textId="77777777" w:rsidR="00DB7466" w:rsidRDefault="00DB7466" w:rsidP="00AD4EA1"/>
    <w:p w14:paraId="3BA46F95" w14:textId="77777777" w:rsidR="00DB7466" w:rsidRDefault="00DB7466" w:rsidP="00AD4EA1"/>
    <w:p w14:paraId="2E598803" w14:textId="77777777" w:rsidR="00DB7466" w:rsidRDefault="00DB7466" w:rsidP="00AD4EA1"/>
    <w:p w14:paraId="3BC3AF9C" w14:textId="77777777" w:rsidR="00DB7466" w:rsidRDefault="00DB7466" w:rsidP="00AD4EA1"/>
    <w:p w14:paraId="5D34C950" w14:textId="77777777" w:rsidR="00DB7466" w:rsidRDefault="00DB7466" w:rsidP="00AD4EA1"/>
    <w:p w14:paraId="4D1BF381" w14:textId="77777777" w:rsidR="00DB7466" w:rsidRDefault="00DB7466" w:rsidP="00AD4EA1"/>
    <w:p w14:paraId="445975DA" w14:textId="77777777" w:rsidR="00DB7466" w:rsidRDefault="00DB7466" w:rsidP="00AD4EA1"/>
    <w:p w14:paraId="370B0BCE" w14:textId="77777777" w:rsidR="00DB7466" w:rsidRDefault="00DB7466" w:rsidP="00AD4EA1"/>
    <w:p w14:paraId="3DD0AEFC" w14:textId="77777777" w:rsidR="00DB7466" w:rsidRDefault="00DB7466" w:rsidP="00AD4EA1"/>
    <w:p w14:paraId="09D5C886" w14:textId="77777777" w:rsidR="00DB7466" w:rsidRDefault="00DB7466" w:rsidP="00AD4EA1"/>
    <w:p w14:paraId="697A8163" w14:textId="77777777" w:rsidR="00DB7466" w:rsidRDefault="00DB7466" w:rsidP="00AD4EA1"/>
    <w:p w14:paraId="1BC2A276" w14:textId="77777777" w:rsidR="00DB7466" w:rsidRDefault="00DB7466" w:rsidP="00AD4EA1"/>
    <w:p w14:paraId="14DF4723" w14:textId="77777777" w:rsidR="00DB7466" w:rsidRDefault="00DB7466" w:rsidP="00AD4EA1"/>
    <w:p w14:paraId="54B8BB04" w14:textId="77777777" w:rsidR="00DB7466" w:rsidRDefault="00DB7466" w:rsidP="00AD4EA1"/>
    <w:p w14:paraId="4DEB7639" w14:textId="77777777" w:rsidR="00DB7466" w:rsidRDefault="00DB7466" w:rsidP="00AD4EA1"/>
    <w:p w14:paraId="5D234684" w14:textId="77777777" w:rsidR="00DB7466" w:rsidRDefault="00DB7466" w:rsidP="00AD4EA1"/>
    <w:p w14:paraId="2D551FAE" w14:textId="77777777" w:rsidR="00DB7466" w:rsidRDefault="00DB7466" w:rsidP="00AD4EA1"/>
    <w:p w14:paraId="35AD1500" w14:textId="77777777" w:rsidR="00DB7466" w:rsidRDefault="00DB7466" w:rsidP="00AD4EA1"/>
    <w:p w14:paraId="4C0B8315" w14:textId="77777777" w:rsidR="00DB7466" w:rsidRDefault="00DB7466" w:rsidP="00AD4EA1"/>
    <w:p w14:paraId="70B08D8C" w14:textId="77777777" w:rsidR="00DB7466" w:rsidRDefault="00DB7466" w:rsidP="00AD4EA1"/>
    <w:p w14:paraId="40333AA8" w14:textId="77777777" w:rsidR="00DB7466" w:rsidRDefault="00DB7466" w:rsidP="00AD4EA1"/>
    <w:p w14:paraId="085E102F" w14:textId="77777777" w:rsidR="00DB7466" w:rsidRDefault="00DB7466" w:rsidP="00AD4EA1"/>
    <w:p w14:paraId="1B9F83B0" w14:textId="77777777" w:rsidR="00DB7466" w:rsidRDefault="00DB7466" w:rsidP="00AD4EA1"/>
    <w:p w14:paraId="518BBBA5" w14:textId="77777777" w:rsidR="00DB7466" w:rsidRDefault="00DB7466" w:rsidP="00AD4EA1"/>
    <w:p w14:paraId="78AA986E" w14:textId="77777777" w:rsidR="00DB7466" w:rsidRDefault="00DB7466" w:rsidP="00AD4EA1"/>
    <w:p w14:paraId="43A6BEF4" w14:textId="77777777" w:rsidR="00DB7466" w:rsidRDefault="00DB7466" w:rsidP="00AD4EA1"/>
    <w:p w14:paraId="6EF86E61" w14:textId="77777777" w:rsidR="00DB7466" w:rsidRDefault="00DB7466" w:rsidP="00AD4EA1"/>
    <w:p w14:paraId="4BAF73FA" w14:textId="77777777" w:rsidR="00DB7466" w:rsidRDefault="00DB7466" w:rsidP="00AD4EA1"/>
    <w:p w14:paraId="250117A9" w14:textId="77777777" w:rsidR="00DB7466" w:rsidRDefault="00DB7466" w:rsidP="00AD4EA1"/>
    <w:p w14:paraId="35F58011" w14:textId="77777777" w:rsidR="00DB7466" w:rsidRDefault="00DB7466" w:rsidP="00AD4EA1"/>
    <w:p w14:paraId="263EE591" w14:textId="77777777" w:rsidR="00DB7466" w:rsidRDefault="00DB7466" w:rsidP="00AD4EA1"/>
    <w:p w14:paraId="55F9B9E6" w14:textId="77777777" w:rsidR="00DB7466" w:rsidRDefault="00DB7466" w:rsidP="00AD4EA1"/>
    <w:p w14:paraId="685D9EAB" w14:textId="77777777" w:rsidR="00DB7466" w:rsidRDefault="00DB7466" w:rsidP="00AD4EA1"/>
    <w:p w14:paraId="6A9CF876" w14:textId="77777777" w:rsidR="00DB7466" w:rsidRDefault="00DB7466" w:rsidP="00AD4EA1"/>
    <w:p w14:paraId="22F4A7C0" w14:textId="77777777" w:rsidR="00DB7466" w:rsidRDefault="00DB7466" w:rsidP="00AD4EA1"/>
    <w:p w14:paraId="1ED44545" w14:textId="77777777" w:rsidR="00DB7466" w:rsidRDefault="00DB7466" w:rsidP="00AD4EA1"/>
    <w:p w14:paraId="50723DB5" w14:textId="77777777" w:rsidR="00DB7466" w:rsidRDefault="00DB7466" w:rsidP="00AD4EA1"/>
    <w:p w14:paraId="49B63A32" w14:textId="77777777" w:rsidR="00DB7466" w:rsidRDefault="00DB7466" w:rsidP="00AD4EA1"/>
    <w:p w14:paraId="6EE36A27" w14:textId="77777777" w:rsidR="00DB7466" w:rsidRDefault="00DB7466" w:rsidP="00AD4EA1"/>
    <w:p w14:paraId="256C39C7" w14:textId="77777777" w:rsidR="00DB7466" w:rsidRDefault="00DB7466" w:rsidP="00AD4EA1"/>
    <w:p w14:paraId="43F15871" w14:textId="77777777" w:rsidR="00DB7466" w:rsidRDefault="00DB7466" w:rsidP="00AD4EA1"/>
    <w:p w14:paraId="1CDAB607" w14:textId="77777777" w:rsidR="00DB7466" w:rsidRDefault="00DB7466" w:rsidP="00AD4EA1"/>
    <w:p w14:paraId="0D85EF41" w14:textId="77777777" w:rsidR="00DB7466" w:rsidRDefault="00DB7466" w:rsidP="00AD4EA1"/>
    <w:p w14:paraId="663859BE" w14:textId="77777777" w:rsidR="00DB7466" w:rsidRDefault="00DB7466" w:rsidP="00AD4EA1"/>
    <w:p w14:paraId="1AD7B2A8" w14:textId="77777777" w:rsidR="00DB7466" w:rsidRDefault="00DB7466" w:rsidP="00AD4EA1"/>
    <w:p w14:paraId="5FED8855" w14:textId="77777777" w:rsidR="00DB7466" w:rsidRDefault="00DB7466" w:rsidP="00AD4EA1"/>
    <w:p w14:paraId="369412A6" w14:textId="77777777" w:rsidR="00DB7466" w:rsidRDefault="00DB7466" w:rsidP="00AD4EA1"/>
    <w:p w14:paraId="699C481D" w14:textId="77777777" w:rsidR="00DB7466" w:rsidRDefault="00DB7466" w:rsidP="00AD4EA1"/>
    <w:p w14:paraId="2B876A43" w14:textId="77777777" w:rsidR="00DB7466" w:rsidRDefault="00DB7466" w:rsidP="00AD4EA1"/>
    <w:p w14:paraId="05044B22" w14:textId="77777777" w:rsidR="00DB7466" w:rsidRDefault="00DB7466" w:rsidP="00AD4EA1"/>
    <w:p w14:paraId="10C31313" w14:textId="77777777" w:rsidR="00DB7466" w:rsidRDefault="00DB7466" w:rsidP="00AD4EA1"/>
    <w:p w14:paraId="26BF6A77" w14:textId="77777777" w:rsidR="00DB7466" w:rsidRDefault="00DB7466" w:rsidP="00AD4EA1"/>
    <w:p w14:paraId="1864114D" w14:textId="77777777" w:rsidR="00DB7466" w:rsidRDefault="00DB7466" w:rsidP="00AD4EA1"/>
    <w:p w14:paraId="51F8880B" w14:textId="77777777" w:rsidR="00DB7466" w:rsidRDefault="00DB7466" w:rsidP="00AD4EA1"/>
    <w:p w14:paraId="4687FC5E" w14:textId="77777777" w:rsidR="00DB7466" w:rsidRDefault="00DB7466" w:rsidP="00AD4EA1"/>
    <w:p w14:paraId="69E96AFA" w14:textId="77777777" w:rsidR="00DB7466" w:rsidRDefault="00DB7466" w:rsidP="00AD4EA1"/>
    <w:p w14:paraId="3AB9E7F1" w14:textId="77777777" w:rsidR="00DB7466" w:rsidRDefault="00DB7466" w:rsidP="00AD4EA1"/>
    <w:p w14:paraId="0903CA57" w14:textId="77777777" w:rsidR="00DB7466" w:rsidRDefault="00DB7466" w:rsidP="00AD4EA1"/>
    <w:p w14:paraId="71763183" w14:textId="77777777" w:rsidR="00DB7466" w:rsidRDefault="00DB7466" w:rsidP="00AD4EA1"/>
    <w:p w14:paraId="5E565A7C" w14:textId="77777777" w:rsidR="00DB7466" w:rsidRDefault="00DB7466" w:rsidP="00AD4EA1"/>
    <w:p w14:paraId="31DA3677" w14:textId="77777777" w:rsidR="00DB7466" w:rsidRDefault="00DB7466" w:rsidP="00AD4EA1"/>
    <w:p w14:paraId="1B6850E5" w14:textId="77777777" w:rsidR="00DB7466" w:rsidRDefault="00DB7466" w:rsidP="00AD4EA1"/>
    <w:p w14:paraId="0BF4169E" w14:textId="77777777" w:rsidR="00DB7466" w:rsidRDefault="00DB7466" w:rsidP="00AD4EA1"/>
    <w:p w14:paraId="2E14726F" w14:textId="77777777" w:rsidR="00DB7466" w:rsidRDefault="00DB7466" w:rsidP="00AD4EA1"/>
    <w:p w14:paraId="6176C74B" w14:textId="77777777" w:rsidR="00DB7466" w:rsidRDefault="00DB7466" w:rsidP="00AD4EA1"/>
    <w:p w14:paraId="24C86037" w14:textId="77777777" w:rsidR="00DB7466" w:rsidRDefault="00DB7466" w:rsidP="00AD4EA1"/>
    <w:p w14:paraId="361FDAE6" w14:textId="77777777" w:rsidR="00DB7466" w:rsidRDefault="00DB7466" w:rsidP="00AD4EA1"/>
    <w:p w14:paraId="7F1D76E1" w14:textId="77777777" w:rsidR="00DB7466" w:rsidRDefault="00DB7466" w:rsidP="00AD4EA1"/>
    <w:p w14:paraId="286680F6" w14:textId="77777777" w:rsidR="00DB7466" w:rsidRDefault="00DB7466" w:rsidP="00AD4EA1"/>
    <w:p w14:paraId="7F6E3481" w14:textId="77777777" w:rsidR="00DB7466" w:rsidRDefault="00DB7466" w:rsidP="00AD4EA1"/>
    <w:p w14:paraId="41E14295" w14:textId="77777777" w:rsidR="00DB7466" w:rsidRDefault="00DB7466" w:rsidP="00AD4EA1"/>
    <w:p w14:paraId="79C42292" w14:textId="77777777" w:rsidR="00DB7466" w:rsidRDefault="00DB7466" w:rsidP="00AD4EA1"/>
    <w:p w14:paraId="746F3013" w14:textId="77777777" w:rsidR="00DB7466" w:rsidRDefault="00DB7466" w:rsidP="00AD4EA1"/>
    <w:p w14:paraId="68943E9D" w14:textId="77777777" w:rsidR="00DB7466" w:rsidRDefault="00DB7466" w:rsidP="00AD4EA1"/>
    <w:p w14:paraId="1A32F4AA" w14:textId="77777777" w:rsidR="00DB7466" w:rsidRDefault="00DB7466" w:rsidP="00AD4EA1"/>
    <w:p w14:paraId="2FE0D941" w14:textId="77777777" w:rsidR="00DB7466" w:rsidRDefault="00DB7466" w:rsidP="00AD4EA1"/>
    <w:p w14:paraId="5FFB4EA1" w14:textId="77777777" w:rsidR="00DB7466" w:rsidRDefault="00DB7466" w:rsidP="00AD4EA1"/>
    <w:p w14:paraId="47046349" w14:textId="77777777" w:rsidR="00DB7466" w:rsidRDefault="00DB7466" w:rsidP="00AD4EA1"/>
    <w:p w14:paraId="0E61B779" w14:textId="77777777" w:rsidR="00DB7466" w:rsidRDefault="00DB7466" w:rsidP="00AD4EA1"/>
    <w:p w14:paraId="55C8492A" w14:textId="77777777" w:rsidR="00DB7466" w:rsidRDefault="00DB7466" w:rsidP="00AD4EA1"/>
    <w:p w14:paraId="7FABB089" w14:textId="77777777" w:rsidR="00DB7466" w:rsidRDefault="00DB7466" w:rsidP="00AD4EA1"/>
    <w:p w14:paraId="78A087A1" w14:textId="77777777" w:rsidR="00DB7466" w:rsidRDefault="00DB7466" w:rsidP="00AD4EA1"/>
    <w:p w14:paraId="4180221A" w14:textId="77777777" w:rsidR="00DB7466" w:rsidRDefault="00DB7466" w:rsidP="00AD4EA1"/>
    <w:p w14:paraId="6BA90799" w14:textId="77777777" w:rsidR="00DB7466" w:rsidRDefault="00DB7466" w:rsidP="00AD4EA1"/>
    <w:p w14:paraId="4E9575B6" w14:textId="77777777" w:rsidR="00DB7466" w:rsidRDefault="00DB7466" w:rsidP="00AD4EA1"/>
    <w:p w14:paraId="56D1AE24" w14:textId="77777777" w:rsidR="00DB7466" w:rsidRDefault="00DB7466" w:rsidP="00AD4EA1"/>
    <w:p w14:paraId="451291EA" w14:textId="77777777" w:rsidR="00DB7466" w:rsidRDefault="00DB7466" w:rsidP="00AD4EA1"/>
    <w:p w14:paraId="74749AFE" w14:textId="77777777" w:rsidR="00DB7466" w:rsidRDefault="00DB7466" w:rsidP="00AD4EA1"/>
    <w:p w14:paraId="386AEC13" w14:textId="77777777" w:rsidR="00DB7466" w:rsidRDefault="00DB7466" w:rsidP="00AD4EA1"/>
    <w:p w14:paraId="78EF5AA8" w14:textId="77777777" w:rsidR="00DB7466" w:rsidRDefault="00DB7466" w:rsidP="00AD4EA1"/>
    <w:p w14:paraId="1175E35C" w14:textId="77777777" w:rsidR="00DB7466" w:rsidRDefault="00DB7466" w:rsidP="00AD4EA1"/>
    <w:p w14:paraId="729FEB81" w14:textId="77777777" w:rsidR="00DB7466" w:rsidRDefault="00DB7466" w:rsidP="00AD4EA1"/>
    <w:p w14:paraId="7C1A9EB5" w14:textId="77777777" w:rsidR="00DB7466" w:rsidRDefault="00DB7466" w:rsidP="00AD4EA1"/>
    <w:p w14:paraId="244786DB" w14:textId="77777777" w:rsidR="00DB7466" w:rsidRDefault="00DB7466" w:rsidP="00AD4EA1"/>
    <w:p w14:paraId="670D5832" w14:textId="77777777" w:rsidR="00DB7466" w:rsidRDefault="00DB7466" w:rsidP="00AD4EA1"/>
    <w:p w14:paraId="05FD71CD" w14:textId="77777777" w:rsidR="00DB7466" w:rsidRDefault="00DB7466" w:rsidP="00AD4EA1"/>
    <w:p w14:paraId="67036DB5" w14:textId="77777777" w:rsidR="00DB7466" w:rsidRDefault="00DB7466" w:rsidP="00AD4EA1"/>
    <w:p w14:paraId="0994A75A" w14:textId="77777777" w:rsidR="00DB7466" w:rsidRDefault="00DB7466" w:rsidP="00AD4EA1"/>
    <w:p w14:paraId="26E4DF12" w14:textId="77777777" w:rsidR="00DB7466" w:rsidRDefault="00DB7466" w:rsidP="00AD4EA1"/>
    <w:p w14:paraId="354E71EF" w14:textId="77777777" w:rsidR="00DB7466" w:rsidRDefault="00DB7466" w:rsidP="00AD4EA1"/>
    <w:p w14:paraId="1D75A0BD" w14:textId="77777777" w:rsidR="00DB7466" w:rsidRDefault="00DB7466" w:rsidP="00AD4EA1"/>
    <w:p w14:paraId="44A42E01" w14:textId="77777777" w:rsidR="00DB7466" w:rsidRDefault="00DB7466" w:rsidP="00AD4EA1"/>
    <w:p w14:paraId="6985B0CE" w14:textId="77777777" w:rsidR="00DB7466" w:rsidRDefault="00DB7466" w:rsidP="00AD4EA1"/>
    <w:p w14:paraId="48DCC3E0" w14:textId="77777777" w:rsidR="00DB7466" w:rsidRDefault="00DB7466" w:rsidP="00AD4EA1"/>
    <w:p w14:paraId="58533793" w14:textId="77777777" w:rsidR="00DB7466" w:rsidRDefault="00DB7466" w:rsidP="00AD4EA1"/>
    <w:p w14:paraId="0B87DC05" w14:textId="77777777" w:rsidR="00DB7466" w:rsidRDefault="00DB7466" w:rsidP="00AD4EA1"/>
    <w:p w14:paraId="76106895" w14:textId="77777777" w:rsidR="00DB7466" w:rsidRDefault="00DB7466" w:rsidP="00AD4EA1"/>
    <w:p w14:paraId="6E8901E1" w14:textId="77777777" w:rsidR="00DB7466" w:rsidRDefault="00DB7466" w:rsidP="00AD4EA1"/>
    <w:p w14:paraId="191A085B" w14:textId="77777777" w:rsidR="00DB7466" w:rsidRDefault="00DB7466" w:rsidP="00AD4EA1"/>
    <w:p w14:paraId="16BF4907" w14:textId="77777777" w:rsidR="00DB7466" w:rsidRDefault="00DB7466" w:rsidP="00AD4EA1"/>
    <w:p w14:paraId="43614D56" w14:textId="77777777" w:rsidR="00DB7466" w:rsidRDefault="00DB7466" w:rsidP="00AD4EA1"/>
    <w:p w14:paraId="06E0B423" w14:textId="77777777" w:rsidR="00DB7466" w:rsidRDefault="00DB7466" w:rsidP="00AD4EA1"/>
    <w:p w14:paraId="756B58A9" w14:textId="77777777" w:rsidR="00DB7466" w:rsidRDefault="00DB7466" w:rsidP="00AD4EA1"/>
    <w:p w14:paraId="32354335" w14:textId="77777777" w:rsidR="00DB7466" w:rsidRDefault="00DB7466" w:rsidP="00AD4EA1"/>
    <w:p w14:paraId="40600CD0" w14:textId="77777777" w:rsidR="00DB7466" w:rsidRDefault="00DB7466" w:rsidP="00AD4EA1"/>
    <w:p w14:paraId="3FD8691F" w14:textId="77777777" w:rsidR="00DB7466" w:rsidRDefault="00DB7466" w:rsidP="00AD4EA1"/>
    <w:p w14:paraId="6C4590C4" w14:textId="77777777" w:rsidR="00DB7466" w:rsidRDefault="00DB7466" w:rsidP="00AD4EA1"/>
    <w:p w14:paraId="43CFAC7C" w14:textId="77777777" w:rsidR="00DB7466" w:rsidRDefault="00DB7466" w:rsidP="00AD4EA1"/>
    <w:p w14:paraId="1118DF80" w14:textId="77777777" w:rsidR="00DB7466" w:rsidRDefault="00DB7466" w:rsidP="00AD4EA1"/>
    <w:p w14:paraId="0242EBCC" w14:textId="77777777" w:rsidR="00DB7466" w:rsidRDefault="00DB7466" w:rsidP="00AD4EA1"/>
    <w:p w14:paraId="5C5CB0B9" w14:textId="77777777" w:rsidR="00DB7466" w:rsidRDefault="00DB7466" w:rsidP="00AD4EA1"/>
    <w:p w14:paraId="6AF48B37" w14:textId="77777777" w:rsidR="00DB7466" w:rsidRDefault="00DB7466" w:rsidP="00AD4EA1"/>
    <w:p w14:paraId="428D9DF0" w14:textId="77777777" w:rsidR="00DB7466" w:rsidRDefault="00DB7466" w:rsidP="00AD4EA1"/>
    <w:p w14:paraId="4DF0DBD3" w14:textId="77777777" w:rsidR="00DB7466" w:rsidRDefault="00DB7466" w:rsidP="00AD4EA1"/>
    <w:p w14:paraId="2C2E0D1D" w14:textId="77777777" w:rsidR="00DB7466" w:rsidRDefault="00DB7466" w:rsidP="00AD4EA1"/>
    <w:p w14:paraId="7DB9D4BE" w14:textId="77777777" w:rsidR="00DB7466" w:rsidRDefault="00DB7466" w:rsidP="00AD4EA1"/>
    <w:p w14:paraId="5D237A9A" w14:textId="77777777" w:rsidR="00DB7466" w:rsidRDefault="00DB7466" w:rsidP="00AD4EA1"/>
    <w:p w14:paraId="35235045" w14:textId="77777777" w:rsidR="00DB7466" w:rsidRDefault="00DB7466" w:rsidP="00AD4EA1"/>
    <w:p w14:paraId="26CB373E" w14:textId="77777777" w:rsidR="00DB7466" w:rsidRDefault="00DB7466" w:rsidP="00AD4EA1"/>
    <w:p w14:paraId="5D1306A2" w14:textId="77777777" w:rsidR="00DB7466" w:rsidRDefault="00DB7466" w:rsidP="00AD4EA1"/>
    <w:p w14:paraId="3DF26F23" w14:textId="77777777" w:rsidR="00DB7466" w:rsidRDefault="00DB7466" w:rsidP="00AD4EA1"/>
    <w:p w14:paraId="189E55FA" w14:textId="77777777" w:rsidR="00DB7466" w:rsidRDefault="00DB7466" w:rsidP="00AD4EA1"/>
    <w:p w14:paraId="0D551D82" w14:textId="77777777" w:rsidR="00DB7466" w:rsidRDefault="00DB7466" w:rsidP="00AD4EA1"/>
    <w:p w14:paraId="1559B4DC" w14:textId="77777777" w:rsidR="00DB7466" w:rsidRDefault="00DB7466" w:rsidP="00AD4EA1"/>
    <w:p w14:paraId="2D7C0AFA" w14:textId="77777777" w:rsidR="00DB7466" w:rsidRDefault="00DB7466" w:rsidP="00AD4EA1"/>
    <w:p w14:paraId="0ABDF55C" w14:textId="77777777" w:rsidR="00DB7466" w:rsidRDefault="00DB7466" w:rsidP="00AD4EA1"/>
    <w:p w14:paraId="347A8A69" w14:textId="77777777" w:rsidR="00DB7466" w:rsidRDefault="00DB7466" w:rsidP="00AD4EA1"/>
    <w:p w14:paraId="5C1CBCA1" w14:textId="77777777" w:rsidR="00DB7466" w:rsidRDefault="00DB7466" w:rsidP="00AD4EA1"/>
    <w:p w14:paraId="557D4833" w14:textId="77777777" w:rsidR="00DB7466" w:rsidRDefault="00DB7466" w:rsidP="00AD4EA1"/>
    <w:p w14:paraId="4247B2F4" w14:textId="77777777" w:rsidR="00DB7466" w:rsidRDefault="00DB7466" w:rsidP="00AD4EA1"/>
    <w:p w14:paraId="53A92018" w14:textId="77777777" w:rsidR="00DB7466" w:rsidRDefault="00DB7466" w:rsidP="00AD4EA1"/>
    <w:p w14:paraId="1A411050" w14:textId="77777777" w:rsidR="00DB7466" w:rsidRDefault="00DB7466" w:rsidP="00AD4EA1"/>
    <w:p w14:paraId="4D1B8D80" w14:textId="77777777" w:rsidR="00DB7466" w:rsidRDefault="00DB7466" w:rsidP="00AD4EA1"/>
    <w:p w14:paraId="3510496F" w14:textId="77777777" w:rsidR="00DB7466" w:rsidRDefault="00DB7466" w:rsidP="00AD4EA1"/>
    <w:p w14:paraId="4CDDEA4F" w14:textId="77777777" w:rsidR="00DB7466" w:rsidRDefault="00DB7466" w:rsidP="00AD4EA1"/>
    <w:p w14:paraId="7872C15F" w14:textId="77777777" w:rsidR="00DB7466" w:rsidRDefault="00DB7466" w:rsidP="00AD4EA1"/>
    <w:p w14:paraId="65715032" w14:textId="77777777" w:rsidR="00DB7466" w:rsidRDefault="00DB7466" w:rsidP="00AD4EA1"/>
    <w:p w14:paraId="471E8394" w14:textId="77777777" w:rsidR="00DB7466" w:rsidRDefault="00DB7466" w:rsidP="00AD4EA1"/>
    <w:p w14:paraId="78AA9071" w14:textId="77777777" w:rsidR="00DB7466" w:rsidRDefault="00DB7466" w:rsidP="00AD4EA1"/>
    <w:p w14:paraId="42742A6C" w14:textId="77777777" w:rsidR="00DB7466" w:rsidRDefault="00DB7466" w:rsidP="00AD4EA1"/>
    <w:p w14:paraId="7D8C564F" w14:textId="77777777" w:rsidR="00DB7466" w:rsidRDefault="00DB7466" w:rsidP="00AD4EA1"/>
    <w:p w14:paraId="0BD8162E" w14:textId="77777777" w:rsidR="00DB7466" w:rsidRDefault="00DB7466" w:rsidP="00AD4EA1"/>
    <w:p w14:paraId="7BD79163" w14:textId="77777777" w:rsidR="00DB7466" w:rsidRDefault="00DB7466" w:rsidP="00AD4EA1"/>
    <w:p w14:paraId="17F18964" w14:textId="77777777" w:rsidR="00DB7466" w:rsidRDefault="00DB7466" w:rsidP="00AD4EA1"/>
    <w:p w14:paraId="28306FB6" w14:textId="77777777" w:rsidR="00DB7466" w:rsidRDefault="00DB7466" w:rsidP="00AD4EA1"/>
    <w:p w14:paraId="653A5D4D" w14:textId="77777777" w:rsidR="00DB7466" w:rsidRDefault="00DB7466" w:rsidP="00AD4EA1"/>
    <w:p w14:paraId="0B1A380E" w14:textId="77777777" w:rsidR="00DB7466" w:rsidRDefault="00DB7466" w:rsidP="00AD4EA1"/>
    <w:p w14:paraId="07E525D7" w14:textId="77777777" w:rsidR="00DB7466" w:rsidRDefault="00DB7466" w:rsidP="00AD4EA1"/>
    <w:p w14:paraId="7CE957C8" w14:textId="77777777" w:rsidR="00DB7466" w:rsidRDefault="00DB7466" w:rsidP="00AD4EA1"/>
    <w:p w14:paraId="1ED99A14" w14:textId="77777777" w:rsidR="00DB7466" w:rsidRDefault="00DB7466" w:rsidP="00AD4EA1"/>
    <w:p w14:paraId="1CF8C603" w14:textId="77777777" w:rsidR="00DB7466" w:rsidRDefault="00DB7466" w:rsidP="00AD4EA1"/>
    <w:p w14:paraId="0ED12547" w14:textId="77777777" w:rsidR="00DB7466" w:rsidRDefault="00DB7466" w:rsidP="00AD4EA1"/>
    <w:p w14:paraId="088FD383" w14:textId="77777777" w:rsidR="00DB7466" w:rsidRDefault="00DB7466" w:rsidP="00AD4EA1"/>
    <w:p w14:paraId="10B1FD58" w14:textId="77777777" w:rsidR="00DB7466" w:rsidRDefault="00DB7466" w:rsidP="00AD4EA1"/>
    <w:p w14:paraId="1750C7A7" w14:textId="77777777" w:rsidR="00DB7466" w:rsidRDefault="00DB7466" w:rsidP="00AD4EA1"/>
    <w:p w14:paraId="11080B5E" w14:textId="77777777" w:rsidR="00DB7466" w:rsidRDefault="00DB7466" w:rsidP="00AD4EA1"/>
    <w:p w14:paraId="7CA8C360" w14:textId="77777777" w:rsidR="00DB7466" w:rsidRDefault="00DB7466" w:rsidP="00AD4EA1"/>
    <w:p w14:paraId="715C3CD9" w14:textId="77777777" w:rsidR="00DB7466" w:rsidRDefault="00DB7466" w:rsidP="00AD4EA1"/>
    <w:p w14:paraId="7A973E26" w14:textId="77777777" w:rsidR="00DB7466" w:rsidRDefault="00DB7466" w:rsidP="00AD4EA1"/>
    <w:p w14:paraId="1738389C" w14:textId="77777777" w:rsidR="00DB7466" w:rsidRDefault="00DB7466" w:rsidP="00AD4EA1"/>
    <w:p w14:paraId="62E07570" w14:textId="77777777" w:rsidR="00DB7466" w:rsidRDefault="00DB7466" w:rsidP="00AD4EA1"/>
    <w:p w14:paraId="58062F70" w14:textId="77777777" w:rsidR="00DB7466" w:rsidRDefault="00DB7466" w:rsidP="00AD4EA1"/>
    <w:p w14:paraId="0056CF28" w14:textId="77777777" w:rsidR="00DB7466" w:rsidRDefault="00DB7466" w:rsidP="00AD4EA1"/>
    <w:p w14:paraId="1D55E17D" w14:textId="77777777" w:rsidR="00DB7466" w:rsidRDefault="00DB7466" w:rsidP="00AD4EA1"/>
    <w:p w14:paraId="02B8357B" w14:textId="77777777" w:rsidR="00DB7466" w:rsidRDefault="00DB7466" w:rsidP="00AD4EA1"/>
    <w:p w14:paraId="6FE872F7" w14:textId="77777777" w:rsidR="00DB7466" w:rsidRDefault="00DB7466" w:rsidP="00AD4EA1"/>
    <w:p w14:paraId="438F7248" w14:textId="77777777" w:rsidR="00DB7466" w:rsidRDefault="00DB7466" w:rsidP="00AD4EA1"/>
    <w:p w14:paraId="71200AFF" w14:textId="77777777" w:rsidR="00DB7466" w:rsidRDefault="00DB7466" w:rsidP="00AD4EA1"/>
    <w:p w14:paraId="7552C67B" w14:textId="77777777" w:rsidR="00DB7466" w:rsidRDefault="00DB7466" w:rsidP="00AD4EA1"/>
    <w:p w14:paraId="0395419E" w14:textId="77777777" w:rsidR="00DB7466" w:rsidRDefault="00DB7466" w:rsidP="00AD4EA1"/>
    <w:p w14:paraId="1002F14A" w14:textId="77777777" w:rsidR="00DB7466" w:rsidRDefault="00DB7466" w:rsidP="00AD4EA1"/>
    <w:p w14:paraId="5BEF61C6" w14:textId="77777777" w:rsidR="00DB7466" w:rsidRDefault="00DB7466" w:rsidP="00AD4EA1"/>
    <w:p w14:paraId="0986C41F" w14:textId="77777777" w:rsidR="00DB7466" w:rsidRDefault="00DB7466" w:rsidP="00AD4EA1"/>
    <w:p w14:paraId="121E8EEA" w14:textId="77777777" w:rsidR="00DB7466" w:rsidRDefault="00DB7466" w:rsidP="00AD4EA1"/>
    <w:p w14:paraId="395D5C95" w14:textId="77777777" w:rsidR="00DB7466" w:rsidRDefault="00DB7466" w:rsidP="00AD4EA1"/>
    <w:p w14:paraId="4DB59519" w14:textId="77777777" w:rsidR="00DB7466" w:rsidRDefault="00DB7466" w:rsidP="00AD4EA1"/>
    <w:p w14:paraId="4A25B92C" w14:textId="77777777" w:rsidR="00DB7466" w:rsidRDefault="00DB7466" w:rsidP="00AD4EA1"/>
    <w:p w14:paraId="243DA5B4" w14:textId="77777777" w:rsidR="00DB7466" w:rsidRDefault="00DB7466" w:rsidP="00AD4EA1"/>
    <w:p w14:paraId="6C0AA043" w14:textId="77777777" w:rsidR="00DB7466" w:rsidRDefault="00DB7466" w:rsidP="00AD4EA1"/>
    <w:p w14:paraId="6EB31B2E" w14:textId="77777777" w:rsidR="00DB7466" w:rsidRDefault="00DB7466" w:rsidP="00AD4EA1"/>
    <w:p w14:paraId="6826A2D4" w14:textId="77777777" w:rsidR="00DB7466" w:rsidRDefault="00DB7466" w:rsidP="00AD4EA1"/>
    <w:p w14:paraId="2D41873E" w14:textId="77777777" w:rsidR="00DB7466" w:rsidRDefault="00DB7466" w:rsidP="00AD4EA1"/>
    <w:p w14:paraId="45EE2266" w14:textId="77777777" w:rsidR="00DB7466" w:rsidRDefault="00DB7466" w:rsidP="00AD4EA1"/>
    <w:p w14:paraId="5BAA8AD4" w14:textId="77777777" w:rsidR="00DB7466" w:rsidRDefault="00DB7466" w:rsidP="00AD4EA1"/>
    <w:p w14:paraId="389CD6CF" w14:textId="77777777" w:rsidR="00DB7466" w:rsidRDefault="00DB7466" w:rsidP="00AD4EA1"/>
    <w:p w14:paraId="73E99D56" w14:textId="77777777" w:rsidR="00DB7466" w:rsidRDefault="00DB7466" w:rsidP="00AD4EA1"/>
    <w:p w14:paraId="6445D9C9" w14:textId="77777777" w:rsidR="00DB7466" w:rsidRDefault="00DB7466" w:rsidP="00AD4EA1"/>
    <w:p w14:paraId="66C0E370" w14:textId="77777777" w:rsidR="00DB7466" w:rsidRDefault="00DB7466" w:rsidP="00AD4EA1"/>
    <w:p w14:paraId="10E21D5A" w14:textId="77777777" w:rsidR="00DB7466" w:rsidRDefault="00DB7466" w:rsidP="00AD4EA1"/>
    <w:p w14:paraId="4D8CBB1E" w14:textId="77777777" w:rsidR="00DB7466" w:rsidRDefault="00DB7466" w:rsidP="00AD4EA1"/>
    <w:p w14:paraId="2AF35B4C" w14:textId="77777777" w:rsidR="00DB7466" w:rsidRDefault="00DB7466" w:rsidP="00AD4EA1"/>
    <w:p w14:paraId="55022D94" w14:textId="77777777" w:rsidR="00DB7466" w:rsidRDefault="00DB7466" w:rsidP="00AD4EA1"/>
    <w:p w14:paraId="4F9B5EBB" w14:textId="77777777" w:rsidR="00DB7466" w:rsidRDefault="00DB7466" w:rsidP="00AD4EA1"/>
    <w:p w14:paraId="168E0F37" w14:textId="77777777" w:rsidR="00DB7466" w:rsidRDefault="00DB7466" w:rsidP="00AD4EA1"/>
    <w:p w14:paraId="62EA7E4E" w14:textId="77777777" w:rsidR="00DB7466" w:rsidRDefault="00DB7466" w:rsidP="00AD4EA1"/>
    <w:p w14:paraId="58FC618F" w14:textId="77777777" w:rsidR="00DB7466" w:rsidRDefault="00DB7466" w:rsidP="00AD4EA1"/>
    <w:p w14:paraId="65378204" w14:textId="77777777" w:rsidR="00DB7466" w:rsidRDefault="00DB7466" w:rsidP="00AD4EA1"/>
    <w:p w14:paraId="1D83AFD8" w14:textId="77777777" w:rsidR="00DB7466" w:rsidRDefault="00DB7466" w:rsidP="00AD4EA1"/>
    <w:p w14:paraId="5FFDA385" w14:textId="77777777" w:rsidR="00DB7466" w:rsidRDefault="00DB7466" w:rsidP="00AD4EA1"/>
    <w:p w14:paraId="20770C0C" w14:textId="77777777" w:rsidR="00DB7466" w:rsidRDefault="00DB7466" w:rsidP="00AD4EA1"/>
    <w:p w14:paraId="1215DCF6" w14:textId="77777777" w:rsidR="00DB7466" w:rsidRDefault="00DB7466" w:rsidP="00AD4EA1"/>
    <w:p w14:paraId="6BCA9079" w14:textId="77777777" w:rsidR="00DB7466" w:rsidRDefault="00DB7466" w:rsidP="00AD4EA1"/>
    <w:p w14:paraId="55155A42" w14:textId="77777777" w:rsidR="00DB7466" w:rsidRDefault="00DB7466" w:rsidP="00AD4EA1"/>
    <w:p w14:paraId="2F3469D3" w14:textId="77777777" w:rsidR="00DB7466" w:rsidRDefault="00DB7466" w:rsidP="00AD4EA1"/>
    <w:p w14:paraId="08CC80F3" w14:textId="77777777" w:rsidR="00DB7466" w:rsidRDefault="00DB7466" w:rsidP="00AD4EA1"/>
    <w:p w14:paraId="287B8DB8" w14:textId="77777777" w:rsidR="00DB7466" w:rsidRDefault="00DB7466" w:rsidP="00AD4EA1"/>
    <w:p w14:paraId="26F8A276" w14:textId="77777777" w:rsidR="00DB7466" w:rsidRDefault="00DB7466" w:rsidP="00AD4EA1"/>
    <w:p w14:paraId="2B7D61CF" w14:textId="77777777" w:rsidR="00DB7466" w:rsidRDefault="00DB7466" w:rsidP="00AD4EA1"/>
    <w:p w14:paraId="041E0CFB" w14:textId="77777777" w:rsidR="00DB7466" w:rsidRDefault="00DB7466" w:rsidP="00AD4EA1"/>
    <w:p w14:paraId="0FE4B74D" w14:textId="77777777" w:rsidR="00DB7466" w:rsidRDefault="00DB7466" w:rsidP="00AD4EA1"/>
    <w:p w14:paraId="5458CEB4" w14:textId="77777777" w:rsidR="00DB7466" w:rsidRDefault="00DB7466" w:rsidP="00AD4EA1"/>
    <w:p w14:paraId="6DFE9F09" w14:textId="77777777" w:rsidR="00DB7466" w:rsidRDefault="00DB7466" w:rsidP="00AD4EA1"/>
    <w:p w14:paraId="5C281FB1" w14:textId="77777777" w:rsidR="00DB7466" w:rsidRDefault="00DB7466" w:rsidP="00AD4EA1"/>
    <w:p w14:paraId="0A54BA39" w14:textId="77777777" w:rsidR="00DB7466" w:rsidRDefault="00DB7466" w:rsidP="00AD4EA1"/>
    <w:p w14:paraId="6F78C5EA" w14:textId="77777777" w:rsidR="00DB7466" w:rsidRDefault="00DB7466" w:rsidP="00AD4EA1"/>
    <w:p w14:paraId="074D9E78" w14:textId="77777777" w:rsidR="00DB7466" w:rsidRDefault="00DB7466" w:rsidP="00AD4EA1"/>
    <w:p w14:paraId="47C509D5" w14:textId="77777777" w:rsidR="00DB7466" w:rsidRDefault="00DB7466" w:rsidP="00AD4EA1"/>
    <w:p w14:paraId="6D16F89B" w14:textId="77777777" w:rsidR="00DB7466" w:rsidRDefault="00DB7466" w:rsidP="00AD4EA1"/>
    <w:p w14:paraId="254C5669" w14:textId="77777777" w:rsidR="00DB7466" w:rsidRDefault="00DB7466" w:rsidP="00AD4EA1"/>
    <w:p w14:paraId="7C9BB69C" w14:textId="77777777" w:rsidR="00DB7466" w:rsidRDefault="00DB7466" w:rsidP="00AD4EA1"/>
    <w:p w14:paraId="7CB96EE9" w14:textId="77777777" w:rsidR="00DB7466" w:rsidRDefault="00DB7466" w:rsidP="00AD4EA1"/>
    <w:p w14:paraId="70E0E4BE" w14:textId="77777777" w:rsidR="00DB7466" w:rsidRDefault="00DB7466" w:rsidP="00AD4EA1"/>
    <w:p w14:paraId="7EB42FDA" w14:textId="77777777" w:rsidR="00DB7466" w:rsidRDefault="00DB7466" w:rsidP="00AD4EA1"/>
    <w:p w14:paraId="619CAE83" w14:textId="77777777" w:rsidR="00DB7466" w:rsidRDefault="00DB7466" w:rsidP="00AD4EA1"/>
    <w:p w14:paraId="52DFBC38" w14:textId="77777777" w:rsidR="00DB7466" w:rsidRDefault="00DB7466" w:rsidP="00AD4EA1"/>
    <w:p w14:paraId="6C448802" w14:textId="77777777" w:rsidR="00DB7466" w:rsidRDefault="00DB7466" w:rsidP="00AD4EA1"/>
    <w:p w14:paraId="1C22A280" w14:textId="77777777" w:rsidR="00DB7466" w:rsidRDefault="00DB7466" w:rsidP="00AD4EA1"/>
    <w:p w14:paraId="77C0C005" w14:textId="77777777" w:rsidR="00DB7466" w:rsidRDefault="00DB7466" w:rsidP="00AD4EA1"/>
    <w:p w14:paraId="38937082" w14:textId="77777777" w:rsidR="00DB7466" w:rsidRDefault="00DB7466" w:rsidP="00AD4EA1"/>
    <w:p w14:paraId="0B500C43" w14:textId="77777777" w:rsidR="00DB7466" w:rsidRDefault="00DB7466" w:rsidP="00AD4EA1"/>
    <w:p w14:paraId="18F3226F" w14:textId="77777777" w:rsidR="00DB7466" w:rsidRDefault="00DB7466" w:rsidP="00AD4EA1"/>
    <w:p w14:paraId="427CC9BA" w14:textId="77777777" w:rsidR="00DB7466" w:rsidRDefault="00DB7466" w:rsidP="00AD4EA1"/>
    <w:p w14:paraId="4853B066" w14:textId="77777777" w:rsidR="00DB7466" w:rsidRDefault="00DB7466" w:rsidP="00AD4EA1"/>
    <w:p w14:paraId="4DA30C00" w14:textId="77777777" w:rsidR="00DB7466" w:rsidRDefault="00DB7466" w:rsidP="00AD4EA1"/>
    <w:p w14:paraId="031038C4" w14:textId="77777777" w:rsidR="00DB7466" w:rsidRDefault="00DB7466" w:rsidP="00AD4EA1"/>
    <w:p w14:paraId="205E65BC" w14:textId="77777777" w:rsidR="00DB7466" w:rsidRDefault="00DB7466" w:rsidP="00AD4EA1"/>
    <w:p w14:paraId="6071AF6B" w14:textId="77777777" w:rsidR="00DB7466" w:rsidRDefault="00DB7466" w:rsidP="00AD4EA1"/>
    <w:p w14:paraId="04638FB7" w14:textId="77777777" w:rsidR="00DB7466" w:rsidRDefault="00DB7466" w:rsidP="00AD4EA1"/>
    <w:p w14:paraId="7A8D0BE9" w14:textId="77777777" w:rsidR="00DB7466" w:rsidRDefault="00DB7466" w:rsidP="00AD4EA1"/>
    <w:p w14:paraId="100EDED6" w14:textId="77777777" w:rsidR="00DB7466" w:rsidRDefault="00DB7466" w:rsidP="00AD4EA1"/>
    <w:p w14:paraId="25876E84" w14:textId="77777777" w:rsidR="00DB7466" w:rsidRDefault="00DB7466" w:rsidP="00AD4EA1"/>
    <w:p w14:paraId="57A78F53" w14:textId="77777777" w:rsidR="00DB7466" w:rsidRDefault="00DB7466" w:rsidP="00AD4EA1"/>
    <w:p w14:paraId="52324708" w14:textId="77777777" w:rsidR="00DB7466" w:rsidRDefault="00DB7466" w:rsidP="00AD4EA1"/>
    <w:p w14:paraId="6DDBDC9D" w14:textId="77777777" w:rsidR="00DB7466" w:rsidRDefault="00DB7466" w:rsidP="00AD4EA1"/>
    <w:p w14:paraId="26AB63A7" w14:textId="77777777" w:rsidR="00DB7466" w:rsidRDefault="00DB7466" w:rsidP="00AD4EA1"/>
    <w:p w14:paraId="181AD7CF" w14:textId="77777777" w:rsidR="00DB7466" w:rsidRDefault="00DB7466" w:rsidP="00AD4EA1"/>
    <w:p w14:paraId="58D5E761" w14:textId="77777777" w:rsidR="00DB7466" w:rsidRDefault="00DB7466" w:rsidP="00AD4EA1"/>
    <w:p w14:paraId="211A6382" w14:textId="77777777" w:rsidR="00DB7466" w:rsidRDefault="00DB7466" w:rsidP="00AD4EA1"/>
    <w:p w14:paraId="0C6841F4" w14:textId="77777777" w:rsidR="00DB7466" w:rsidRDefault="00DB7466" w:rsidP="00AD4EA1"/>
    <w:p w14:paraId="16B6EB4F" w14:textId="77777777" w:rsidR="00DB7466" w:rsidRDefault="00DB7466" w:rsidP="00AD4EA1"/>
    <w:p w14:paraId="026DFBFC" w14:textId="77777777" w:rsidR="00DB7466" w:rsidRDefault="00DB7466" w:rsidP="00AD4EA1"/>
    <w:p w14:paraId="5068B48F" w14:textId="77777777" w:rsidR="00DB7466" w:rsidRDefault="00DB7466" w:rsidP="00AD4EA1"/>
    <w:p w14:paraId="5BE3ACC3" w14:textId="77777777" w:rsidR="00DB7466" w:rsidRDefault="00DB7466" w:rsidP="00AD4EA1"/>
    <w:p w14:paraId="4867AB60" w14:textId="77777777" w:rsidR="00DB7466" w:rsidRDefault="00DB7466" w:rsidP="00AD4EA1"/>
    <w:p w14:paraId="4C26695A" w14:textId="77777777" w:rsidR="00DB7466" w:rsidRDefault="00DB7466" w:rsidP="00AD4EA1"/>
    <w:p w14:paraId="78A4759D" w14:textId="77777777" w:rsidR="00DB7466" w:rsidRDefault="00DB7466" w:rsidP="00AD4EA1"/>
    <w:p w14:paraId="5840F2A8" w14:textId="77777777" w:rsidR="00DB7466" w:rsidRDefault="00DB7466" w:rsidP="00AD4EA1"/>
    <w:p w14:paraId="4EAA0327" w14:textId="77777777" w:rsidR="00DB7466" w:rsidRDefault="00DB7466" w:rsidP="00AD4EA1"/>
    <w:p w14:paraId="6B47CD20" w14:textId="77777777" w:rsidR="00DB7466" w:rsidRDefault="00DB7466" w:rsidP="00AD4EA1"/>
    <w:p w14:paraId="3C953C49" w14:textId="77777777" w:rsidR="00DB7466" w:rsidRDefault="00DB7466" w:rsidP="00AD4EA1"/>
    <w:p w14:paraId="44369981" w14:textId="77777777" w:rsidR="00DB7466" w:rsidRDefault="00DB7466" w:rsidP="00AD4EA1"/>
    <w:p w14:paraId="7DABD3A9" w14:textId="77777777" w:rsidR="00DB7466" w:rsidRDefault="00DB7466" w:rsidP="00AD4EA1"/>
    <w:p w14:paraId="43E3E684" w14:textId="77777777" w:rsidR="00DB7466" w:rsidRDefault="00DB7466" w:rsidP="00AD4EA1"/>
    <w:p w14:paraId="190F33FE" w14:textId="77777777" w:rsidR="00DB7466" w:rsidRDefault="00DB7466" w:rsidP="00AD4EA1"/>
    <w:p w14:paraId="774A492C" w14:textId="77777777" w:rsidR="00DB7466" w:rsidRDefault="00DB7466" w:rsidP="00AD4EA1"/>
    <w:p w14:paraId="77E61C22" w14:textId="77777777" w:rsidR="00DB7466" w:rsidRDefault="00DB7466" w:rsidP="00AD4EA1"/>
    <w:p w14:paraId="51D24DFE" w14:textId="77777777" w:rsidR="00DB7466" w:rsidRDefault="00DB7466" w:rsidP="00AD4EA1"/>
    <w:p w14:paraId="0C06FD0B" w14:textId="77777777" w:rsidR="00DB7466" w:rsidRDefault="00DB7466" w:rsidP="00AD4EA1"/>
    <w:p w14:paraId="03263477" w14:textId="77777777" w:rsidR="00DB7466" w:rsidRDefault="00DB7466" w:rsidP="00AD4EA1"/>
    <w:p w14:paraId="6BB765CF" w14:textId="77777777" w:rsidR="00DB7466" w:rsidRDefault="00DB7466" w:rsidP="00AD4EA1"/>
    <w:p w14:paraId="75C9B953" w14:textId="77777777" w:rsidR="00DB7466" w:rsidRDefault="00DB7466" w:rsidP="00AD4EA1"/>
    <w:p w14:paraId="56D7911F" w14:textId="77777777" w:rsidR="00DB7466" w:rsidRDefault="00DB7466" w:rsidP="00AD4EA1"/>
    <w:p w14:paraId="26E748BA" w14:textId="77777777" w:rsidR="00DB7466" w:rsidRDefault="00DB7466" w:rsidP="00AD4EA1"/>
    <w:p w14:paraId="11DDC1B8" w14:textId="77777777" w:rsidR="00DB7466" w:rsidRDefault="00DB7466" w:rsidP="00AD4EA1"/>
    <w:p w14:paraId="035D6186" w14:textId="77777777" w:rsidR="00DB7466" w:rsidRDefault="00DB7466" w:rsidP="00AD4EA1"/>
    <w:p w14:paraId="30731591" w14:textId="77777777" w:rsidR="00DB7466" w:rsidRDefault="00DB7466" w:rsidP="00AD4EA1"/>
    <w:p w14:paraId="4A0F24E1" w14:textId="77777777" w:rsidR="00DB7466" w:rsidRDefault="00DB7466" w:rsidP="00AD4EA1"/>
    <w:p w14:paraId="4206B756" w14:textId="77777777" w:rsidR="00DB7466" w:rsidRDefault="00DB7466" w:rsidP="00AD4EA1"/>
    <w:p w14:paraId="16B431CA" w14:textId="77777777" w:rsidR="00DB7466" w:rsidRDefault="00DB7466" w:rsidP="00AD4EA1"/>
    <w:p w14:paraId="19E6DA2B" w14:textId="77777777" w:rsidR="00DB7466" w:rsidRDefault="00DB7466" w:rsidP="00AD4EA1"/>
    <w:p w14:paraId="484C578C" w14:textId="77777777" w:rsidR="00DB7466" w:rsidRDefault="00DB7466" w:rsidP="00AD4EA1"/>
    <w:p w14:paraId="33C76AFB" w14:textId="77777777" w:rsidR="00DB7466" w:rsidRDefault="00DB7466" w:rsidP="00AD4EA1"/>
    <w:p w14:paraId="045FDFDA" w14:textId="77777777" w:rsidR="00DB7466" w:rsidRDefault="00DB7466" w:rsidP="00AD4EA1"/>
    <w:p w14:paraId="6D1B584D" w14:textId="77777777" w:rsidR="00DB7466" w:rsidRDefault="00DB7466" w:rsidP="00AD4EA1"/>
    <w:p w14:paraId="4D178552" w14:textId="77777777" w:rsidR="00DB7466" w:rsidRDefault="00DB7466" w:rsidP="00AD4EA1"/>
    <w:p w14:paraId="1A6284AA" w14:textId="77777777" w:rsidR="00DB7466" w:rsidRDefault="00DB7466" w:rsidP="00AD4EA1"/>
    <w:p w14:paraId="50883A7C" w14:textId="77777777" w:rsidR="00DB7466" w:rsidRDefault="00DB7466" w:rsidP="00AD4EA1"/>
    <w:p w14:paraId="153880E4" w14:textId="77777777" w:rsidR="00DB7466" w:rsidRDefault="00DB7466" w:rsidP="00AD4EA1"/>
    <w:p w14:paraId="33B55623" w14:textId="77777777" w:rsidR="00DB7466" w:rsidRDefault="00DB7466" w:rsidP="00AD4EA1"/>
    <w:p w14:paraId="4EB6561B" w14:textId="77777777" w:rsidR="00DB7466" w:rsidRDefault="00DB7466" w:rsidP="00AD4EA1"/>
    <w:p w14:paraId="44121809" w14:textId="77777777" w:rsidR="00DB7466" w:rsidRDefault="00DB7466" w:rsidP="00AD4EA1"/>
    <w:p w14:paraId="0530DD07" w14:textId="77777777" w:rsidR="00DB7466" w:rsidRDefault="00DB7466" w:rsidP="00AD4EA1"/>
    <w:p w14:paraId="3E9BFB28" w14:textId="77777777" w:rsidR="00DB7466" w:rsidRDefault="00DB7466" w:rsidP="00AD4EA1"/>
    <w:p w14:paraId="00FF0E6B" w14:textId="77777777" w:rsidR="00DB7466" w:rsidRDefault="00DB7466" w:rsidP="00AD4EA1"/>
    <w:p w14:paraId="53D8CD07" w14:textId="77777777" w:rsidR="00DB7466" w:rsidRDefault="00DB7466" w:rsidP="00AD4EA1"/>
    <w:p w14:paraId="3F3E5B30" w14:textId="77777777" w:rsidR="00DB7466" w:rsidRDefault="00DB7466" w:rsidP="00AD4EA1"/>
    <w:p w14:paraId="563D16FB" w14:textId="77777777" w:rsidR="00DB7466" w:rsidRDefault="00DB7466" w:rsidP="00AD4EA1"/>
    <w:p w14:paraId="00A76D29" w14:textId="77777777" w:rsidR="00DB7466" w:rsidRDefault="00DB7466" w:rsidP="00AD4EA1"/>
    <w:p w14:paraId="3213666F" w14:textId="77777777" w:rsidR="00DB7466" w:rsidRDefault="00DB7466" w:rsidP="00AD4EA1"/>
    <w:p w14:paraId="2D4D6E11" w14:textId="77777777" w:rsidR="00DB7466" w:rsidRDefault="00DB7466" w:rsidP="00AD4EA1"/>
    <w:p w14:paraId="0E845AEF" w14:textId="77777777" w:rsidR="00DB7466" w:rsidRDefault="00DB7466" w:rsidP="00AD4EA1"/>
    <w:p w14:paraId="06A12901" w14:textId="77777777" w:rsidR="00DB7466" w:rsidRDefault="00DB7466" w:rsidP="00AD4EA1"/>
    <w:p w14:paraId="6FAEC099" w14:textId="77777777" w:rsidR="00DB7466" w:rsidRDefault="00DB7466" w:rsidP="00AD4EA1"/>
    <w:p w14:paraId="1E1F9CBE" w14:textId="77777777" w:rsidR="00DB7466" w:rsidRDefault="00DB7466" w:rsidP="00AD4EA1"/>
    <w:p w14:paraId="3DCCD727" w14:textId="77777777" w:rsidR="00DB7466" w:rsidRDefault="00DB7466" w:rsidP="00AD4EA1"/>
    <w:p w14:paraId="7666BA7F" w14:textId="77777777" w:rsidR="00DB7466" w:rsidRDefault="00DB7466" w:rsidP="00AD4EA1"/>
    <w:p w14:paraId="5E0D9757" w14:textId="77777777" w:rsidR="00DB7466" w:rsidRDefault="00DB7466" w:rsidP="00AD4EA1"/>
    <w:p w14:paraId="4A73D286" w14:textId="77777777" w:rsidR="00DB7466" w:rsidRDefault="00DB7466" w:rsidP="00AD4EA1"/>
    <w:p w14:paraId="58604A6D" w14:textId="77777777" w:rsidR="00DB7466" w:rsidRDefault="00DB7466" w:rsidP="00AD4EA1"/>
    <w:p w14:paraId="01141915" w14:textId="77777777" w:rsidR="00DB7466" w:rsidRDefault="00DB7466" w:rsidP="00AD4EA1"/>
    <w:p w14:paraId="7B12FA2A" w14:textId="77777777" w:rsidR="00DB7466" w:rsidRDefault="00DB7466" w:rsidP="00AD4EA1"/>
    <w:p w14:paraId="22141EAA" w14:textId="77777777" w:rsidR="00DB7466" w:rsidRDefault="00DB7466" w:rsidP="00AD4EA1"/>
    <w:p w14:paraId="78E91315" w14:textId="77777777" w:rsidR="00DB7466" w:rsidRDefault="00DB7466" w:rsidP="00AD4EA1"/>
    <w:p w14:paraId="208DF6BB" w14:textId="77777777" w:rsidR="00DB7466" w:rsidRDefault="00DB7466" w:rsidP="00AD4EA1"/>
    <w:p w14:paraId="013F1F35" w14:textId="77777777" w:rsidR="00DB7466" w:rsidRDefault="00DB7466" w:rsidP="00AD4EA1"/>
    <w:p w14:paraId="6D9CDB5D" w14:textId="77777777" w:rsidR="00DB7466" w:rsidRDefault="00DB7466" w:rsidP="00AD4EA1"/>
    <w:p w14:paraId="359877F2" w14:textId="77777777" w:rsidR="00DB7466" w:rsidRDefault="00DB7466" w:rsidP="00AD4EA1"/>
    <w:p w14:paraId="353E595A" w14:textId="77777777" w:rsidR="00DB7466" w:rsidRDefault="00DB7466" w:rsidP="00AD4EA1"/>
    <w:p w14:paraId="33F6B4C0" w14:textId="77777777" w:rsidR="00DB7466" w:rsidRDefault="00DB7466" w:rsidP="00AD4EA1"/>
    <w:p w14:paraId="1A810889" w14:textId="77777777" w:rsidR="00DB7466" w:rsidRDefault="00DB7466" w:rsidP="00AD4EA1"/>
    <w:p w14:paraId="633140FD" w14:textId="77777777" w:rsidR="00DB7466" w:rsidRDefault="00DB7466" w:rsidP="00AD4EA1"/>
    <w:p w14:paraId="73972637" w14:textId="77777777" w:rsidR="00DB7466" w:rsidRDefault="00DB7466" w:rsidP="00AD4EA1"/>
    <w:p w14:paraId="08A1F2F0" w14:textId="77777777" w:rsidR="00DB7466" w:rsidRDefault="00DB7466" w:rsidP="00AD4EA1"/>
    <w:p w14:paraId="47F1847B" w14:textId="77777777" w:rsidR="00DB7466" w:rsidRDefault="00DB7466" w:rsidP="00AD4EA1"/>
    <w:p w14:paraId="17742B5E" w14:textId="77777777" w:rsidR="00DB7466" w:rsidRDefault="00DB7466" w:rsidP="00AD4EA1"/>
    <w:p w14:paraId="5EB06FF7" w14:textId="77777777" w:rsidR="00DB7466" w:rsidRDefault="00DB7466" w:rsidP="00AD4EA1"/>
    <w:p w14:paraId="31C44720" w14:textId="77777777" w:rsidR="00DB7466" w:rsidRDefault="00DB7466" w:rsidP="00AD4EA1"/>
    <w:p w14:paraId="51E95BC8" w14:textId="77777777" w:rsidR="00DB7466" w:rsidRDefault="00DB7466" w:rsidP="00AD4EA1"/>
    <w:p w14:paraId="0072FA9A" w14:textId="77777777" w:rsidR="00DB7466" w:rsidRDefault="00DB7466" w:rsidP="00AD4EA1"/>
    <w:p w14:paraId="56048B7C" w14:textId="77777777" w:rsidR="00DB7466" w:rsidRDefault="00DB7466" w:rsidP="00AD4EA1"/>
    <w:p w14:paraId="0767EDF7" w14:textId="77777777" w:rsidR="00DB7466" w:rsidRDefault="00DB7466" w:rsidP="00AD4EA1"/>
    <w:p w14:paraId="3920DA79" w14:textId="77777777" w:rsidR="00DB7466" w:rsidRDefault="00DB7466" w:rsidP="00AD4EA1"/>
    <w:p w14:paraId="3C6A2135" w14:textId="77777777" w:rsidR="00DB7466" w:rsidRDefault="00DB7466" w:rsidP="00AD4EA1"/>
    <w:p w14:paraId="4E88D282" w14:textId="77777777" w:rsidR="00DB7466" w:rsidRDefault="00DB7466" w:rsidP="00AD4EA1"/>
    <w:p w14:paraId="7200A069" w14:textId="77777777" w:rsidR="00DB7466" w:rsidRDefault="00DB7466" w:rsidP="00AD4EA1"/>
    <w:p w14:paraId="1D16DE86" w14:textId="77777777" w:rsidR="00DB7466" w:rsidRDefault="00DB7466" w:rsidP="00AD4EA1"/>
    <w:p w14:paraId="11637042" w14:textId="77777777" w:rsidR="00DB7466" w:rsidRDefault="00DB7466" w:rsidP="00AD4EA1"/>
    <w:p w14:paraId="2ED64295" w14:textId="77777777" w:rsidR="00DB7466" w:rsidRDefault="00DB7466" w:rsidP="00AD4EA1"/>
    <w:p w14:paraId="6CC52737" w14:textId="77777777" w:rsidR="00DB7466" w:rsidRDefault="00DB7466" w:rsidP="00AD4EA1"/>
    <w:p w14:paraId="627E680F" w14:textId="77777777" w:rsidR="00DB7466" w:rsidRDefault="00DB7466" w:rsidP="00AD4EA1"/>
    <w:p w14:paraId="266AE3B0" w14:textId="77777777" w:rsidR="00DB7466" w:rsidRDefault="00DB7466" w:rsidP="00AD4EA1"/>
    <w:p w14:paraId="6DADA16A" w14:textId="77777777" w:rsidR="00DB7466" w:rsidRDefault="00DB7466" w:rsidP="00AD4EA1"/>
    <w:p w14:paraId="39164E7A" w14:textId="77777777" w:rsidR="00DB7466" w:rsidRDefault="00DB7466" w:rsidP="00AD4EA1"/>
    <w:p w14:paraId="27CD789C" w14:textId="77777777" w:rsidR="00DB7466" w:rsidRDefault="00DB7466" w:rsidP="00AD4EA1"/>
    <w:p w14:paraId="1098CDCB" w14:textId="77777777" w:rsidR="00DB7466" w:rsidRDefault="00DB7466" w:rsidP="00AD4EA1"/>
    <w:p w14:paraId="511BA569" w14:textId="77777777" w:rsidR="00DB7466" w:rsidRDefault="00DB7466" w:rsidP="00AD4EA1"/>
    <w:p w14:paraId="2CA57D9E" w14:textId="77777777" w:rsidR="00DB7466" w:rsidRDefault="00DB7466" w:rsidP="00AD4EA1"/>
    <w:p w14:paraId="63D0F362" w14:textId="77777777" w:rsidR="00DB7466" w:rsidRDefault="00DB7466" w:rsidP="00AD4EA1"/>
    <w:p w14:paraId="6215E066" w14:textId="77777777" w:rsidR="00DB7466" w:rsidRDefault="00DB7466" w:rsidP="00AD4EA1"/>
    <w:p w14:paraId="7C4E952C" w14:textId="77777777" w:rsidR="00DB7466" w:rsidRDefault="00DB7466" w:rsidP="00AD4EA1"/>
    <w:p w14:paraId="6DBDBD4E" w14:textId="77777777" w:rsidR="00DB7466" w:rsidRDefault="00DB7466" w:rsidP="00AD4EA1"/>
    <w:p w14:paraId="23145126" w14:textId="77777777" w:rsidR="00DB7466" w:rsidRDefault="00DB7466" w:rsidP="00AD4EA1"/>
    <w:p w14:paraId="5D79E35D" w14:textId="77777777" w:rsidR="00DB7466" w:rsidRDefault="00DB7466" w:rsidP="00AD4EA1"/>
    <w:p w14:paraId="28144858" w14:textId="77777777" w:rsidR="00DB7466" w:rsidRDefault="00DB7466" w:rsidP="00AD4EA1"/>
    <w:p w14:paraId="2D281E7A" w14:textId="77777777" w:rsidR="00DB7466" w:rsidRDefault="00DB7466" w:rsidP="00AD4EA1"/>
    <w:p w14:paraId="7726053C" w14:textId="77777777" w:rsidR="00DB7466" w:rsidRDefault="00DB7466" w:rsidP="00AD4EA1"/>
    <w:p w14:paraId="08A3C39D" w14:textId="77777777" w:rsidR="00DB7466" w:rsidRDefault="00DB7466" w:rsidP="00AD4EA1"/>
    <w:p w14:paraId="0D941868" w14:textId="77777777" w:rsidR="00DB7466" w:rsidRDefault="00DB7466" w:rsidP="00AD4EA1"/>
    <w:p w14:paraId="0579145E" w14:textId="77777777" w:rsidR="00DB7466" w:rsidRDefault="00DB7466" w:rsidP="00AD4EA1"/>
    <w:p w14:paraId="110F11AC" w14:textId="77777777" w:rsidR="00DB7466" w:rsidRDefault="00DB7466" w:rsidP="00AD4EA1"/>
    <w:p w14:paraId="0A25BDD1" w14:textId="77777777" w:rsidR="00DB7466" w:rsidRDefault="00DB7466" w:rsidP="00AD4EA1"/>
    <w:p w14:paraId="64EFB598" w14:textId="77777777" w:rsidR="00DB7466" w:rsidRDefault="00DB7466" w:rsidP="00AD4EA1"/>
    <w:p w14:paraId="5B166AAC" w14:textId="77777777" w:rsidR="00DB7466" w:rsidRDefault="00DB7466" w:rsidP="00AD4EA1"/>
    <w:p w14:paraId="06073C41" w14:textId="77777777" w:rsidR="00DB7466" w:rsidRDefault="00DB7466" w:rsidP="00AD4EA1"/>
    <w:p w14:paraId="5E9F2F13" w14:textId="77777777" w:rsidR="00DB7466" w:rsidRDefault="00DB7466" w:rsidP="00AD4EA1"/>
    <w:p w14:paraId="1BDDE537" w14:textId="77777777" w:rsidR="00DB7466" w:rsidRDefault="00DB7466" w:rsidP="00AD4EA1"/>
    <w:p w14:paraId="2AAF2561" w14:textId="77777777" w:rsidR="00DB7466" w:rsidRDefault="00DB7466" w:rsidP="00AD4EA1"/>
    <w:p w14:paraId="1C39CF22" w14:textId="77777777" w:rsidR="00DB7466" w:rsidRDefault="00DB7466" w:rsidP="00AD4EA1"/>
    <w:p w14:paraId="70CC1D78" w14:textId="77777777" w:rsidR="00DB7466" w:rsidRDefault="00DB7466" w:rsidP="00AD4EA1"/>
    <w:p w14:paraId="619387CB" w14:textId="77777777" w:rsidR="00DB7466" w:rsidRDefault="00DB7466" w:rsidP="00AD4EA1"/>
    <w:p w14:paraId="73CD52AE" w14:textId="77777777" w:rsidR="00DB7466" w:rsidRDefault="00DB7466" w:rsidP="00AD4EA1"/>
    <w:p w14:paraId="26E9D88B" w14:textId="77777777" w:rsidR="00DB7466" w:rsidRDefault="00DB7466" w:rsidP="00AD4EA1"/>
    <w:p w14:paraId="742525BC" w14:textId="77777777" w:rsidR="00DB7466" w:rsidRDefault="00DB7466" w:rsidP="00AD4EA1"/>
    <w:p w14:paraId="502583F3" w14:textId="77777777" w:rsidR="00DB7466" w:rsidRDefault="00DB7466" w:rsidP="00AD4EA1"/>
    <w:p w14:paraId="4A43D56C" w14:textId="77777777" w:rsidR="00DB7466" w:rsidRDefault="00DB7466" w:rsidP="00AD4EA1"/>
    <w:p w14:paraId="275F6967" w14:textId="77777777" w:rsidR="00DB7466" w:rsidRDefault="00DB7466" w:rsidP="00AD4EA1"/>
    <w:p w14:paraId="125B4DBE" w14:textId="77777777" w:rsidR="00DB7466" w:rsidRDefault="00DB7466" w:rsidP="00AD4EA1"/>
    <w:p w14:paraId="53C223C6" w14:textId="77777777" w:rsidR="00DB7466" w:rsidRDefault="00DB7466" w:rsidP="00AD4EA1"/>
    <w:p w14:paraId="59E35425" w14:textId="77777777" w:rsidR="00DB7466" w:rsidRDefault="00DB7466" w:rsidP="00AD4EA1"/>
    <w:p w14:paraId="011FFAE5" w14:textId="77777777" w:rsidR="00DB7466" w:rsidRDefault="00DB7466" w:rsidP="00AD4EA1"/>
    <w:p w14:paraId="42E8C270" w14:textId="77777777" w:rsidR="00DB7466" w:rsidRDefault="00DB7466" w:rsidP="00AD4EA1"/>
    <w:p w14:paraId="767812B6" w14:textId="77777777" w:rsidR="00DB7466" w:rsidRDefault="00DB7466" w:rsidP="00AD4EA1"/>
    <w:p w14:paraId="7772B51E" w14:textId="77777777" w:rsidR="00DB7466" w:rsidRDefault="00DB7466" w:rsidP="00AD4EA1"/>
    <w:p w14:paraId="069B3A69" w14:textId="77777777" w:rsidR="00DB7466" w:rsidRDefault="00DB7466" w:rsidP="00AD4EA1"/>
    <w:p w14:paraId="0C1C8106" w14:textId="77777777" w:rsidR="00DB7466" w:rsidRDefault="00DB7466" w:rsidP="00AD4EA1"/>
    <w:p w14:paraId="3C8E8378" w14:textId="77777777" w:rsidR="00DB7466" w:rsidRDefault="00DB7466" w:rsidP="00AD4EA1"/>
    <w:p w14:paraId="42566697" w14:textId="77777777" w:rsidR="00DB7466" w:rsidRDefault="00DB7466" w:rsidP="00AD4EA1"/>
    <w:p w14:paraId="07AA7A16" w14:textId="77777777" w:rsidR="00DB7466" w:rsidRDefault="00DB7466" w:rsidP="00AD4EA1"/>
    <w:p w14:paraId="321A5F8E" w14:textId="77777777" w:rsidR="00DB7466" w:rsidRDefault="00DB7466" w:rsidP="00AD4EA1"/>
    <w:p w14:paraId="38D0A1F4" w14:textId="77777777" w:rsidR="00DB7466" w:rsidRDefault="00DB7466" w:rsidP="00AD4EA1"/>
    <w:p w14:paraId="36E1DF8A" w14:textId="77777777" w:rsidR="00DB7466" w:rsidRDefault="00DB7466" w:rsidP="00AD4EA1"/>
    <w:p w14:paraId="12497911" w14:textId="77777777" w:rsidR="00DB7466" w:rsidRDefault="00DB7466" w:rsidP="00AD4EA1"/>
    <w:p w14:paraId="27B6430A" w14:textId="77777777" w:rsidR="00DB7466" w:rsidRDefault="00DB7466" w:rsidP="00AD4EA1"/>
    <w:p w14:paraId="1636A383" w14:textId="77777777" w:rsidR="00DB7466" w:rsidRDefault="00DB7466" w:rsidP="00AD4EA1"/>
    <w:p w14:paraId="492B9A01" w14:textId="77777777" w:rsidR="00DB7466" w:rsidRDefault="00DB7466" w:rsidP="00AD4EA1"/>
    <w:p w14:paraId="28BFE1CB" w14:textId="77777777" w:rsidR="00DB7466" w:rsidRDefault="00DB7466" w:rsidP="00AD4EA1"/>
    <w:p w14:paraId="644602E2" w14:textId="77777777" w:rsidR="00DB7466" w:rsidRDefault="00DB7466" w:rsidP="00AD4EA1"/>
    <w:p w14:paraId="6CE985A5" w14:textId="77777777" w:rsidR="00DB7466" w:rsidRDefault="00DB7466" w:rsidP="00AD4EA1"/>
    <w:p w14:paraId="55B8FA35" w14:textId="77777777" w:rsidR="00DB7466" w:rsidRDefault="00DB7466" w:rsidP="00AD4EA1"/>
    <w:p w14:paraId="3463B96B" w14:textId="77777777" w:rsidR="00DB7466" w:rsidRDefault="00DB7466" w:rsidP="00AD4EA1"/>
    <w:p w14:paraId="70CD0281" w14:textId="77777777" w:rsidR="00DB7466" w:rsidRDefault="00DB7466" w:rsidP="00AD4EA1"/>
    <w:p w14:paraId="03E5F764" w14:textId="77777777" w:rsidR="00DB7466" w:rsidRDefault="00DB7466" w:rsidP="00AD4EA1"/>
    <w:p w14:paraId="285079CB" w14:textId="77777777" w:rsidR="00DB7466" w:rsidRDefault="00DB7466" w:rsidP="00AD4EA1"/>
    <w:p w14:paraId="325D18A5" w14:textId="77777777" w:rsidR="00DB7466" w:rsidRDefault="00DB7466" w:rsidP="00AD4EA1"/>
    <w:p w14:paraId="388738C0" w14:textId="77777777" w:rsidR="00DB7466" w:rsidRDefault="00DB7466" w:rsidP="00AD4EA1"/>
    <w:p w14:paraId="3698EA2E" w14:textId="77777777" w:rsidR="00DB7466" w:rsidRDefault="00DB7466" w:rsidP="00AD4EA1"/>
    <w:p w14:paraId="235CA4AE" w14:textId="77777777" w:rsidR="00DB7466" w:rsidRDefault="00DB7466" w:rsidP="00AD4EA1"/>
    <w:p w14:paraId="34266301" w14:textId="77777777" w:rsidR="00DB7466" w:rsidRDefault="00DB7466" w:rsidP="00AD4EA1"/>
    <w:p w14:paraId="3FB0F541" w14:textId="77777777" w:rsidR="00DB7466" w:rsidRDefault="00DB7466" w:rsidP="00AD4EA1"/>
    <w:p w14:paraId="02BD9AEE" w14:textId="77777777" w:rsidR="00DB7466" w:rsidRDefault="00DB7466" w:rsidP="00AD4EA1"/>
    <w:p w14:paraId="3EED478C" w14:textId="77777777" w:rsidR="00DB7466" w:rsidRDefault="00DB7466" w:rsidP="00AD4EA1"/>
    <w:p w14:paraId="2FDE8A59" w14:textId="77777777" w:rsidR="00DB7466" w:rsidRDefault="00DB7466" w:rsidP="00AD4EA1"/>
    <w:p w14:paraId="076E4390" w14:textId="77777777" w:rsidR="00DB7466" w:rsidRDefault="00DB7466" w:rsidP="00AD4EA1"/>
    <w:p w14:paraId="2C22ACE0" w14:textId="77777777" w:rsidR="00DB7466" w:rsidRDefault="00DB7466" w:rsidP="00AD4EA1"/>
    <w:p w14:paraId="494EE4BE" w14:textId="77777777" w:rsidR="00DB7466" w:rsidRDefault="00DB7466" w:rsidP="00AD4EA1"/>
    <w:p w14:paraId="72AA1EEB" w14:textId="77777777" w:rsidR="00DB7466" w:rsidRDefault="00DB7466" w:rsidP="00AD4EA1"/>
    <w:p w14:paraId="03710BAB" w14:textId="77777777" w:rsidR="00DB7466" w:rsidRDefault="00DB7466" w:rsidP="00AD4EA1"/>
    <w:p w14:paraId="22D960FC" w14:textId="77777777" w:rsidR="00DB7466" w:rsidRDefault="00DB7466" w:rsidP="00AD4EA1"/>
    <w:p w14:paraId="086A706D" w14:textId="77777777" w:rsidR="00DB7466" w:rsidRDefault="00DB7466" w:rsidP="00AD4EA1"/>
    <w:p w14:paraId="7667C702" w14:textId="77777777" w:rsidR="00DB7466" w:rsidRDefault="00DB7466" w:rsidP="00AD4EA1"/>
    <w:p w14:paraId="064A8786" w14:textId="77777777" w:rsidR="00DB7466" w:rsidRDefault="00DB7466" w:rsidP="00AD4EA1"/>
    <w:p w14:paraId="743DD374" w14:textId="77777777" w:rsidR="00DB7466" w:rsidRDefault="00DB7466" w:rsidP="00AD4EA1"/>
    <w:p w14:paraId="02E5F6B1" w14:textId="77777777" w:rsidR="00DB7466" w:rsidRDefault="00DB7466" w:rsidP="00AD4EA1"/>
    <w:p w14:paraId="4B3586FE" w14:textId="77777777" w:rsidR="00DB7466" w:rsidRDefault="00DB7466" w:rsidP="00AD4EA1"/>
    <w:p w14:paraId="5F889BEF" w14:textId="77777777" w:rsidR="00DB7466" w:rsidRDefault="00DB7466" w:rsidP="00AD4EA1"/>
    <w:p w14:paraId="16D3129E" w14:textId="77777777" w:rsidR="00DB7466" w:rsidRDefault="00DB7466" w:rsidP="00AD4EA1"/>
    <w:p w14:paraId="3A7DF55D" w14:textId="77777777" w:rsidR="00DB7466" w:rsidRDefault="00DB7466" w:rsidP="00AD4EA1"/>
    <w:p w14:paraId="0D3AD2F2" w14:textId="77777777" w:rsidR="00DB7466" w:rsidRDefault="00DB7466" w:rsidP="00AD4EA1"/>
    <w:p w14:paraId="24BB3F72" w14:textId="77777777" w:rsidR="00DB7466" w:rsidRDefault="00DB7466" w:rsidP="00AD4EA1"/>
    <w:p w14:paraId="3E7DAE5D" w14:textId="77777777" w:rsidR="00DB7466" w:rsidRDefault="00DB7466" w:rsidP="00AD4EA1"/>
    <w:p w14:paraId="7696F73B" w14:textId="77777777" w:rsidR="00DB7466" w:rsidRDefault="00DB7466" w:rsidP="00AD4EA1"/>
    <w:p w14:paraId="18977D49" w14:textId="77777777" w:rsidR="00DB7466" w:rsidRDefault="00DB7466" w:rsidP="00AD4EA1"/>
    <w:p w14:paraId="06AE0DE6" w14:textId="77777777" w:rsidR="00DB7466" w:rsidRDefault="00DB7466" w:rsidP="00AD4EA1"/>
    <w:p w14:paraId="5E57E2C1" w14:textId="77777777" w:rsidR="00DB7466" w:rsidRDefault="00DB7466" w:rsidP="00AD4EA1"/>
    <w:p w14:paraId="6CA2FAC6" w14:textId="77777777" w:rsidR="00DB7466" w:rsidRDefault="00DB7466" w:rsidP="00AD4EA1"/>
    <w:p w14:paraId="437B7704" w14:textId="77777777" w:rsidR="00DB7466" w:rsidRDefault="00DB7466" w:rsidP="00AD4EA1"/>
    <w:p w14:paraId="72919C4E" w14:textId="77777777" w:rsidR="00DB7466" w:rsidRDefault="00DB7466" w:rsidP="00AD4EA1"/>
    <w:p w14:paraId="572663F4" w14:textId="77777777" w:rsidR="00DB7466" w:rsidRDefault="00DB7466" w:rsidP="00AD4EA1"/>
    <w:p w14:paraId="76D57F26" w14:textId="77777777" w:rsidR="00DB7466" w:rsidRDefault="00DB7466" w:rsidP="00AD4EA1"/>
    <w:p w14:paraId="777BCA24" w14:textId="77777777" w:rsidR="00DB7466" w:rsidRDefault="00DB7466" w:rsidP="00AD4EA1"/>
    <w:p w14:paraId="6306B24C" w14:textId="77777777" w:rsidR="00DB7466" w:rsidRDefault="00DB7466" w:rsidP="00AD4EA1"/>
    <w:p w14:paraId="12F30B1E" w14:textId="77777777" w:rsidR="00DB7466" w:rsidRDefault="00DB7466" w:rsidP="00AD4EA1"/>
    <w:p w14:paraId="10FE3AE5" w14:textId="77777777" w:rsidR="00DB7466" w:rsidRDefault="00DB7466" w:rsidP="00AD4EA1"/>
    <w:p w14:paraId="04261120" w14:textId="77777777" w:rsidR="00DB7466" w:rsidRDefault="00DB7466" w:rsidP="00AD4EA1"/>
    <w:p w14:paraId="436BB95D" w14:textId="77777777" w:rsidR="00DB7466" w:rsidRDefault="00DB7466" w:rsidP="00AD4EA1"/>
    <w:p w14:paraId="16B2FC3B" w14:textId="77777777" w:rsidR="00DB7466" w:rsidRDefault="00DB7466" w:rsidP="00AD4EA1"/>
    <w:p w14:paraId="6B8315EF" w14:textId="77777777" w:rsidR="00DB7466" w:rsidRDefault="00DB7466" w:rsidP="00AD4EA1"/>
    <w:p w14:paraId="1EED5C00" w14:textId="77777777" w:rsidR="00DB7466" w:rsidRDefault="00DB7466" w:rsidP="00AD4EA1"/>
    <w:p w14:paraId="12EF2E51" w14:textId="77777777" w:rsidR="00DB7466" w:rsidRDefault="00DB7466" w:rsidP="00AD4EA1"/>
    <w:p w14:paraId="7CD08362" w14:textId="77777777" w:rsidR="00DB7466" w:rsidRDefault="00DB7466" w:rsidP="00AD4EA1"/>
    <w:p w14:paraId="664D3C03" w14:textId="77777777" w:rsidR="00DB7466" w:rsidRDefault="00DB7466" w:rsidP="00AD4EA1"/>
    <w:p w14:paraId="3C043135" w14:textId="77777777" w:rsidR="00DB7466" w:rsidRDefault="00DB7466" w:rsidP="00AD4EA1"/>
    <w:p w14:paraId="07E08A3C" w14:textId="77777777" w:rsidR="00DB7466" w:rsidRDefault="00DB7466" w:rsidP="00AD4EA1"/>
    <w:p w14:paraId="4C23DA51" w14:textId="77777777" w:rsidR="00DB7466" w:rsidRDefault="00DB7466" w:rsidP="00AD4EA1"/>
    <w:p w14:paraId="167B29F3" w14:textId="77777777" w:rsidR="00DB7466" w:rsidRDefault="00DB7466" w:rsidP="00AD4EA1"/>
    <w:p w14:paraId="0E04FE8F" w14:textId="77777777" w:rsidR="00DB7466" w:rsidRDefault="00DB7466" w:rsidP="00AD4EA1"/>
    <w:p w14:paraId="70A67F06" w14:textId="77777777" w:rsidR="00DB7466" w:rsidRDefault="00DB7466" w:rsidP="00AD4EA1"/>
    <w:p w14:paraId="3E640988" w14:textId="77777777" w:rsidR="00DB7466" w:rsidRDefault="00DB7466" w:rsidP="00AD4EA1"/>
    <w:p w14:paraId="1ECE8618" w14:textId="77777777" w:rsidR="00DB7466" w:rsidRDefault="00DB7466" w:rsidP="00AD4EA1"/>
    <w:p w14:paraId="73FAF878" w14:textId="77777777" w:rsidR="00DB7466" w:rsidRDefault="00DB7466" w:rsidP="00AD4EA1"/>
    <w:p w14:paraId="7E1B04CF" w14:textId="77777777" w:rsidR="00DB7466" w:rsidRDefault="00DB7466" w:rsidP="00AD4EA1"/>
    <w:p w14:paraId="6D9464B8" w14:textId="77777777" w:rsidR="00DB7466" w:rsidRDefault="00DB7466" w:rsidP="00AD4EA1"/>
    <w:p w14:paraId="70E8D9DB" w14:textId="77777777" w:rsidR="00DB7466" w:rsidRDefault="00DB7466" w:rsidP="00AD4EA1"/>
    <w:p w14:paraId="2FFA9FDE" w14:textId="77777777" w:rsidR="00DB7466" w:rsidRDefault="00DB7466" w:rsidP="00AD4EA1"/>
    <w:p w14:paraId="3CD3E47C" w14:textId="77777777" w:rsidR="00DB7466" w:rsidRDefault="00DB7466" w:rsidP="00AD4EA1"/>
    <w:p w14:paraId="27F144E9" w14:textId="77777777" w:rsidR="00DB7466" w:rsidRDefault="00DB7466" w:rsidP="00AD4EA1"/>
    <w:p w14:paraId="6DED6CA4" w14:textId="77777777" w:rsidR="00DB7466" w:rsidRDefault="00DB7466" w:rsidP="00AD4EA1"/>
    <w:p w14:paraId="486DD327" w14:textId="77777777" w:rsidR="00DB7466" w:rsidRDefault="00DB7466" w:rsidP="00AD4EA1"/>
    <w:p w14:paraId="384A5782" w14:textId="77777777" w:rsidR="00DB7466" w:rsidRDefault="00DB7466" w:rsidP="00AD4EA1"/>
    <w:p w14:paraId="170BF5FD" w14:textId="77777777" w:rsidR="00DB7466" w:rsidRDefault="00DB7466" w:rsidP="00AD4EA1"/>
    <w:p w14:paraId="40E8A3A2" w14:textId="77777777" w:rsidR="00DB7466" w:rsidRDefault="00DB7466" w:rsidP="00AD4EA1"/>
    <w:p w14:paraId="37DA4496" w14:textId="77777777" w:rsidR="00DB7466" w:rsidRDefault="00DB7466" w:rsidP="00AD4EA1"/>
    <w:p w14:paraId="4B85F3F3" w14:textId="77777777" w:rsidR="00DB7466" w:rsidRDefault="00DB7466" w:rsidP="00AD4EA1"/>
    <w:p w14:paraId="6CEC99BA" w14:textId="77777777" w:rsidR="00DB7466" w:rsidRDefault="00DB7466" w:rsidP="00AD4EA1"/>
    <w:p w14:paraId="4BD2565A" w14:textId="77777777" w:rsidR="00DB7466" w:rsidRDefault="00DB7466" w:rsidP="00AD4EA1"/>
    <w:p w14:paraId="5F47962E" w14:textId="77777777" w:rsidR="00DB7466" w:rsidRDefault="00DB7466" w:rsidP="00AD4EA1"/>
    <w:p w14:paraId="58595A98" w14:textId="77777777" w:rsidR="00DB7466" w:rsidRDefault="00DB7466" w:rsidP="00AD4EA1"/>
    <w:p w14:paraId="76F56B08" w14:textId="77777777" w:rsidR="00DB7466" w:rsidRDefault="00DB7466" w:rsidP="00AD4EA1"/>
    <w:p w14:paraId="40180EBD" w14:textId="77777777" w:rsidR="00DB7466" w:rsidRDefault="00DB7466" w:rsidP="00AD4EA1"/>
    <w:p w14:paraId="75FA33CF" w14:textId="77777777" w:rsidR="00DB7466" w:rsidRDefault="00DB7466" w:rsidP="00AD4EA1"/>
    <w:p w14:paraId="1AA29386" w14:textId="77777777" w:rsidR="00DB7466" w:rsidRDefault="00DB7466" w:rsidP="00AD4EA1"/>
    <w:p w14:paraId="6A0230F4" w14:textId="77777777" w:rsidR="00DB7466" w:rsidRDefault="00DB7466" w:rsidP="00AD4EA1"/>
    <w:p w14:paraId="711CE019" w14:textId="77777777" w:rsidR="00DB7466" w:rsidRDefault="00DB7466" w:rsidP="00AD4EA1"/>
    <w:p w14:paraId="7BCE08A7" w14:textId="77777777" w:rsidR="00DB7466" w:rsidRDefault="00DB7466" w:rsidP="00AD4EA1"/>
    <w:p w14:paraId="2A2EEC53" w14:textId="77777777" w:rsidR="00DB7466" w:rsidRDefault="00DB7466" w:rsidP="00AD4EA1"/>
    <w:p w14:paraId="652CF727" w14:textId="77777777" w:rsidR="00DB7466" w:rsidRDefault="00DB7466" w:rsidP="00AD4EA1"/>
    <w:p w14:paraId="09128C8E" w14:textId="77777777" w:rsidR="00DB7466" w:rsidRDefault="00DB7466" w:rsidP="00AD4EA1"/>
    <w:p w14:paraId="27A6E0F4" w14:textId="77777777" w:rsidR="00DB7466" w:rsidRDefault="00DB7466" w:rsidP="00AD4EA1"/>
    <w:p w14:paraId="4810C16A" w14:textId="77777777" w:rsidR="00DB7466" w:rsidRDefault="00DB7466" w:rsidP="00AD4EA1"/>
    <w:p w14:paraId="45D8D201" w14:textId="77777777" w:rsidR="00DB7466" w:rsidRDefault="00DB7466" w:rsidP="00AD4EA1"/>
    <w:p w14:paraId="29FD49AE" w14:textId="77777777" w:rsidR="00DB7466" w:rsidRDefault="00DB7466" w:rsidP="00AD4EA1"/>
    <w:p w14:paraId="75005F77" w14:textId="77777777" w:rsidR="00DB7466" w:rsidRDefault="00DB7466" w:rsidP="00AD4EA1"/>
    <w:p w14:paraId="2A5B4E78" w14:textId="77777777" w:rsidR="00DB7466" w:rsidRDefault="00DB7466" w:rsidP="00AD4EA1"/>
    <w:p w14:paraId="0BDE1D5A" w14:textId="77777777" w:rsidR="00DB7466" w:rsidRDefault="00DB7466" w:rsidP="00AD4EA1"/>
    <w:p w14:paraId="6318AB4F" w14:textId="77777777" w:rsidR="00DB7466" w:rsidRDefault="00DB7466" w:rsidP="00AD4EA1"/>
    <w:p w14:paraId="4470D695" w14:textId="77777777" w:rsidR="00DB7466" w:rsidRDefault="00DB7466" w:rsidP="00AD4EA1"/>
    <w:p w14:paraId="37E4E6A6" w14:textId="77777777" w:rsidR="00DB7466" w:rsidRDefault="00DB7466" w:rsidP="00AD4EA1"/>
    <w:p w14:paraId="637143F2" w14:textId="77777777" w:rsidR="00DB7466" w:rsidRDefault="00DB7466" w:rsidP="00AD4EA1"/>
    <w:p w14:paraId="0B488C5C" w14:textId="77777777" w:rsidR="00DB7466" w:rsidRDefault="00DB7466" w:rsidP="00AD4EA1"/>
    <w:p w14:paraId="793D590B" w14:textId="77777777" w:rsidR="00DB7466" w:rsidRDefault="00DB7466" w:rsidP="00AD4EA1"/>
    <w:p w14:paraId="418E00F8" w14:textId="77777777" w:rsidR="00DB7466" w:rsidRDefault="00DB7466" w:rsidP="00AD4EA1"/>
    <w:p w14:paraId="7FC7FB3D" w14:textId="77777777" w:rsidR="00DB7466" w:rsidRDefault="00DB7466" w:rsidP="00AD4EA1"/>
    <w:p w14:paraId="35FE4880" w14:textId="77777777" w:rsidR="00DB7466" w:rsidRDefault="00DB7466" w:rsidP="00AD4EA1"/>
    <w:p w14:paraId="77301B5B" w14:textId="77777777" w:rsidR="00DB7466" w:rsidRDefault="00DB7466" w:rsidP="00AD4EA1"/>
    <w:p w14:paraId="0B966F7E" w14:textId="77777777" w:rsidR="00DB7466" w:rsidRDefault="00DB7466" w:rsidP="00AD4EA1"/>
    <w:p w14:paraId="253FEAF3" w14:textId="77777777" w:rsidR="00DB7466" w:rsidRDefault="00DB7466" w:rsidP="00AD4EA1"/>
    <w:p w14:paraId="20252C45" w14:textId="77777777" w:rsidR="00DB7466" w:rsidRDefault="00DB7466" w:rsidP="00AD4EA1"/>
    <w:p w14:paraId="4D200B30" w14:textId="77777777" w:rsidR="00DB7466" w:rsidRDefault="00DB7466" w:rsidP="00AD4EA1"/>
    <w:p w14:paraId="615A0C26" w14:textId="77777777" w:rsidR="00DB7466" w:rsidRDefault="00DB7466" w:rsidP="00AD4EA1"/>
    <w:p w14:paraId="5690F43B" w14:textId="77777777" w:rsidR="00DB7466" w:rsidRDefault="00DB7466" w:rsidP="00AD4EA1"/>
    <w:p w14:paraId="11F660E4" w14:textId="77777777" w:rsidR="00DB7466" w:rsidRDefault="00DB7466" w:rsidP="00AD4EA1"/>
    <w:p w14:paraId="33EFBC0F" w14:textId="77777777" w:rsidR="00DB7466" w:rsidRDefault="00DB7466" w:rsidP="00AD4EA1"/>
    <w:p w14:paraId="0F0E4BE4" w14:textId="77777777" w:rsidR="00DB7466" w:rsidRDefault="00DB7466" w:rsidP="00AD4EA1"/>
    <w:p w14:paraId="32822566" w14:textId="77777777" w:rsidR="00DB7466" w:rsidRDefault="00DB7466" w:rsidP="00AD4EA1"/>
    <w:p w14:paraId="45E17D0A" w14:textId="77777777" w:rsidR="00DB7466" w:rsidRDefault="00DB7466" w:rsidP="00AD4EA1"/>
    <w:p w14:paraId="7686D14E" w14:textId="77777777" w:rsidR="00DB7466" w:rsidRDefault="00DB7466" w:rsidP="00AD4EA1"/>
    <w:p w14:paraId="2D189406" w14:textId="77777777" w:rsidR="00DB7466" w:rsidRDefault="00DB7466" w:rsidP="00AD4EA1"/>
    <w:p w14:paraId="22F3793B" w14:textId="77777777" w:rsidR="00DB7466" w:rsidRDefault="00DB7466" w:rsidP="00AD4EA1"/>
    <w:p w14:paraId="717E981C" w14:textId="77777777" w:rsidR="00DB7466" w:rsidRDefault="00DB7466" w:rsidP="00AD4EA1"/>
    <w:p w14:paraId="209E558C" w14:textId="77777777" w:rsidR="00DB7466" w:rsidRDefault="00DB7466" w:rsidP="00AD4EA1"/>
    <w:p w14:paraId="75449A92" w14:textId="77777777" w:rsidR="00DB7466" w:rsidRDefault="00DB7466" w:rsidP="00AD4EA1"/>
    <w:p w14:paraId="63EAD483" w14:textId="77777777" w:rsidR="00DB7466" w:rsidRDefault="00DB7466" w:rsidP="00AD4EA1"/>
    <w:p w14:paraId="42E7A0FF" w14:textId="77777777" w:rsidR="00DB7466" w:rsidRDefault="00DB7466" w:rsidP="00AD4EA1"/>
    <w:p w14:paraId="4B1836B2" w14:textId="77777777" w:rsidR="00DB7466" w:rsidRDefault="00DB7466" w:rsidP="00AD4EA1"/>
    <w:p w14:paraId="7AF71F41" w14:textId="77777777" w:rsidR="00DB7466" w:rsidRDefault="00DB7466" w:rsidP="00AD4EA1"/>
    <w:p w14:paraId="75770396" w14:textId="77777777" w:rsidR="00DB7466" w:rsidRDefault="00DB7466" w:rsidP="00AD4EA1"/>
    <w:p w14:paraId="71D17ECF" w14:textId="77777777" w:rsidR="00DB7466" w:rsidRDefault="00DB7466" w:rsidP="00AD4EA1"/>
    <w:p w14:paraId="0CFACC01" w14:textId="77777777" w:rsidR="00DB7466" w:rsidRDefault="00DB7466" w:rsidP="00AD4EA1"/>
    <w:p w14:paraId="0C70FF22" w14:textId="77777777" w:rsidR="00DB7466" w:rsidRDefault="00DB7466" w:rsidP="00AD4EA1"/>
    <w:p w14:paraId="65F87ABD" w14:textId="77777777" w:rsidR="00DB7466" w:rsidRDefault="00DB7466" w:rsidP="00AD4EA1"/>
    <w:p w14:paraId="08899821" w14:textId="77777777" w:rsidR="00DB7466" w:rsidRDefault="00DB7466" w:rsidP="00AD4EA1"/>
    <w:p w14:paraId="219DD9F2" w14:textId="77777777" w:rsidR="00DB7466" w:rsidRDefault="00DB7466" w:rsidP="00AD4EA1"/>
    <w:p w14:paraId="3FBED5FB" w14:textId="77777777" w:rsidR="00DB7466" w:rsidRDefault="00DB7466" w:rsidP="00AD4EA1"/>
    <w:p w14:paraId="1723D973" w14:textId="77777777" w:rsidR="00DB7466" w:rsidRDefault="00DB7466" w:rsidP="00AD4EA1"/>
    <w:p w14:paraId="5559CD65" w14:textId="77777777" w:rsidR="00DB7466" w:rsidRDefault="00DB7466" w:rsidP="00AD4EA1"/>
    <w:p w14:paraId="71297381" w14:textId="77777777" w:rsidR="00DB7466" w:rsidRDefault="00DB7466" w:rsidP="00AD4EA1"/>
    <w:p w14:paraId="5E411792" w14:textId="77777777" w:rsidR="00DB7466" w:rsidRDefault="00DB7466" w:rsidP="00AD4EA1"/>
    <w:p w14:paraId="023211B0" w14:textId="77777777" w:rsidR="00DB7466" w:rsidRDefault="00DB7466" w:rsidP="00AD4EA1"/>
    <w:p w14:paraId="55DD31A7" w14:textId="77777777" w:rsidR="00DB7466" w:rsidRDefault="00DB7466" w:rsidP="00AD4EA1"/>
    <w:p w14:paraId="21C6ADA9" w14:textId="77777777" w:rsidR="00DB7466" w:rsidRDefault="00DB7466" w:rsidP="00AD4EA1"/>
    <w:p w14:paraId="5E00FCA4" w14:textId="77777777" w:rsidR="00DB7466" w:rsidRDefault="00DB7466" w:rsidP="00AD4EA1"/>
    <w:p w14:paraId="66E90E05" w14:textId="77777777" w:rsidR="00DB7466" w:rsidRDefault="00DB7466" w:rsidP="00AD4EA1"/>
    <w:p w14:paraId="15CBCBFB" w14:textId="77777777" w:rsidR="00DB7466" w:rsidRDefault="00DB7466" w:rsidP="00AD4EA1"/>
    <w:p w14:paraId="465D20D1" w14:textId="77777777" w:rsidR="00DB7466" w:rsidRDefault="00DB7466" w:rsidP="00AD4EA1"/>
    <w:p w14:paraId="7DC0DA73" w14:textId="77777777" w:rsidR="00DB7466" w:rsidRDefault="00DB7466" w:rsidP="00AD4EA1"/>
    <w:p w14:paraId="6A895686" w14:textId="77777777" w:rsidR="00DB7466" w:rsidRDefault="00DB7466" w:rsidP="00AD4EA1"/>
    <w:p w14:paraId="31C9507C" w14:textId="77777777" w:rsidR="00DB7466" w:rsidRDefault="00DB7466" w:rsidP="00AD4EA1"/>
    <w:p w14:paraId="13217DEA" w14:textId="77777777" w:rsidR="00DB7466" w:rsidRDefault="00DB7466" w:rsidP="00AD4EA1"/>
    <w:p w14:paraId="06E83DD2" w14:textId="77777777" w:rsidR="00DB7466" w:rsidRDefault="00DB7466" w:rsidP="00AD4EA1"/>
    <w:p w14:paraId="16986387" w14:textId="77777777" w:rsidR="00DB7466" w:rsidRDefault="00DB7466" w:rsidP="00AD4EA1"/>
    <w:p w14:paraId="6F2EFB65" w14:textId="77777777" w:rsidR="00DB7466" w:rsidRDefault="00DB7466" w:rsidP="00AD4EA1"/>
    <w:p w14:paraId="786F4B39" w14:textId="77777777" w:rsidR="00DB7466" w:rsidRDefault="00DB7466" w:rsidP="00AD4EA1"/>
    <w:p w14:paraId="60A5BB85" w14:textId="77777777" w:rsidR="00DB7466" w:rsidRDefault="00DB7466" w:rsidP="00AD4EA1"/>
    <w:p w14:paraId="5117DA39" w14:textId="77777777" w:rsidR="00DB7466" w:rsidRDefault="00DB7466" w:rsidP="00AD4EA1"/>
    <w:p w14:paraId="1B1B8EAE" w14:textId="77777777" w:rsidR="00DB7466" w:rsidRDefault="00DB7466" w:rsidP="00AD4EA1"/>
    <w:p w14:paraId="0B3D781D" w14:textId="77777777" w:rsidR="00DB7466" w:rsidRDefault="00DB7466" w:rsidP="00AD4EA1"/>
    <w:p w14:paraId="5035AE47" w14:textId="77777777" w:rsidR="00DB7466" w:rsidRDefault="00DB7466" w:rsidP="00AD4EA1"/>
    <w:p w14:paraId="366BA70C" w14:textId="77777777" w:rsidR="00DB7466" w:rsidRDefault="00DB7466" w:rsidP="00AD4EA1"/>
    <w:p w14:paraId="5AF43540" w14:textId="77777777" w:rsidR="00DB7466" w:rsidRDefault="00DB7466" w:rsidP="00AD4EA1"/>
    <w:p w14:paraId="65ABB370" w14:textId="77777777" w:rsidR="00DB7466" w:rsidRDefault="00DB7466" w:rsidP="00AD4EA1"/>
    <w:p w14:paraId="070FABB4" w14:textId="77777777" w:rsidR="00DB7466" w:rsidRDefault="00DB7466" w:rsidP="00AD4EA1"/>
    <w:p w14:paraId="7F3ACDF6" w14:textId="77777777" w:rsidR="00DB7466" w:rsidRDefault="00DB7466" w:rsidP="00AD4EA1"/>
    <w:p w14:paraId="0DFC51B4" w14:textId="77777777" w:rsidR="00DB7466" w:rsidRDefault="00DB7466" w:rsidP="00AD4EA1"/>
    <w:p w14:paraId="23D71945" w14:textId="77777777" w:rsidR="00DB7466" w:rsidRDefault="00DB7466" w:rsidP="00AD4EA1"/>
    <w:p w14:paraId="0DF12C5C" w14:textId="77777777" w:rsidR="00DB7466" w:rsidRDefault="00DB7466" w:rsidP="00AD4EA1"/>
    <w:p w14:paraId="783F730D" w14:textId="77777777" w:rsidR="00DB7466" w:rsidRDefault="00DB7466" w:rsidP="00AD4EA1"/>
    <w:p w14:paraId="352DAB51" w14:textId="77777777" w:rsidR="00DB7466" w:rsidRDefault="00DB7466" w:rsidP="00AD4EA1"/>
    <w:p w14:paraId="341203FD" w14:textId="77777777" w:rsidR="00DB7466" w:rsidRDefault="00DB7466" w:rsidP="00AD4EA1"/>
    <w:p w14:paraId="322FD847" w14:textId="77777777" w:rsidR="00DB7466" w:rsidRDefault="00DB7466" w:rsidP="00AD4EA1"/>
    <w:p w14:paraId="7088EDB0" w14:textId="77777777" w:rsidR="00DB7466" w:rsidRDefault="00DB7466" w:rsidP="00AD4EA1"/>
    <w:p w14:paraId="5013673B" w14:textId="77777777" w:rsidR="00DB7466" w:rsidRDefault="00DB7466" w:rsidP="00AD4EA1"/>
    <w:p w14:paraId="136C2AA9" w14:textId="77777777" w:rsidR="00DB7466" w:rsidRDefault="00DB7466" w:rsidP="00AD4EA1"/>
    <w:p w14:paraId="37AD6246" w14:textId="77777777" w:rsidR="00DB7466" w:rsidRDefault="00DB7466" w:rsidP="00AD4EA1"/>
    <w:p w14:paraId="119FD8D8" w14:textId="77777777" w:rsidR="00DB7466" w:rsidRDefault="00DB7466" w:rsidP="00AD4EA1"/>
    <w:p w14:paraId="3C4E9FE6" w14:textId="77777777" w:rsidR="00DB7466" w:rsidRDefault="00DB7466" w:rsidP="00AD4EA1"/>
    <w:p w14:paraId="2F5914B2" w14:textId="77777777" w:rsidR="00DB7466" w:rsidRDefault="00DB7466" w:rsidP="00AD4EA1"/>
    <w:p w14:paraId="077BB7DA" w14:textId="77777777" w:rsidR="00DB7466" w:rsidRDefault="00DB7466" w:rsidP="00AD4EA1"/>
    <w:p w14:paraId="3048C8BD" w14:textId="77777777" w:rsidR="00DB7466" w:rsidRDefault="00DB7466" w:rsidP="00AD4EA1"/>
    <w:p w14:paraId="7349CA62" w14:textId="77777777" w:rsidR="00DB7466" w:rsidRDefault="00DB7466" w:rsidP="00AD4EA1"/>
    <w:p w14:paraId="70E5F5A1" w14:textId="77777777" w:rsidR="00DB7466" w:rsidRDefault="00DB7466" w:rsidP="00AD4EA1"/>
    <w:p w14:paraId="410D0E36" w14:textId="77777777" w:rsidR="00DB7466" w:rsidRDefault="00DB7466" w:rsidP="00AD4EA1"/>
    <w:p w14:paraId="2CE6F6AC" w14:textId="77777777" w:rsidR="00DB7466" w:rsidRDefault="00DB7466" w:rsidP="00AD4EA1"/>
    <w:p w14:paraId="33920225" w14:textId="77777777" w:rsidR="00DB7466" w:rsidRDefault="00DB7466" w:rsidP="00AD4EA1"/>
    <w:p w14:paraId="0369213C" w14:textId="77777777" w:rsidR="00DB7466" w:rsidRDefault="00DB7466" w:rsidP="00AD4EA1"/>
    <w:p w14:paraId="732C9B76" w14:textId="77777777" w:rsidR="00DB7466" w:rsidRDefault="00DB7466" w:rsidP="00AD4EA1"/>
    <w:p w14:paraId="11550591" w14:textId="77777777" w:rsidR="00DB7466" w:rsidRDefault="00DB7466" w:rsidP="00AD4EA1"/>
    <w:p w14:paraId="05C33D5B" w14:textId="77777777" w:rsidR="00DB7466" w:rsidRDefault="00DB7466" w:rsidP="00AD4EA1"/>
    <w:p w14:paraId="2E158FF2" w14:textId="77777777" w:rsidR="00DB7466" w:rsidRDefault="00DB7466" w:rsidP="00AD4EA1"/>
    <w:p w14:paraId="0C40001F" w14:textId="77777777" w:rsidR="00DB7466" w:rsidRDefault="00DB7466" w:rsidP="00AD4EA1"/>
    <w:p w14:paraId="0E516A80" w14:textId="77777777" w:rsidR="00DB7466" w:rsidRDefault="00DB7466" w:rsidP="00AD4EA1"/>
    <w:p w14:paraId="646F5DAE" w14:textId="77777777" w:rsidR="00DB7466" w:rsidRDefault="00DB7466" w:rsidP="00AD4EA1"/>
    <w:p w14:paraId="1F69CA5C" w14:textId="77777777" w:rsidR="00DB7466" w:rsidRDefault="00DB7466" w:rsidP="00AD4EA1"/>
    <w:p w14:paraId="3884DF59" w14:textId="77777777" w:rsidR="00DB7466" w:rsidRDefault="00DB7466" w:rsidP="00AD4EA1"/>
    <w:p w14:paraId="5C792E73" w14:textId="77777777" w:rsidR="00DB7466" w:rsidRDefault="00DB7466" w:rsidP="00AD4EA1"/>
    <w:p w14:paraId="2FF7D8CE" w14:textId="77777777" w:rsidR="00DB7466" w:rsidRDefault="00DB7466" w:rsidP="00AD4EA1"/>
    <w:p w14:paraId="5245274F" w14:textId="77777777" w:rsidR="00DB7466" w:rsidRDefault="00DB7466" w:rsidP="00AD4EA1"/>
    <w:p w14:paraId="4201DEAF" w14:textId="77777777" w:rsidR="00DB7466" w:rsidRDefault="00DB7466" w:rsidP="00AD4EA1"/>
    <w:p w14:paraId="5CC8C95F" w14:textId="77777777" w:rsidR="00DB7466" w:rsidRDefault="00DB7466" w:rsidP="00AD4EA1"/>
    <w:p w14:paraId="1DE22DA3" w14:textId="77777777" w:rsidR="00DB7466" w:rsidRDefault="00DB7466" w:rsidP="00AD4EA1"/>
    <w:p w14:paraId="08FD7DD1" w14:textId="77777777" w:rsidR="00DB7466" w:rsidRDefault="00DB7466" w:rsidP="00AD4EA1"/>
    <w:p w14:paraId="7FD065DB" w14:textId="77777777" w:rsidR="00DB7466" w:rsidRDefault="00DB7466" w:rsidP="00AD4EA1"/>
    <w:p w14:paraId="78E085D4" w14:textId="77777777" w:rsidR="00DB7466" w:rsidRDefault="00DB7466" w:rsidP="00AD4EA1"/>
    <w:p w14:paraId="587B1F35" w14:textId="77777777" w:rsidR="00DB7466" w:rsidRDefault="00DB7466" w:rsidP="00AD4EA1"/>
    <w:p w14:paraId="06692493" w14:textId="77777777" w:rsidR="00DB7466" w:rsidRDefault="00DB7466" w:rsidP="00AD4EA1"/>
    <w:p w14:paraId="0AACD999" w14:textId="77777777" w:rsidR="00DB7466" w:rsidRDefault="00DB7466" w:rsidP="00AD4EA1"/>
    <w:p w14:paraId="24246CEB" w14:textId="77777777" w:rsidR="00DB7466" w:rsidRDefault="00DB7466" w:rsidP="00AD4EA1"/>
    <w:p w14:paraId="24733EE7" w14:textId="77777777" w:rsidR="00DB7466" w:rsidRDefault="00DB7466" w:rsidP="00AD4EA1"/>
    <w:p w14:paraId="7440DAFD" w14:textId="77777777" w:rsidR="00DB7466" w:rsidRDefault="00DB7466" w:rsidP="00AD4EA1"/>
    <w:p w14:paraId="771E0927" w14:textId="77777777" w:rsidR="00DB7466" w:rsidRDefault="00DB7466" w:rsidP="00AD4EA1"/>
    <w:p w14:paraId="56521713" w14:textId="77777777" w:rsidR="00DB7466" w:rsidRDefault="00DB7466" w:rsidP="00AD4EA1"/>
    <w:p w14:paraId="264C2220" w14:textId="77777777" w:rsidR="00DB7466" w:rsidRDefault="00DB7466" w:rsidP="00AD4EA1"/>
    <w:p w14:paraId="51C5E085" w14:textId="77777777" w:rsidR="00DB7466" w:rsidRDefault="00DB7466" w:rsidP="00AD4EA1"/>
    <w:p w14:paraId="2F431F51" w14:textId="77777777" w:rsidR="00DB7466" w:rsidRDefault="00DB7466" w:rsidP="00AD4EA1"/>
    <w:p w14:paraId="3D152777" w14:textId="77777777" w:rsidR="00DB7466" w:rsidRDefault="00DB7466" w:rsidP="00AD4EA1"/>
    <w:p w14:paraId="6F97CD2E" w14:textId="77777777" w:rsidR="00DB7466" w:rsidRDefault="00DB7466" w:rsidP="00AD4EA1"/>
    <w:p w14:paraId="2DA74C75" w14:textId="77777777" w:rsidR="00DB7466" w:rsidRDefault="00DB7466" w:rsidP="00AD4EA1"/>
    <w:p w14:paraId="062CE9F7" w14:textId="77777777" w:rsidR="00DB7466" w:rsidRDefault="00DB7466" w:rsidP="00AD4EA1"/>
    <w:p w14:paraId="04186AD2" w14:textId="77777777" w:rsidR="00DB7466" w:rsidRDefault="00DB7466" w:rsidP="00AD4EA1"/>
    <w:p w14:paraId="37C6B5B5" w14:textId="77777777" w:rsidR="00DB7466" w:rsidRDefault="00DB7466" w:rsidP="00AD4EA1"/>
    <w:p w14:paraId="5D35BC2A" w14:textId="77777777" w:rsidR="00DB7466" w:rsidRDefault="00DB7466" w:rsidP="00AD4EA1"/>
    <w:p w14:paraId="7180882C" w14:textId="77777777" w:rsidR="00DB7466" w:rsidRDefault="00DB7466" w:rsidP="00AD4EA1"/>
    <w:p w14:paraId="6AF4F5EB" w14:textId="77777777" w:rsidR="00DB7466" w:rsidRDefault="00DB7466" w:rsidP="00AD4EA1"/>
    <w:p w14:paraId="528B34FA" w14:textId="77777777" w:rsidR="00DB7466" w:rsidRDefault="00DB7466" w:rsidP="00AD4EA1"/>
    <w:p w14:paraId="417C375B" w14:textId="77777777" w:rsidR="00DB7466" w:rsidRDefault="00DB7466" w:rsidP="00AD4EA1"/>
    <w:p w14:paraId="55648469" w14:textId="77777777" w:rsidR="00DB7466" w:rsidRDefault="00DB7466" w:rsidP="00AD4EA1"/>
    <w:p w14:paraId="0C388EA2" w14:textId="77777777" w:rsidR="00DB7466" w:rsidRDefault="00DB7466" w:rsidP="00AD4EA1"/>
    <w:p w14:paraId="70C49233" w14:textId="77777777" w:rsidR="00DB7466" w:rsidRDefault="00DB7466" w:rsidP="00AD4EA1"/>
    <w:p w14:paraId="402994F4" w14:textId="77777777" w:rsidR="00DB7466" w:rsidRDefault="00DB7466" w:rsidP="00AD4EA1"/>
    <w:p w14:paraId="16443A2C" w14:textId="77777777" w:rsidR="00DB7466" w:rsidRDefault="00DB7466" w:rsidP="00AD4EA1"/>
    <w:p w14:paraId="5278622E" w14:textId="77777777" w:rsidR="00DB7466" w:rsidRDefault="00DB7466" w:rsidP="00AD4EA1"/>
    <w:p w14:paraId="6F5B6164" w14:textId="77777777" w:rsidR="00DB7466" w:rsidRDefault="00DB7466" w:rsidP="00AD4EA1"/>
    <w:p w14:paraId="1FB41BA3" w14:textId="77777777" w:rsidR="00DB7466" w:rsidRDefault="00DB7466" w:rsidP="00AD4EA1"/>
    <w:p w14:paraId="5B94FBAE" w14:textId="77777777" w:rsidR="00DB7466" w:rsidRDefault="00DB7466" w:rsidP="00AD4EA1"/>
    <w:p w14:paraId="7D881647" w14:textId="77777777" w:rsidR="00DB7466" w:rsidRDefault="00DB7466" w:rsidP="00AD4EA1"/>
    <w:p w14:paraId="68CB9A5A" w14:textId="77777777" w:rsidR="00DB7466" w:rsidRDefault="00DB7466" w:rsidP="00AD4EA1"/>
    <w:p w14:paraId="65ED5293" w14:textId="77777777" w:rsidR="00DB7466" w:rsidRDefault="00DB7466" w:rsidP="00AD4EA1"/>
    <w:p w14:paraId="5C85B01C" w14:textId="77777777" w:rsidR="00DB7466" w:rsidRDefault="00DB7466" w:rsidP="00AD4EA1"/>
    <w:p w14:paraId="0FC212CB" w14:textId="77777777" w:rsidR="00DB7466" w:rsidRDefault="00DB7466" w:rsidP="00AD4EA1"/>
    <w:p w14:paraId="2357A973" w14:textId="77777777" w:rsidR="00DB7466" w:rsidRDefault="00DB7466" w:rsidP="00AD4EA1"/>
    <w:p w14:paraId="750C60FD" w14:textId="77777777" w:rsidR="00DB7466" w:rsidRDefault="00DB7466" w:rsidP="00AD4EA1"/>
    <w:p w14:paraId="76F1BD4C" w14:textId="77777777" w:rsidR="00DB7466" w:rsidRDefault="00DB7466" w:rsidP="00AD4EA1"/>
    <w:p w14:paraId="32F80253" w14:textId="77777777" w:rsidR="00DB7466" w:rsidRDefault="00DB7466" w:rsidP="00AD4EA1"/>
    <w:p w14:paraId="6F7DEB6A" w14:textId="77777777" w:rsidR="00DB7466" w:rsidRDefault="00DB7466" w:rsidP="00AD4EA1"/>
    <w:p w14:paraId="4CBD235D" w14:textId="77777777" w:rsidR="00DB7466" w:rsidRDefault="00DB7466" w:rsidP="00AD4EA1"/>
    <w:p w14:paraId="0F028952" w14:textId="77777777" w:rsidR="00DB7466" w:rsidRDefault="00DB7466" w:rsidP="00AD4EA1"/>
    <w:p w14:paraId="6F5ABCCB" w14:textId="77777777" w:rsidR="00DB7466" w:rsidRDefault="00DB7466" w:rsidP="00AD4EA1"/>
    <w:p w14:paraId="0709A5D2" w14:textId="77777777" w:rsidR="00DB7466" w:rsidRDefault="00DB7466" w:rsidP="00AD4EA1"/>
    <w:p w14:paraId="182B1653" w14:textId="77777777" w:rsidR="00DB7466" w:rsidRDefault="00DB7466" w:rsidP="00AD4EA1"/>
    <w:p w14:paraId="480427FF" w14:textId="77777777" w:rsidR="00DB7466" w:rsidRDefault="00DB7466" w:rsidP="00AD4EA1"/>
    <w:p w14:paraId="627F442A" w14:textId="77777777" w:rsidR="00DB7466" w:rsidRDefault="00DB7466" w:rsidP="00AD4EA1"/>
    <w:p w14:paraId="4766F9FD" w14:textId="77777777" w:rsidR="00DB7466" w:rsidRDefault="00DB7466" w:rsidP="00AD4EA1"/>
    <w:p w14:paraId="54914CFB" w14:textId="77777777" w:rsidR="00DB7466" w:rsidRDefault="00DB7466" w:rsidP="00AD4EA1"/>
    <w:p w14:paraId="65430C80" w14:textId="77777777" w:rsidR="00DB7466" w:rsidRDefault="00DB7466" w:rsidP="00AD4EA1"/>
    <w:p w14:paraId="58438A1A" w14:textId="77777777" w:rsidR="00DB7466" w:rsidRDefault="00DB7466" w:rsidP="00AD4EA1"/>
    <w:p w14:paraId="3215EE19" w14:textId="77777777" w:rsidR="00DB7466" w:rsidRDefault="00DB7466" w:rsidP="00AD4EA1"/>
    <w:p w14:paraId="0E5C0914" w14:textId="77777777" w:rsidR="00DB7466" w:rsidRDefault="00DB7466" w:rsidP="00AD4EA1"/>
    <w:p w14:paraId="7BD50F7E" w14:textId="77777777" w:rsidR="00DB7466" w:rsidRDefault="00DB7466" w:rsidP="00AD4EA1"/>
    <w:p w14:paraId="37C03CB3" w14:textId="77777777" w:rsidR="00DB7466" w:rsidRDefault="00DB7466" w:rsidP="00AD4EA1"/>
    <w:p w14:paraId="64E57677" w14:textId="77777777" w:rsidR="00DB7466" w:rsidRDefault="00DB7466" w:rsidP="00AD4EA1"/>
    <w:p w14:paraId="51FEB275" w14:textId="77777777" w:rsidR="00DB7466" w:rsidRDefault="00DB7466" w:rsidP="00AD4EA1"/>
    <w:p w14:paraId="33111CAE" w14:textId="77777777" w:rsidR="00DB7466" w:rsidRDefault="00DB7466" w:rsidP="00AD4EA1"/>
    <w:p w14:paraId="32860173" w14:textId="77777777" w:rsidR="00DB7466" w:rsidRDefault="00DB7466" w:rsidP="00AD4EA1"/>
    <w:p w14:paraId="59F26222" w14:textId="77777777" w:rsidR="00DB7466" w:rsidRDefault="00DB7466" w:rsidP="00AD4EA1"/>
    <w:p w14:paraId="42AB8586" w14:textId="77777777" w:rsidR="00DB7466" w:rsidRDefault="00DB7466" w:rsidP="00AD4EA1"/>
    <w:p w14:paraId="492E30FB" w14:textId="77777777" w:rsidR="00DB7466" w:rsidRDefault="00DB7466" w:rsidP="00AD4EA1"/>
    <w:p w14:paraId="0C19FC15" w14:textId="77777777" w:rsidR="00DB7466" w:rsidRDefault="00DB7466" w:rsidP="00AD4EA1"/>
    <w:p w14:paraId="5BE85E82" w14:textId="77777777" w:rsidR="00DB7466" w:rsidRDefault="00DB7466" w:rsidP="00AD4EA1"/>
    <w:p w14:paraId="7C7E99DC" w14:textId="77777777" w:rsidR="00DB7466" w:rsidRDefault="00DB7466" w:rsidP="00AD4EA1"/>
    <w:p w14:paraId="1FE177B2" w14:textId="77777777" w:rsidR="00DB7466" w:rsidRDefault="00DB7466" w:rsidP="00AD4EA1"/>
    <w:p w14:paraId="27B9BB5C" w14:textId="77777777" w:rsidR="00DB7466" w:rsidRDefault="00DB7466" w:rsidP="00AD4EA1"/>
    <w:p w14:paraId="1B558E24" w14:textId="77777777" w:rsidR="00DB7466" w:rsidRDefault="00DB7466" w:rsidP="00AD4EA1"/>
    <w:p w14:paraId="3C3ACD20" w14:textId="77777777" w:rsidR="00DB7466" w:rsidRDefault="00DB7466" w:rsidP="00AD4EA1"/>
    <w:p w14:paraId="36DC1A7E" w14:textId="77777777" w:rsidR="00DB7466" w:rsidRDefault="00DB7466" w:rsidP="00AD4EA1"/>
    <w:p w14:paraId="34F133C2" w14:textId="77777777" w:rsidR="00DB7466" w:rsidRDefault="00DB7466" w:rsidP="00AD4EA1"/>
    <w:p w14:paraId="245B671B" w14:textId="77777777" w:rsidR="00DB7466" w:rsidRDefault="00DB7466" w:rsidP="00AD4EA1"/>
    <w:p w14:paraId="618F312D" w14:textId="77777777" w:rsidR="00DB7466" w:rsidRDefault="00DB7466" w:rsidP="00AD4EA1"/>
    <w:p w14:paraId="4D5E784B" w14:textId="77777777" w:rsidR="00DB7466" w:rsidRDefault="00DB7466" w:rsidP="00AD4EA1"/>
    <w:p w14:paraId="3C39B322" w14:textId="77777777" w:rsidR="00DB7466" w:rsidRDefault="00DB7466" w:rsidP="00AD4EA1"/>
    <w:p w14:paraId="0C99E9AF" w14:textId="77777777" w:rsidR="00DB7466" w:rsidRDefault="00DB7466" w:rsidP="00AD4EA1"/>
    <w:p w14:paraId="07A6993F" w14:textId="77777777" w:rsidR="00DB7466" w:rsidRDefault="00DB7466" w:rsidP="00AD4EA1"/>
    <w:p w14:paraId="1D51C1FB" w14:textId="77777777" w:rsidR="00DB7466" w:rsidRDefault="00DB7466" w:rsidP="00AD4EA1"/>
    <w:p w14:paraId="648B8795" w14:textId="77777777" w:rsidR="00DB7466" w:rsidRDefault="00DB7466" w:rsidP="00AD4EA1"/>
    <w:p w14:paraId="57DD5152" w14:textId="77777777" w:rsidR="00DB7466" w:rsidRDefault="00DB7466" w:rsidP="00AD4EA1"/>
    <w:p w14:paraId="608589BC" w14:textId="77777777" w:rsidR="00DB7466" w:rsidRDefault="00DB7466" w:rsidP="00AD4EA1"/>
    <w:p w14:paraId="7E01CE0E" w14:textId="77777777" w:rsidR="00DB7466" w:rsidRDefault="00DB7466" w:rsidP="00AD4EA1"/>
    <w:p w14:paraId="264AEA58" w14:textId="77777777" w:rsidR="00DB7466" w:rsidRDefault="00DB7466" w:rsidP="00AD4EA1"/>
    <w:p w14:paraId="230D042B" w14:textId="77777777" w:rsidR="00DB7466" w:rsidRDefault="00DB7466" w:rsidP="00AD4EA1"/>
    <w:p w14:paraId="4565A310" w14:textId="77777777" w:rsidR="00DB7466" w:rsidRDefault="00DB7466" w:rsidP="00AD4EA1"/>
    <w:p w14:paraId="672D748D" w14:textId="77777777" w:rsidR="00DB7466" w:rsidRDefault="00DB7466" w:rsidP="00AD4EA1"/>
    <w:p w14:paraId="55DD39F6" w14:textId="77777777" w:rsidR="00DB7466" w:rsidRDefault="00DB7466" w:rsidP="00AD4EA1"/>
    <w:p w14:paraId="23056C0F" w14:textId="77777777" w:rsidR="00DB7466" w:rsidRDefault="00DB7466" w:rsidP="00AD4EA1"/>
    <w:p w14:paraId="220F3F30" w14:textId="77777777" w:rsidR="00DB7466" w:rsidRDefault="00DB7466" w:rsidP="00AD4EA1"/>
    <w:p w14:paraId="3DF7CFB5" w14:textId="77777777" w:rsidR="00DB7466" w:rsidRDefault="00DB7466" w:rsidP="00AD4EA1"/>
    <w:p w14:paraId="66E8203A" w14:textId="77777777" w:rsidR="00DB7466" w:rsidRDefault="00DB7466" w:rsidP="00AD4EA1"/>
    <w:p w14:paraId="72294A3A" w14:textId="77777777" w:rsidR="00DB7466" w:rsidRDefault="00DB7466" w:rsidP="00AD4EA1"/>
    <w:p w14:paraId="35118842" w14:textId="77777777" w:rsidR="00DB7466" w:rsidRDefault="00DB7466" w:rsidP="00AD4EA1"/>
    <w:p w14:paraId="7CA5291C" w14:textId="77777777" w:rsidR="00DB7466" w:rsidRDefault="00DB7466" w:rsidP="00AD4EA1"/>
    <w:p w14:paraId="67270EE8" w14:textId="77777777" w:rsidR="00DB7466" w:rsidRDefault="00DB7466" w:rsidP="00AD4EA1"/>
    <w:p w14:paraId="6073BE4F" w14:textId="77777777" w:rsidR="00DB7466" w:rsidRDefault="00DB7466" w:rsidP="00AD4EA1"/>
    <w:p w14:paraId="5358C958" w14:textId="77777777" w:rsidR="00DB7466" w:rsidRDefault="00DB7466" w:rsidP="00AD4EA1"/>
    <w:p w14:paraId="10311D59" w14:textId="77777777" w:rsidR="00DB7466" w:rsidRDefault="00DB7466" w:rsidP="00AD4EA1"/>
    <w:p w14:paraId="473F93C8" w14:textId="77777777" w:rsidR="00DB7466" w:rsidRDefault="00DB7466" w:rsidP="00AD4EA1"/>
    <w:p w14:paraId="6D153F30" w14:textId="77777777" w:rsidR="00DB7466" w:rsidRDefault="00DB7466" w:rsidP="00AD4EA1"/>
    <w:p w14:paraId="632604FA" w14:textId="77777777" w:rsidR="00DB7466" w:rsidRDefault="00DB7466" w:rsidP="00AD4EA1"/>
    <w:p w14:paraId="4499E46E" w14:textId="77777777" w:rsidR="00DB7466" w:rsidRDefault="00DB7466" w:rsidP="00AD4EA1"/>
    <w:p w14:paraId="5EDD223B" w14:textId="77777777" w:rsidR="00DB7466" w:rsidRDefault="00DB7466" w:rsidP="00AD4EA1"/>
    <w:p w14:paraId="64771C34" w14:textId="77777777" w:rsidR="00DB7466" w:rsidRDefault="00DB7466" w:rsidP="00AD4EA1"/>
    <w:p w14:paraId="4881F0E0" w14:textId="77777777" w:rsidR="00DB7466" w:rsidRDefault="00DB7466" w:rsidP="00AD4EA1"/>
    <w:p w14:paraId="3C029020" w14:textId="77777777" w:rsidR="00DB7466" w:rsidRDefault="00DB7466" w:rsidP="00AD4EA1"/>
    <w:p w14:paraId="495FF1CB" w14:textId="77777777" w:rsidR="00DB7466" w:rsidRDefault="00DB7466" w:rsidP="00AD4EA1"/>
    <w:p w14:paraId="00CBCE3E" w14:textId="77777777" w:rsidR="00DB7466" w:rsidRDefault="00DB7466" w:rsidP="00AD4EA1"/>
    <w:p w14:paraId="25B3DDAB" w14:textId="77777777" w:rsidR="00DB7466" w:rsidRDefault="00DB7466" w:rsidP="00AD4EA1"/>
    <w:p w14:paraId="004BA4FF" w14:textId="77777777" w:rsidR="00DB7466" w:rsidRDefault="00DB7466" w:rsidP="00AD4EA1"/>
    <w:p w14:paraId="71056845" w14:textId="77777777" w:rsidR="00DB7466" w:rsidRDefault="00DB7466" w:rsidP="00AD4EA1"/>
    <w:p w14:paraId="777E05E7" w14:textId="77777777" w:rsidR="00DB7466" w:rsidRDefault="00DB7466" w:rsidP="00AD4EA1"/>
    <w:p w14:paraId="38B57604" w14:textId="77777777" w:rsidR="00DB7466" w:rsidRDefault="00DB7466" w:rsidP="00AD4EA1"/>
    <w:p w14:paraId="247D3E1D" w14:textId="77777777" w:rsidR="00DB7466" w:rsidRDefault="00DB7466" w:rsidP="00AD4EA1"/>
    <w:p w14:paraId="73C49D06" w14:textId="77777777" w:rsidR="00DB7466" w:rsidRDefault="00DB7466" w:rsidP="00AD4EA1"/>
    <w:p w14:paraId="58C8DBC0" w14:textId="77777777" w:rsidR="00DB7466" w:rsidRDefault="00DB7466" w:rsidP="00AD4EA1"/>
    <w:p w14:paraId="2CA3363C" w14:textId="77777777" w:rsidR="00DB7466" w:rsidRDefault="00DB7466" w:rsidP="00AD4EA1"/>
    <w:p w14:paraId="0C645B57" w14:textId="77777777" w:rsidR="00DB7466" w:rsidRDefault="00DB7466" w:rsidP="00AD4EA1"/>
    <w:p w14:paraId="0110CD49" w14:textId="77777777" w:rsidR="00DB7466" w:rsidRDefault="00DB7466" w:rsidP="00AD4EA1"/>
    <w:p w14:paraId="7CA0113A" w14:textId="77777777" w:rsidR="00DB7466" w:rsidRDefault="00DB7466" w:rsidP="00AD4EA1"/>
    <w:p w14:paraId="23C1E89E" w14:textId="77777777" w:rsidR="00DB7466" w:rsidRDefault="00DB7466" w:rsidP="00AD4EA1"/>
    <w:p w14:paraId="6105AEDE" w14:textId="77777777" w:rsidR="00DB7466" w:rsidRDefault="00DB7466" w:rsidP="00AD4EA1"/>
    <w:p w14:paraId="321260B4" w14:textId="77777777" w:rsidR="00DB7466" w:rsidRDefault="00DB7466" w:rsidP="00AD4EA1"/>
    <w:p w14:paraId="06149C01" w14:textId="77777777" w:rsidR="00DB7466" w:rsidRDefault="00DB7466" w:rsidP="00AD4EA1"/>
    <w:p w14:paraId="5FB19832" w14:textId="77777777" w:rsidR="00DB7466" w:rsidRDefault="00DB7466" w:rsidP="00AD4EA1"/>
    <w:p w14:paraId="3B289B18" w14:textId="77777777" w:rsidR="00DB7466" w:rsidRDefault="00DB7466" w:rsidP="00AD4EA1"/>
    <w:p w14:paraId="1FD2B4E6" w14:textId="77777777" w:rsidR="00DB7466" w:rsidRDefault="00DB7466" w:rsidP="00AD4EA1"/>
    <w:p w14:paraId="71729279" w14:textId="77777777" w:rsidR="00DB7466" w:rsidRDefault="00DB7466" w:rsidP="00AD4EA1"/>
    <w:p w14:paraId="536A31A1" w14:textId="77777777" w:rsidR="00DB7466" w:rsidRDefault="00DB7466" w:rsidP="00AD4EA1"/>
    <w:p w14:paraId="2BFEC921" w14:textId="77777777" w:rsidR="00DB7466" w:rsidRDefault="00DB7466" w:rsidP="00AD4EA1"/>
    <w:p w14:paraId="6876B015" w14:textId="77777777" w:rsidR="00DB7466" w:rsidRDefault="00DB7466" w:rsidP="00AD4EA1"/>
    <w:p w14:paraId="2C4DFF34" w14:textId="77777777" w:rsidR="00DB7466" w:rsidRDefault="00DB7466" w:rsidP="00AD4EA1"/>
    <w:p w14:paraId="4744451B" w14:textId="77777777" w:rsidR="00DB7466" w:rsidRDefault="00DB7466" w:rsidP="00AD4EA1"/>
    <w:p w14:paraId="211C0722" w14:textId="77777777" w:rsidR="00DB7466" w:rsidRDefault="00DB7466" w:rsidP="00AD4EA1"/>
    <w:p w14:paraId="4B4A7386" w14:textId="77777777" w:rsidR="00DB7466" w:rsidRDefault="00DB7466" w:rsidP="00AD4EA1"/>
    <w:p w14:paraId="023EC329" w14:textId="77777777" w:rsidR="00DB7466" w:rsidRDefault="00DB7466" w:rsidP="00AD4EA1"/>
    <w:p w14:paraId="3CD1A974" w14:textId="77777777" w:rsidR="00DB7466" w:rsidRDefault="00DB7466" w:rsidP="00AD4EA1"/>
    <w:p w14:paraId="525E8B67" w14:textId="77777777" w:rsidR="00DB7466" w:rsidRDefault="00DB7466" w:rsidP="00AD4EA1"/>
    <w:p w14:paraId="1016CB1C" w14:textId="77777777" w:rsidR="00DB7466" w:rsidRDefault="00DB7466" w:rsidP="00AD4EA1"/>
    <w:p w14:paraId="557A98BC" w14:textId="77777777" w:rsidR="00DB7466" w:rsidRDefault="00DB7466" w:rsidP="00AD4EA1"/>
    <w:p w14:paraId="5B423A8A" w14:textId="77777777" w:rsidR="00DB7466" w:rsidRDefault="00DB7466" w:rsidP="00AD4EA1"/>
    <w:p w14:paraId="16CC9C99" w14:textId="77777777" w:rsidR="00DB7466" w:rsidRDefault="00DB7466" w:rsidP="00AD4EA1"/>
    <w:p w14:paraId="42A0529A" w14:textId="77777777" w:rsidR="00DB7466" w:rsidRDefault="00DB7466" w:rsidP="00AD4EA1"/>
    <w:p w14:paraId="1B8DC08E" w14:textId="77777777" w:rsidR="00DB7466" w:rsidRDefault="00DB7466" w:rsidP="00AD4EA1"/>
    <w:p w14:paraId="2820BC90" w14:textId="77777777" w:rsidR="00DB7466" w:rsidRDefault="00DB7466" w:rsidP="00AD4EA1"/>
    <w:p w14:paraId="0AEEA3E7" w14:textId="77777777" w:rsidR="00DB7466" w:rsidRDefault="00DB7466" w:rsidP="00AD4EA1"/>
    <w:p w14:paraId="00128241" w14:textId="77777777" w:rsidR="00DB7466" w:rsidRDefault="00DB7466" w:rsidP="00AD4EA1"/>
    <w:p w14:paraId="611BA6F7" w14:textId="77777777" w:rsidR="00DB7466" w:rsidRDefault="00DB7466" w:rsidP="00AD4EA1"/>
    <w:p w14:paraId="7CE14A23" w14:textId="77777777" w:rsidR="00DB7466" w:rsidRDefault="00DB7466" w:rsidP="00AD4EA1"/>
    <w:p w14:paraId="69E62A95" w14:textId="77777777" w:rsidR="00DB7466" w:rsidRDefault="00DB7466" w:rsidP="00AD4EA1"/>
    <w:p w14:paraId="3DFC785C" w14:textId="77777777" w:rsidR="00DB7466" w:rsidRDefault="00DB7466" w:rsidP="00AD4EA1"/>
    <w:p w14:paraId="19A24049" w14:textId="77777777" w:rsidR="00DB7466" w:rsidRDefault="00DB7466" w:rsidP="00AD4EA1"/>
    <w:p w14:paraId="0088E25A" w14:textId="77777777" w:rsidR="00DB7466" w:rsidRDefault="00DB7466" w:rsidP="00AD4EA1"/>
    <w:p w14:paraId="1E604228" w14:textId="77777777" w:rsidR="00DB7466" w:rsidRDefault="00DB7466" w:rsidP="00AD4EA1"/>
    <w:p w14:paraId="6DD6B97E" w14:textId="77777777" w:rsidR="00DB7466" w:rsidRDefault="00DB7466" w:rsidP="00AD4EA1"/>
    <w:p w14:paraId="61970E9F" w14:textId="77777777" w:rsidR="00DB7466" w:rsidRDefault="00DB7466" w:rsidP="00AD4EA1"/>
    <w:p w14:paraId="7B18C4F2" w14:textId="77777777" w:rsidR="00DB7466" w:rsidRDefault="00DB7466" w:rsidP="00AD4EA1"/>
    <w:p w14:paraId="00487A4B" w14:textId="77777777" w:rsidR="00DB7466" w:rsidRDefault="00DB7466" w:rsidP="00AD4EA1"/>
    <w:p w14:paraId="778844D1" w14:textId="77777777" w:rsidR="00DB7466" w:rsidRDefault="00DB7466" w:rsidP="00AD4EA1"/>
    <w:p w14:paraId="41C50142" w14:textId="77777777" w:rsidR="00DB7466" w:rsidRDefault="00DB7466" w:rsidP="00AD4EA1"/>
    <w:p w14:paraId="3DCE2874" w14:textId="77777777" w:rsidR="00DB7466" w:rsidRDefault="00DB7466" w:rsidP="00AD4EA1"/>
    <w:p w14:paraId="28F2BE10" w14:textId="77777777" w:rsidR="00DB7466" w:rsidRDefault="00DB7466" w:rsidP="00AD4EA1"/>
    <w:p w14:paraId="03723014" w14:textId="77777777" w:rsidR="00DB7466" w:rsidRDefault="00DB7466" w:rsidP="00AD4EA1"/>
    <w:p w14:paraId="4EAB0E96" w14:textId="77777777" w:rsidR="00DB7466" w:rsidRDefault="00DB7466" w:rsidP="00AD4EA1"/>
    <w:p w14:paraId="135B677D" w14:textId="77777777" w:rsidR="00DB7466" w:rsidRDefault="00DB7466" w:rsidP="00AD4EA1"/>
    <w:p w14:paraId="349DD577" w14:textId="77777777" w:rsidR="00DB7466" w:rsidRDefault="00DB7466" w:rsidP="00AD4EA1"/>
    <w:p w14:paraId="261312C5" w14:textId="77777777" w:rsidR="00DB7466" w:rsidRDefault="00DB7466" w:rsidP="00AD4EA1"/>
    <w:p w14:paraId="44C3CF8E" w14:textId="77777777" w:rsidR="00DB7466" w:rsidRDefault="00DB7466" w:rsidP="00AD4EA1"/>
    <w:p w14:paraId="26FE5913" w14:textId="77777777" w:rsidR="00DB7466" w:rsidRDefault="00DB7466" w:rsidP="00AD4EA1"/>
    <w:p w14:paraId="06ABE341" w14:textId="77777777" w:rsidR="00DB7466" w:rsidRDefault="00DB7466" w:rsidP="00AD4EA1"/>
    <w:p w14:paraId="0B39F4AE" w14:textId="77777777" w:rsidR="00DB7466" w:rsidRDefault="00DB7466" w:rsidP="00AD4EA1"/>
    <w:p w14:paraId="496C764D" w14:textId="77777777" w:rsidR="00DB7466" w:rsidRDefault="00DB7466" w:rsidP="00AD4EA1"/>
    <w:p w14:paraId="61033F90" w14:textId="77777777" w:rsidR="00DB7466" w:rsidRDefault="00DB7466" w:rsidP="00AD4EA1"/>
    <w:p w14:paraId="54AA5E1D" w14:textId="77777777" w:rsidR="00DB7466" w:rsidRDefault="00DB7466" w:rsidP="00AD4EA1"/>
    <w:p w14:paraId="26E96078" w14:textId="77777777" w:rsidR="00DB7466" w:rsidRDefault="00DB7466" w:rsidP="00AD4EA1"/>
    <w:p w14:paraId="62269E94" w14:textId="77777777" w:rsidR="00DB7466" w:rsidRDefault="00DB7466" w:rsidP="00AD4EA1"/>
    <w:p w14:paraId="7E9E7C70" w14:textId="77777777" w:rsidR="00DB7466" w:rsidRDefault="00DB7466" w:rsidP="00AD4EA1"/>
    <w:p w14:paraId="2118CB60" w14:textId="77777777" w:rsidR="00DB7466" w:rsidRDefault="00DB7466" w:rsidP="00AD4EA1"/>
    <w:p w14:paraId="4F3EF0EC" w14:textId="77777777" w:rsidR="00DB7466" w:rsidRDefault="00DB7466" w:rsidP="00AD4EA1"/>
    <w:p w14:paraId="3CAD7FC7" w14:textId="77777777" w:rsidR="00DB7466" w:rsidRDefault="00DB7466" w:rsidP="00AD4EA1"/>
    <w:p w14:paraId="670BBA4D" w14:textId="77777777" w:rsidR="00DB7466" w:rsidRDefault="00DB7466" w:rsidP="00AD4EA1"/>
    <w:p w14:paraId="47F700FA" w14:textId="77777777" w:rsidR="00DB7466" w:rsidRDefault="00DB7466" w:rsidP="00AD4EA1"/>
    <w:p w14:paraId="69ED4AF6" w14:textId="77777777" w:rsidR="00DB7466" w:rsidRDefault="00DB7466" w:rsidP="00AD4EA1"/>
    <w:p w14:paraId="4F61BEE5" w14:textId="77777777" w:rsidR="00DB7466" w:rsidRDefault="00DB7466" w:rsidP="00AD4EA1"/>
    <w:p w14:paraId="73E536DF" w14:textId="77777777" w:rsidR="00DB7466" w:rsidRDefault="00DB7466" w:rsidP="00AD4EA1"/>
    <w:p w14:paraId="3B77077E" w14:textId="77777777" w:rsidR="00DB7466" w:rsidRDefault="00DB7466" w:rsidP="00AD4EA1"/>
    <w:p w14:paraId="606737A0" w14:textId="77777777" w:rsidR="00DB7466" w:rsidRDefault="00DB7466" w:rsidP="00AD4EA1"/>
    <w:p w14:paraId="72CDE092" w14:textId="77777777" w:rsidR="00DB7466" w:rsidRDefault="00DB7466" w:rsidP="00AD4EA1"/>
    <w:p w14:paraId="5F2D2D02" w14:textId="77777777" w:rsidR="00DB7466" w:rsidRDefault="00DB7466" w:rsidP="00AD4EA1"/>
    <w:p w14:paraId="63249C30" w14:textId="77777777" w:rsidR="00DB7466" w:rsidRDefault="00DB7466" w:rsidP="00AD4EA1"/>
    <w:p w14:paraId="0E88BDF3" w14:textId="77777777" w:rsidR="00DB7466" w:rsidRDefault="00DB7466" w:rsidP="00AD4EA1"/>
    <w:p w14:paraId="2EEBC4F5" w14:textId="77777777" w:rsidR="00DB7466" w:rsidRDefault="00DB7466" w:rsidP="00AD4EA1"/>
    <w:p w14:paraId="25EFAEE4" w14:textId="77777777" w:rsidR="00DB7466" w:rsidRDefault="00DB7466" w:rsidP="00AD4EA1"/>
    <w:p w14:paraId="77152A08" w14:textId="77777777" w:rsidR="00DB7466" w:rsidRDefault="00DB7466" w:rsidP="00AD4EA1"/>
    <w:p w14:paraId="01FA6082" w14:textId="77777777" w:rsidR="00DB7466" w:rsidRDefault="00DB7466" w:rsidP="00AD4EA1"/>
    <w:p w14:paraId="7D550868" w14:textId="77777777" w:rsidR="00DB7466" w:rsidRDefault="00DB7466" w:rsidP="00AD4EA1"/>
    <w:p w14:paraId="42306BEE" w14:textId="77777777" w:rsidR="00DB7466" w:rsidRDefault="00DB7466" w:rsidP="00AD4EA1"/>
    <w:p w14:paraId="56A95477" w14:textId="77777777" w:rsidR="00DB7466" w:rsidRDefault="00DB7466" w:rsidP="00AD4EA1"/>
    <w:p w14:paraId="391A2C40" w14:textId="77777777" w:rsidR="00DB7466" w:rsidRDefault="00DB7466" w:rsidP="00AD4EA1"/>
    <w:p w14:paraId="3C2076FB" w14:textId="77777777" w:rsidR="00DB7466" w:rsidRDefault="00DB7466" w:rsidP="00AD4EA1"/>
    <w:p w14:paraId="44814BF5" w14:textId="77777777" w:rsidR="00DB7466" w:rsidRDefault="00DB7466" w:rsidP="00AD4EA1"/>
    <w:p w14:paraId="2F4BC880" w14:textId="77777777" w:rsidR="00DB7466" w:rsidRDefault="00DB7466" w:rsidP="00AD4EA1"/>
    <w:p w14:paraId="0957AFD1" w14:textId="77777777" w:rsidR="00DB7466" w:rsidRDefault="00DB7466" w:rsidP="00AD4EA1"/>
    <w:p w14:paraId="0400AC30" w14:textId="77777777" w:rsidR="00DB7466" w:rsidRDefault="00DB7466" w:rsidP="00AD4EA1"/>
    <w:p w14:paraId="28DA56F3" w14:textId="77777777" w:rsidR="00DB7466" w:rsidRDefault="00DB7466" w:rsidP="00AD4EA1"/>
    <w:p w14:paraId="5B4673E1" w14:textId="77777777" w:rsidR="00DB7466" w:rsidRDefault="00DB7466" w:rsidP="00AD4EA1"/>
    <w:p w14:paraId="38D86325" w14:textId="77777777" w:rsidR="00DB7466" w:rsidRDefault="00DB7466" w:rsidP="00AD4EA1"/>
    <w:p w14:paraId="60604533" w14:textId="77777777" w:rsidR="00DB7466" w:rsidRDefault="00DB7466" w:rsidP="00AD4EA1"/>
    <w:p w14:paraId="684BAFA9" w14:textId="77777777" w:rsidR="00DB7466" w:rsidRDefault="00DB7466" w:rsidP="00AD4EA1"/>
    <w:p w14:paraId="3A9EC315" w14:textId="77777777" w:rsidR="00DB7466" w:rsidRDefault="00DB7466" w:rsidP="00AD4EA1"/>
    <w:p w14:paraId="77AECA8D" w14:textId="77777777" w:rsidR="00DB7466" w:rsidRDefault="00DB7466" w:rsidP="00AD4EA1"/>
    <w:p w14:paraId="079D7FD5" w14:textId="77777777" w:rsidR="00DB7466" w:rsidRDefault="00DB7466" w:rsidP="00AD4EA1"/>
    <w:p w14:paraId="403DC48D" w14:textId="77777777" w:rsidR="00DB7466" w:rsidRDefault="00DB7466" w:rsidP="00AD4EA1"/>
    <w:p w14:paraId="1CAA3B94" w14:textId="77777777" w:rsidR="00DB7466" w:rsidRDefault="00DB7466" w:rsidP="00AD4EA1"/>
    <w:p w14:paraId="49BC54E3" w14:textId="77777777" w:rsidR="00DB7466" w:rsidRDefault="00DB7466" w:rsidP="00AD4EA1"/>
    <w:p w14:paraId="5911642D" w14:textId="77777777" w:rsidR="00DB7466" w:rsidRDefault="00DB7466" w:rsidP="00AD4EA1"/>
    <w:p w14:paraId="0B3CF8C7" w14:textId="77777777" w:rsidR="00DB7466" w:rsidRDefault="00DB7466" w:rsidP="00AD4EA1"/>
    <w:p w14:paraId="3D20A962" w14:textId="77777777" w:rsidR="00DB7466" w:rsidRDefault="00DB7466" w:rsidP="00AD4EA1"/>
    <w:p w14:paraId="290EEC32" w14:textId="77777777" w:rsidR="00DB7466" w:rsidRDefault="00DB7466" w:rsidP="00AD4EA1"/>
    <w:p w14:paraId="3C87FA9A" w14:textId="77777777" w:rsidR="00DB7466" w:rsidRDefault="00DB7466" w:rsidP="00AD4EA1"/>
    <w:p w14:paraId="47A5C7E0" w14:textId="77777777" w:rsidR="00DB7466" w:rsidRDefault="00DB7466" w:rsidP="00AD4EA1"/>
    <w:p w14:paraId="3DF1C5BA" w14:textId="77777777" w:rsidR="00DB7466" w:rsidRDefault="00DB7466" w:rsidP="00AD4EA1"/>
    <w:p w14:paraId="7F3B32E1" w14:textId="77777777" w:rsidR="00DB7466" w:rsidRDefault="00DB7466" w:rsidP="00AD4EA1"/>
    <w:p w14:paraId="1D1BD86D" w14:textId="77777777" w:rsidR="00DB7466" w:rsidRDefault="00DB7466" w:rsidP="00AD4EA1"/>
    <w:p w14:paraId="504A9CA5" w14:textId="77777777" w:rsidR="00DB7466" w:rsidRDefault="00DB7466" w:rsidP="00AD4EA1"/>
    <w:p w14:paraId="596857FB" w14:textId="77777777" w:rsidR="00DB7466" w:rsidRDefault="00DB7466" w:rsidP="00AD4EA1"/>
    <w:p w14:paraId="1304238F" w14:textId="77777777" w:rsidR="00DB7466" w:rsidRDefault="00DB7466" w:rsidP="00AD4EA1"/>
    <w:p w14:paraId="20D4E397" w14:textId="77777777" w:rsidR="00DB7466" w:rsidRDefault="00DB7466" w:rsidP="00AD4EA1"/>
    <w:p w14:paraId="222BEC01" w14:textId="77777777" w:rsidR="00DB7466" w:rsidRDefault="00DB7466" w:rsidP="00AD4EA1"/>
    <w:p w14:paraId="0A09952B" w14:textId="77777777" w:rsidR="00DB7466" w:rsidRDefault="00DB7466" w:rsidP="00AD4EA1"/>
    <w:p w14:paraId="2CAC4BF1" w14:textId="77777777" w:rsidR="00DB7466" w:rsidRDefault="00DB7466" w:rsidP="00AD4EA1"/>
    <w:p w14:paraId="68EA34AA" w14:textId="77777777" w:rsidR="00DB7466" w:rsidRDefault="00DB7466" w:rsidP="00AD4EA1"/>
    <w:p w14:paraId="7BF34EF9" w14:textId="77777777" w:rsidR="00DB7466" w:rsidRDefault="00DB7466" w:rsidP="00AD4EA1"/>
    <w:p w14:paraId="402991E8" w14:textId="77777777" w:rsidR="00DB7466" w:rsidRDefault="00DB7466" w:rsidP="00AD4EA1"/>
    <w:p w14:paraId="15CF370B" w14:textId="77777777" w:rsidR="00DB7466" w:rsidRDefault="00DB7466" w:rsidP="00AD4EA1"/>
    <w:p w14:paraId="497F5898" w14:textId="77777777" w:rsidR="00DB7466" w:rsidRDefault="00DB7466" w:rsidP="00AD4EA1"/>
    <w:p w14:paraId="35769084" w14:textId="77777777" w:rsidR="00DB7466" w:rsidRDefault="00DB7466" w:rsidP="00AD4EA1"/>
    <w:p w14:paraId="2092F4DE" w14:textId="77777777" w:rsidR="00DB7466" w:rsidRDefault="00DB7466" w:rsidP="00AD4EA1"/>
    <w:p w14:paraId="40C8A51E" w14:textId="77777777" w:rsidR="00DB7466" w:rsidRDefault="00DB7466" w:rsidP="00AD4EA1"/>
    <w:p w14:paraId="6C7339C6" w14:textId="77777777" w:rsidR="00DB7466" w:rsidRDefault="00DB7466" w:rsidP="00AD4EA1"/>
    <w:p w14:paraId="1B7C64E2" w14:textId="77777777" w:rsidR="00DB7466" w:rsidRDefault="00DB7466" w:rsidP="00AD4EA1"/>
    <w:p w14:paraId="0E36E0A3" w14:textId="77777777" w:rsidR="00DB7466" w:rsidRDefault="00DB7466" w:rsidP="00AD4EA1"/>
    <w:p w14:paraId="6A5478F9" w14:textId="77777777" w:rsidR="00DB7466" w:rsidRDefault="00DB7466" w:rsidP="00AD4EA1"/>
    <w:p w14:paraId="45B1C54B" w14:textId="77777777" w:rsidR="00DB7466" w:rsidRDefault="00DB7466" w:rsidP="00AD4EA1"/>
    <w:p w14:paraId="4FEAAA1C" w14:textId="77777777" w:rsidR="00DB7466" w:rsidRDefault="00DB7466" w:rsidP="00AD4EA1"/>
    <w:p w14:paraId="788CC22B" w14:textId="77777777" w:rsidR="00DB7466" w:rsidRDefault="00DB7466" w:rsidP="00AD4EA1"/>
    <w:p w14:paraId="4B01EF32" w14:textId="77777777" w:rsidR="00DB7466" w:rsidRDefault="00DB7466" w:rsidP="00AD4EA1"/>
    <w:p w14:paraId="24422982" w14:textId="77777777" w:rsidR="00DB7466" w:rsidRDefault="00DB7466" w:rsidP="00AD4EA1"/>
    <w:p w14:paraId="193F19A0" w14:textId="77777777" w:rsidR="00DB7466" w:rsidRDefault="00DB7466" w:rsidP="00AD4EA1"/>
    <w:p w14:paraId="24C6C7D9" w14:textId="77777777" w:rsidR="00DB7466" w:rsidRDefault="00DB7466" w:rsidP="00AD4EA1"/>
    <w:p w14:paraId="78ED9690" w14:textId="77777777" w:rsidR="00DB7466" w:rsidRDefault="00DB7466" w:rsidP="00AD4EA1"/>
    <w:p w14:paraId="4DB5FE22" w14:textId="77777777" w:rsidR="00DB7466" w:rsidRDefault="00DB7466" w:rsidP="00AD4EA1"/>
    <w:p w14:paraId="59E346E0" w14:textId="77777777" w:rsidR="00DB7466" w:rsidRDefault="00DB7466" w:rsidP="00AD4EA1"/>
    <w:p w14:paraId="7F22E81F" w14:textId="77777777" w:rsidR="00DB7466" w:rsidRDefault="00DB7466" w:rsidP="00AD4EA1"/>
    <w:p w14:paraId="792FEAEA" w14:textId="77777777" w:rsidR="00DB7466" w:rsidRDefault="00DB7466" w:rsidP="00AD4EA1"/>
    <w:p w14:paraId="3E540460" w14:textId="77777777" w:rsidR="00DB7466" w:rsidRDefault="00DB7466" w:rsidP="00AD4EA1"/>
    <w:p w14:paraId="3838A9F9" w14:textId="77777777" w:rsidR="00DB7466" w:rsidRDefault="00DB7466" w:rsidP="00AD4EA1"/>
    <w:p w14:paraId="70DD79CA" w14:textId="77777777" w:rsidR="00DB7466" w:rsidRDefault="00DB7466" w:rsidP="00AD4EA1"/>
    <w:p w14:paraId="7B962D65" w14:textId="77777777" w:rsidR="00DB7466" w:rsidRDefault="00DB7466" w:rsidP="00AD4EA1"/>
    <w:p w14:paraId="4B587500" w14:textId="77777777" w:rsidR="00DB7466" w:rsidRDefault="00DB7466" w:rsidP="00AD4EA1"/>
    <w:p w14:paraId="1B8D5DD7" w14:textId="77777777" w:rsidR="00DB7466" w:rsidRDefault="00DB7466" w:rsidP="00AD4EA1"/>
    <w:p w14:paraId="1955B69B" w14:textId="77777777" w:rsidR="00DB7466" w:rsidRDefault="00DB7466" w:rsidP="00AD4EA1"/>
    <w:p w14:paraId="084B2650" w14:textId="77777777" w:rsidR="00DB7466" w:rsidRDefault="00DB7466" w:rsidP="00AD4EA1"/>
    <w:p w14:paraId="460981E9" w14:textId="77777777" w:rsidR="00DB7466" w:rsidRDefault="00DB7466" w:rsidP="00AD4EA1"/>
    <w:p w14:paraId="75C99FFB" w14:textId="77777777" w:rsidR="00DB7466" w:rsidRDefault="00DB7466" w:rsidP="00AD4EA1"/>
    <w:p w14:paraId="530B664E" w14:textId="77777777" w:rsidR="00DB7466" w:rsidRDefault="00DB7466" w:rsidP="00AD4EA1"/>
    <w:p w14:paraId="77609D91" w14:textId="77777777" w:rsidR="00DB7466" w:rsidRDefault="00DB7466" w:rsidP="00AD4EA1"/>
    <w:p w14:paraId="5089BEB5" w14:textId="77777777" w:rsidR="00DB7466" w:rsidRDefault="00DB7466" w:rsidP="00AD4EA1"/>
    <w:p w14:paraId="4F66097C" w14:textId="77777777" w:rsidR="00DB7466" w:rsidRDefault="00DB7466" w:rsidP="00AD4EA1"/>
    <w:p w14:paraId="1886AAD3" w14:textId="77777777" w:rsidR="00DB7466" w:rsidRDefault="00DB7466" w:rsidP="00AD4EA1"/>
    <w:p w14:paraId="01540CCA" w14:textId="77777777" w:rsidR="00DB7466" w:rsidRDefault="00DB7466" w:rsidP="00AD4EA1"/>
    <w:p w14:paraId="107B5456" w14:textId="77777777" w:rsidR="00DB7466" w:rsidRDefault="00DB7466" w:rsidP="00AD4EA1"/>
    <w:p w14:paraId="665F2E80" w14:textId="77777777" w:rsidR="00DB7466" w:rsidRDefault="00DB7466" w:rsidP="00AD4EA1"/>
    <w:p w14:paraId="6C87BFDF" w14:textId="77777777" w:rsidR="00DB7466" w:rsidRDefault="00DB7466" w:rsidP="00AD4EA1"/>
    <w:p w14:paraId="2ED8CE97" w14:textId="77777777" w:rsidR="00DB7466" w:rsidRDefault="00DB7466" w:rsidP="00AD4EA1"/>
    <w:p w14:paraId="4E7A4501" w14:textId="77777777" w:rsidR="00DB7466" w:rsidRDefault="00DB7466" w:rsidP="00AD4EA1"/>
    <w:p w14:paraId="43B62283" w14:textId="77777777" w:rsidR="00DB7466" w:rsidRDefault="00DB7466" w:rsidP="00AD4EA1"/>
    <w:p w14:paraId="3D56CBB0" w14:textId="77777777" w:rsidR="00DB7466" w:rsidRDefault="00DB7466" w:rsidP="00AD4EA1"/>
    <w:p w14:paraId="45D0FF72" w14:textId="77777777" w:rsidR="00DB7466" w:rsidRDefault="00DB7466" w:rsidP="00AD4EA1"/>
    <w:p w14:paraId="7DE49074" w14:textId="77777777" w:rsidR="00DB7466" w:rsidRDefault="00DB7466" w:rsidP="00AD4EA1"/>
    <w:p w14:paraId="44869C64" w14:textId="77777777" w:rsidR="00DB7466" w:rsidRDefault="00DB7466" w:rsidP="00AD4EA1"/>
    <w:p w14:paraId="7B2A71AE" w14:textId="77777777" w:rsidR="00DB7466" w:rsidRDefault="00DB7466" w:rsidP="00AD4EA1"/>
    <w:p w14:paraId="265819BF" w14:textId="77777777" w:rsidR="00DB7466" w:rsidRDefault="00DB7466" w:rsidP="00AD4EA1"/>
    <w:p w14:paraId="1CE07FD8" w14:textId="77777777" w:rsidR="00DB7466" w:rsidRDefault="00DB7466" w:rsidP="00AD4EA1"/>
    <w:p w14:paraId="6B953192" w14:textId="77777777" w:rsidR="00DB7466" w:rsidRDefault="00DB7466" w:rsidP="00AD4EA1"/>
    <w:p w14:paraId="559B9F68" w14:textId="77777777" w:rsidR="00DB7466" w:rsidRDefault="00DB7466" w:rsidP="00AD4EA1"/>
    <w:p w14:paraId="4E3F2BE0" w14:textId="77777777" w:rsidR="00DB7466" w:rsidRDefault="00DB7466" w:rsidP="00AD4EA1"/>
    <w:p w14:paraId="68831B12" w14:textId="77777777" w:rsidR="00DB7466" w:rsidRDefault="00DB7466" w:rsidP="00AD4EA1"/>
    <w:p w14:paraId="08B2748F" w14:textId="77777777" w:rsidR="00DB7466" w:rsidRDefault="00DB7466" w:rsidP="00AD4EA1"/>
    <w:p w14:paraId="412E3E75" w14:textId="77777777" w:rsidR="00DB7466" w:rsidRDefault="00DB7466" w:rsidP="00AD4EA1"/>
    <w:p w14:paraId="261EE44C" w14:textId="77777777" w:rsidR="00DB7466" w:rsidRDefault="00DB7466" w:rsidP="00AD4EA1"/>
    <w:p w14:paraId="0A2910A1" w14:textId="77777777" w:rsidR="00DB7466" w:rsidRDefault="00DB7466" w:rsidP="00AD4EA1"/>
    <w:p w14:paraId="646F9BDF" w14:textId="77777777" w:rsidR="00DB7466" w:rsidRDefault="00DB7466" w:rsidP="00AD4EA1"/>
    <w:p w14:paraId="28BB9A5F" w14:textId="77777777" w:rsidR="00DB7466" w:rsidRDefault="00DB7466" w:rsidP="00AD4EA1"/>
    <w:p w14:paraId="401DF89E" w14:textId="77777777" w:rsidR="00DB7466" w:rsidRDefault="00DB7466" w:rsidP="00AD4EA1"/>
    <w:p w14:paraId="58D79186" w14:textId="77777777" w:rsidR="00DB7466" w:rsidRDefault="00DB7466" w:rsidP="00AD4EA1"/>
    <w:p w14:paraId="60F6B07F" w14:textId="77777777" w:rsidR="00DB7466" w:rsidRDefault="00DB7466" w:rsidP="00AD4EA1"/>
    <w:p w14:paraId="72DDEAC6" w14:textId="77777777" w:rsidR="00DB7466" w:rsidRDefault="00DB7466" w:rsidP="00AD4EA1"/>
    <w:p w14:paraId="4684AAAF" w14:textId="77777777" w:rsidR="00DB7466" w:rsidRDefault="00DB7466" w:rsidP="00AD4EA1"/>
    <w:p w14:paraId="6A94E60C" w14:textId="77777777" w:rsidR="00DB7466" w:rsidRDefault="00DB7466" w:rsidP="00AD4EA1"/>
    <w:p w14:paraId="6D4A3878" w14:textId="77777777" w:rsidR="00DB7466" w:rsidRDefault="00DB7466" w:rsidP="00AD4EA1"/>
    <w:p w14:paraId="536532D4" w14:textId="77777777" w:rsidR="00DB7466" w:rsidRDefault="00DB7466" w:rsidP="00AD4EA1"/>
    <w:p w14:paraId="6C5BC3C2" w14:textId="77777777" w:rsidR="00DB7466" w:rsidRDefault="00DB7466" w:rsidP="00AD4EA1"/>
    <w:p w14:paraId="1771D407" w14:textId="77777777" w:rsidR="00DB7466" w:rsidRDefault="00DB7466" w:rsidP="00AD4EA1"/>
    <w:p w14:paraId="04DFCF69" w14:textId="77777777" w:rsidR="00DB7466" w:rsidRDefault="00DB7466" w:rsidP="00AD4EA1"/>
    <w:p w14:paraId="1924B1D5" w14:textId="77777777" w:rsidR="00DB7466" w:rsidRDefault="00DB7466" w:rsidP="00AD4EA1"/>
    <w:p w14:paraId="2FC7052F" w14:textId="77777777" w:rsidR="00DB7466" w:rsidRDefault="00DB7466" w:rsidP="00AD4EA1"/>
    <w:p w14:paraId="011E9686" w14:textId="77777777" w:rsidR="00DB7466" w:rsidRDefault="00DB7466" w:rsidP="00AD4EA1"/>
    <w:p w14:paraId="0D8139DF" w14:textId="77777777" w:rsidR="00DB7466" w:rsidRDefault="00DB7466" w:rsidP="00AD4EA1"/>
    <w:p w14:paraId="3195D36A" w14:textId="77777777" w:rsidR="00DB7466" w:rsidRDefault="00DB7466" w:rsidP="00AD4EA1"/>
    <w:p w14:paraId="5BDC5FB6" w14:textId="77777777" w:rsidR="00DB7466" w:rsidRDefault="00DB7466" w:rsidP="00AD4EA1"/>
    <w:p w14:paraId="3050B547" w14:textId="77777777" w:rsidR="00DB7466" w:rsidRDefault="00DB7466" w:rsidP="00AD4EA1"/>
    <w:p w14:paraId="23473305" w14:textId="77777777" w:rsidR="00DB7466" w:rsidRDefault="00DB7466" w:rsidP="00AD4EA1"/>
    <w:p w14:paraId="7D7D1291" w14:textId="77777777" w:rsidR="00DB7466" w:rsidRDefault="00DB7466" w:rsidP="00AD4EA1"/>
    <w:p w14:paraId="423E3704" w14:textId="77777777" w:rsidR="00DB7466" w:rsidRDefault="00DB7466" w:rsidP="00AD4EA1"/>
    <w:p w14:paraId="67D1757C" w14:textId="77777777" w:rsidR="00DB7466" w:rsidRDefault="00DB7466" w:rsidP="00AD4EA1"/>
    <w:p w14:paraId="6994F880" w14:textId="77777777" w:rsidR="00DB7466" w:rsidRDefault="00DB7466" w:rsidP="00AD4EA1"/>
    <w:p w14:paraId="130E3A44" w14:textId="77777777" w:rsidR="00DB7466" w:rsidRDefault="00DB7466" w:rsidP="00AD4EA1"/>
    <w:p w14:paraId="23DE0E88" w14:textId="77777777" w:rsidR="00DB7466" w:rsidRDefault="00DB7466" w:rsidP="00AD4EA1"/>
    <w:p w14:paraId="18E04A5B" w14:textId="77777777" w:rsidR="00DB7466" w:rsidRDefault="00DB7466" w:rsidP="00AD4EA1"/>
    <w:p w14:paraId="6F913B74" w14:textId="77777777" w:rsidR="00DB7466" w:rsidRDefault="00DB7466" w:rsidP="00AD4EA1"/>
    <w:p w14:paraId="31A2CC66" w14:textId="77777777" w:rsidR="00DB7466" w:rsidRDefault="00DB7466" w:rsidP="00AD4EA1"/>
    <w:p w14:paraId="4D883740" w14:textId="77777777" w:rsidR="00DB7466" w:rsidRDefault="00DB7466" w:rsidP="00AD4EA1"/>
    <w:p w14:paraId="7DBC760D" w14:textId="77777777" w:rsidR="00DB7466" w:rsidRDefault="00DB7466" w:rsidP="00AD4EA1"/>
    <w:p w14:paraId="4209CED4" w14:textId="77777777" w:rsidR="00DB7466" w:rsidRDefault="00DB7466" w:rsidP="00AD4EA1"/>
    <w:p w14:paraId="0D506978" w14:textId="77777777" w:rsidR="00DB7466" w:rsidRDefault="00DB7466" w:rsidP="00AD4EA1"/>
    <w:p w14:paraId="60EADAE3" w14:textId="77777777" w:rsidR="00DB7466" w:rsidRDefault="00DB7466" w:rsidP="00AD4EA1"/>
    <w:p w14:paraId="2CDC1C72" w14:textId="77777777" w:rsidR="00DB7466" w:rsidRDefault="00DB7466" w:rsidP="00AD4EA1"/>
    <w:p w14:paraId="133BFD0F" w14:textId="77777777" w:rsidR="00DB7466" w:rsidRDefault="00DB7466" w:rsidP="00AD4EA1"/>
    <w:p w14:paraId="7F67F266" w14:textId="77777777" w:rsidR="00DB7466" w:rsidRDefault="00DB7466" w:rsidP="00AD4EA1"/>
    <w:p w14:paraId="51CB3DF9" w14:textId="77777777" w:rsidR="00DB7466" w:rsidRDefault="00DB7466" w:rsidP="00AD4EA1"/>
    <w:p w14:paraId="7D154A4D" w14:textId="77777777" w:rsidR="00DB7466" w:rsidRDefault="00DB7466" w:rsidP="00AD4EA1"/>
    <w:p w14:paraId="34D06BCD" w14:textId="77777777" w:rsidR="00DB7466" w:rsidRDefault="00DB7466" w:rsidP="00AD4EA1"/>
    <w:p w14:paraId="3AC46CD1" w14:textId="77777777" w:rsidR="00DB7466" w:rsidRDefault="00DB7466" w:rsidP="00AD4EA1"/>
    <w:p w14:paraId="1C8F637F" w14:textId="77777777" w:rsidR="00DB7466" w:rsidRDefault="00DB7466" w:rsidP="00AD4EA1"/>
    <w:p w14:paraId="43E8C33F" w14:textId="77777777" w:rsidR="00DB7466" w:rsidRDefault="00DB7466" w:rsidP="00AD4EA1"/>
    <w:p w14:paraId="539725FF" w14:textId="77777777" w:rsidR="00DB7466" w:rsidRDefault="00DB7466" w:rsidP="00AD4EA1"/>
    <w:p w14:paraId="689986DE" w14:textId="77777777" w:rsidR="00DB7466" w:rsidRDefault="00DB7466" w:rsidP="00AD4EA1"/>
    <w:p w14:paraId="64D7EDAE" w14:textId="77777777" w:rsidR="00DB7466" w:rsidRDefault="00DB7466" w:rsidP="00AD4EA1"/>
    <w:p w14:paraId="4AC60FCA" w14:textId="77777777" w:rsidR="00DB7466" w:rsidRDefault="00DB7466" w:rsidP="00AD4EA1"/>
    <w:p w14:paraId="2B58A195" w14:textId="77777777" w:rsidR="00DB7466" w:rsidRDefault="00DB7466" w:rsidP="00AD4EA1"/>
    <w:p w14:paraId="023BABDF" w14:textId="77777777" w:rsidR="00DB7466" w:rsidRDefault="00DB7466" w:rsidP="00AD4EA1"/>
    <w:p w14:paraId="463D3C37" w14:textId="77777777" w:rsidR="00DB7466" w:rsidRDefault="00DB7466" w:rsidP="00AD4EA1"/>
    <w:p w14:paraId="363BD849" w14:textId="77777777" w:rsidR="00DB7466" w:rsidRDefault="00DB7466" w:rsidP="00AD4EA1"/>
    <w:p w14:paraId="30E52BE2" w14:textId="77777777" w:rsidR="00DB7466" w:rsidRDefault="00DB7466" w:rsidP="00AD4EA1"/>
    <w:p w14:paraId="62D13BE4" w14:textId="77777777" w:rsidR="00DB7466" w:rsidRDefault="00DB7466" w:rsidP="00AD4EA1"/>
    <w:p w14:paraId="0FF37BEA" w14:textId="77777777" w:rsidR="00DB7466" w:rsidRDefault="00DB7466" w:rsidP="00AD4EA1"/>
    <w:p w14:paraId="0AE56A92" w14:textId="77777777" w:rsidR="00DB7466" w:rsidRDefault="00DB7466" w:rsidP="00AD4EA1"/>
    <w:p w14:paraId="1E361D1C" w14:textId="77777777" w:rsidR="00DB7466" w:rsidRDefault="00DB7466" w:rsidP="00AD4EA1"/>
    <w:p w14:paraId="1D078C3F" w14:textId="77777777" w:rsidR="00DB7466" w:rsidRDefault="00DB7466" w:rsidP="00AD4EA1"/>
    <w:p w14:paraId="459C14E5" w14:textId="77777777" w:rsidR="00DB7466" w:rsidRDefault="00DB7466" w:rsidP="00AD4EA1"/>
    <w:p w14:paraId="0FDA5E06" w14:textId="77777777" w:rsidR="00DB7466" w:rsidRDefault="00DB7466" w:rsidP="00AD4EA1"/>
    <w:p w14:paraId="4755D4EF" w14:textId="77777777" w:rsidR="00DB7466" w:rsidRDefault="00DB7466" w:rsidP="00AD4EA1"/>
    <w:p w14:paraId="42D6BCFA" w14:textId="77777777" w:rsidR="00DB7466" w:rsidRDefault="00DB7466" w:rsidP="00AD4EA1"/>
    <w:p w14:paraId="431C88BB" w14:textId="77777777" w:rsidR="00DB7466" w:rsidRDefault="00DB7466" w:rsidP="00AD4EA1"/>
    <w:p w14:paraId="38B63378" w14:textId="77777777" w:rsidR="00DB7466" w:rsidRDefault="00DB7466" w:rsidP="00AD4EA1"/>
    <w:p w14:paraId="40E14BA6" w14:textId="77777777" w:rsidR="00DB7466" w:rsidRDefault="00DB7466" w:rsidP="00AD4EA1"/>
    <w:p w14:paraId="1E1FFCF8" w14:textId="77777777" w:rsidR="00DB7466" w:rsidRDefault="00DB7466" w:rsidP="00AD4EA1"/>
    <w:p w14:paraId="4C386B84" w14:textId="77777777" w:rsidR="00DB7466" w:rsidRDefault="00DB7466" w:rsidP="00AD4EA1"/>
    <w:p w14:paraId="2B81945A" w14:textId="77777777" w:rsidR="00DB7466" w:rsidRDefault="00DB7466" w:rsidP="00AD4EA1"/>
    <w:p w14:paraId="2524FBAA" w14:textId="77777777" w:rsidR="00DB7466" w:rsidRDefault="00DB7466" w:rsidP="00AD4EA1"/>
    <w:p w14:paraId="16D780BA" w14:textId="77777777" w:rsidR="00DB7466" w:rsidRDefault="00DB7466" w:rsidP="00AD4EA1"/>
    <w:p w14:paraId="64721C7C" w14:textId="77777777" w:rsidR="00DB7466" w:rsidRDefault="00DB7466" w:rsidP="00AD4EA1"/>
    <w:p w14:paraId="08BBB4BD" w14:textId="77777777" w:rsidR="00DB7466" w:rsidRDefault="00DB7466" w:rsidP="00AD4EA1"/>
    <w:p w14:paraId="24117B85" w14:textId="77777777" w:rsidR="00DB7466" w:rsidRDefault="00DB7466" w:rsidP="00AD4EA1"/>
    <w:p w14:paraId="4DBC7462" w14:textId="77777777" w:rsidR="00DB7466" w:rsidRDefault="00DB7466" w:rsidP="00AD4EA1"/>
    <w:p w14:paraId="51C9AFFD" w14:textId="77777777" w:rsidR="00DB7466" w:rsidRDefault="00DB7466" w:rsidP="00AD4EA1"/>
    <w:p w14:paraId="41715553" w14:textId="77777777" w:rsidR="00DB7466" w:rsidRDefault="00DB7466" w:rsidP="00AD4EA1"/>
    <w:p w14:paraId="33E337E1" w14:textId="77777777" w:rsidR="00DB7466" w:rsidRDefault="00DB7466" w:rsidP="00AD4EA1"/>
    <w:p w14:paraId="2EE38DB4" w14:textId="77777777" w:rsidR="00DB7466" w:rsidRDefault="00DB7466" w:rsidP="00AD4EA1"/>
    <w:p w14:paraId="6ABFF97F" w14:textId="77777777" w:rsidR="00DB7466" w:rsidRDefault="00DB7466" w:rsidP="00AD4EA1"/>
    <w:p w14:paraId="61D3656F" w14:textId="77777777" w:rsidR="00DB7466" w:rsidRDefault="00DB7466" w:rsidP="00AD4EA1"/>
    <w:p w14:paraId="05E74D89" w14:textId="77777777" w:rsidR="00DB7466" w:rsidRDefault="00DB7466" w:rsidP="00AD4EA1"/>
    <w:p w14:paraId="15963E10" w14:textId="77777777" w:rsidR="00DB7466" w:rsidRDefault="00DB7466" w:rsidP="00AD4EA1"/>
    <w:p w14:paraId="3FD7B59E" w14:textId="77777777" w:rsidR="00DB7466" w:rsidRDefault="00DB7466" w:rsidP="00AD4EA1"/>
    <w:p w14:paraId="515F4504" w14:textId="77777777" w:rsidR="00DB7466" w:rsidRDefault="00DB7466" w:rsidP="00AD4EA1"/>
    <w:p w14:paraId="4EE78364" w14:textId="77777777" w:rsidR="00DB7466" w:rsidRDefault="00DB7466" w:rsidP="00AD4EA1"/>
    <w:p w14:paraId="22A88479" w14:textId="77777777" w:rsidR="00DB7466" w:rsidRDefault="00DB7466" w:rsidP="00AD4EA1"/>
    <w:p w14:paraId="35EED413" w14:textId="77777777" w:rsidR="00DB7466" w:rsidRDefault="00DB7466" w:rsidP="00AD4EA1"/>
    <w:p w14:paraId="264AA6A2" w14:textId="77777777" w:rsidR="00DB7466" w:rsidRDefault="00DB7466" w:rsidP="00AD4EA1"/>
    <w:p w14:paraId="18E76481" w14:textId="77777777" w:rsidR="00DB7466" w:rsidRDefault="00DB7466" w:rsidP="00AD4EA1"/>
    <w:p w14:paraId="00075F91" w14:textId="77777777" w:rsidR="00DB7466" w:rsidRDefault="00DB7466" w:rsidP="00AD4EA1"/>
    <w:p w14:paraId="35E9E1B8" w14:textId="77777777" w:rsidR="00DB7466" w:rsidRDefault="00DB7466" w:rsidP="00AD4EA1"/>
    <w:p w14:paraId="6885117B" w14:textId="77777777" w:rsidR="00DB7466" w:rsidRDefault="00DB7466" w:rsidP="00AD4EA1"/>
    <w:p w14:paraId="53FC87A8" w14:textId="77777777" w:rsidR="00DB7466" w:rsidRDefault="00DB7466" w:rsidP="00AD4EA1"/>
    <w:p w14:paraId="19ED080F" w14:textId="77777777" w:rsidR="00DB7466" w:rsidRDefault="00DB7466" w:rsidP="00AD4EA1"/>
    <w:p w14:paraId="355ADAA0" w14:textId="77777777" w:rsidR="00DB7466" w:rsidRDefault="00DB7466" w:rsidP="00AD4EA1"/>
    <w:p w14:paraId="79820849" w14:textId="77777777" w:rsidR="00DB7466" w:rsidRDefault="00DB7466" w:rsidP="00AD4EA1"/>
    <w:p w14:paraId="0C84C266" w14:textId="77777777" w:rsidR="00DB7466" w:rsidRDefault="00DB7466" w:rsidP="00AD4EA1">
      <w:pPr>
        <w:pStyle w:val="ListParagraph"/>
        <w:numPr>
          <w:ilvl w:val="0"/>
          <w:numId w:val="9"/>
        </w:numPr>
      </w:pPr>
    </w:p>
    <w:p w14:paraId="5C22697E" w14:textId="77777777" w:rsidR="00DB7466" w:rsidRDefault="00DB7466" w:rsidP="00AD4EA1">
      <w:pPr>
        <w:pStyle w:val="ListParagraph"/>
        <w:numPr>
          <w:ilvl w:val="0"/>
          <w:numId w:val="9"/>
        </w:numPr>
      </w:pPr>
    </w:p>
    <w:p w14:paraId="2F35E795" w14:textId="77777777" w:rsidR="00DB7466" w:rsidRDefault="00DB7466" w:rsidP="00AD4EA1">
      <w:pPr>
        <w:pStyle w:val="ListParagraph"/>
        <w:numPr>
          <w:ilvl w:val="0"/>
          <w:numId w:val="9"/>
        </w:numPr>
      </w:pPr>
    </w:p>
    <w:p w14:paraId="42020CAE" w14:textId="77777777" w:rsidR="00DB7466" w:rsidRDefault="00DB7466" w:rsidP="00AD4EA1">
      <w:pPr>
        <w:pStyle w:val="ListParagraph"/>
        <w:numPr>
          <w:ilvl w:val="0"/>
          <w:numId w:val="9"/>
        </w:numPr>
      </w:pPr>
    </w:p>
    <w:p w14:paraId="63AD48F9" w14:textId="77777777" w:rsidR="00DB7466" w:rsidRDefault="00DB7466" w:rsidP="00AD4EA1">
      <w:pPr>
        <w:pStyle w:val="ListParagraph"/>
        <w:numPr>
          <w:ilvl w:val="0"/>
          <w:numId w:val="9"/>
        </w:numPr>
      </w:pPr>
    </w:p>
    <w:p w14:paraId="09D56987" w14:textId="77777777" w:rsidR="00DB7466" w:rsidRDefault="00DB7466" w:rsidP="00AD4EA1">
      <w:pPr>
        <w:pStyle w:val="ListParagraph"/>
        <w:numPr>
          <w:ilvl w:val="0"/>
          <w:numId w:val="9"/>
        </w:numPr>
      </w:pPr>
    </w:p>
    <w:p w14:paraId="5B3E1730" w14:textId="77777777" w:rsidR="00DB7466" w:rsidRDefault="00DB7466" w:rsidP="00AD4EA1">
      <w:pPr>
        <w:pStyle w:val="ListParagraph"/>
        <w:numPr>
          <w:ilvl w:val="0"/>
          <w:numId w:val="9"/>
        </w:numPr>
      </w:pPr>
    </w:p>
    <w:p w14:paraId="780C80A6" w14:textId="77777777" w:rsidR="00DB7466" w:rsidRDefault="00DB7466" w:rsidP="00AD4EA1">
      <w:pPr>
        <w:pStyle w:val="ListParagraph"/>
        <w:numPr>
          <w:ilvl w:val="0"/>
          <w:numId w:val="9"/>
        </w:numPr>
      </w:pPr>
    </w:p>
    <w:p w14:paraId="12B055F2" w14:textId="77777777" w:rsidR="00DB7466" w:rsidRDefault="00DB7466" w:rsidP="00AD4EA1">
      <w:pPr>
        <w:pStyle w:val="ListParagraph"/>
        <w:numPr>
          <w:ilvl w:val="0"/>
          <w:numId w:val="9"/>
        </w:numPr>
      </w:pPr>
    </w:p>
    <w:p w14:paraId="11DDDF49" w14:textId="77777777" w:rsidR="00DB7466" w:rsidRDefault="00DB7466" w:rsidP="00AD4EA1">
      <w:pPr>
        <w:pStyle w:val="ListParagraph"/>
        <w:numPr>
          <w:ilvl w:val="0"/>
          <w:numId w:val="9"/>
        </w:numPr>
      </w:pPr>
    </w:p>
    <w:p w14:paraId="07CBBA1B" w14:textId="77777777" w:rsidR="00DB7466" w:rsidRDefault="00DB7466" w:rsidP="00AD4EA1">
      <w:pPr>
        <w:pStyle w:val="ListParagraph"/>
        <w:numPr>
          <w:ilvl w:val="0"/>
          <w:numId w:val="9"/>
        </w:numPr>
      </w:pPr>
    </w:p>
    <w:p w14:paraId="2DAF5555" w14:textId="77777777" w:rsidR="00DB7466" w:rsidRDefault="00DB7466" w:rsidP="00AD4EA1"/>
    <w:p w14:paraId="3A696835" w14:textId="77777777" w:rsidR="00DB7466" w:rsidRDefault="00DB7466" w:rsidP="00AD4EA1"/>
    <w:p w14:paraId="78CF9A48" w14:textId="77777777" w:rsidR="00DB7466" w:rsidRDefault="00DB7466" w:rsidP="00AD4EA1"/>
    <w:p w14:paraId="4F5EC4FA" w14:textId="77777777" w:rsidR="00DB7466" w:rsidRDefault="00DB7466" w:rsidP="00AD4EA1"/>
    <w:p w14:paraId="01B77860" w14:textId="77777777" w:rsidR="00DB7466" w:rsidRDefault="00DB7466" w:rsidP="00AD4EA1"/>
    <w:p w14:paraId="7691AE46" w14:textId="77777777" w:rsidR="00DB7466" w:rsidRDefault="00DB7466" w:rsidP="00AD4EA1"/>
    <w:p w14:paraId="4DD7A480" w14:textId="77777777" w:rsidR="00DB7466" w:rsidRDefault="00DB7466" w:rsidP="00AD4EA1"/>
    <w:p w14:paraId="64CE90A6" w14:textId="77777777" w:rsidR="00DB7466" w:rsidRDefault="00DB7466" w:rsidP="00AD4EA1"/>
    <w:p w14:paraId="63901B73" w14:textId="77777777" w:rsidR="00DB7466" w:rsidRDefault="00DB7466" w:rsidP="00AD4EA1"/>
    <w:p w14:paraId="2A7A013E" w14:textId="77777777" w:rsidR="00DB7466" w:rsidRDefault="00DB7466" w:rsidP="00AD4EA1">
      <w:pPr>
        <w:pStyle w:val="ListParagraph"/>
        <w:numPr>
          <w:ilvl w:val="0"/>
          <w:numId w:val="8"/>
        </w:numPr>
      </w:pPr>
    </w:p>
    <w:p w14:paraId="258E61AB" w14:textId="77777777" w:rsidR="00DB7466" w:rsidRDefault="00DB7466" w:rsidP="00AD4EA1">
      <w:pPr>
        <w:pStyle w:val="ListParagraph"/>
        <w:numPr>
          <w:ilvl w:val="0"/>
          <w:numId w:val="8"/>
        </w:numPr>
      </w:pPr>
    </w:p>
    <w:p w14:paraId="6245B529" w14:textId="77777777" w:rsidR="00DB7466" w:rsidRDefault="00DB7466" w:rsidP="00AD4EA1">
      <w:pPr>
        <w:pStyle w:val="ListParagraph"/>
        <w:numPr>
          <w:ilvl w:val="0"/>
          <w:numId w:val="8"/>
        </w:numPr>
      </w:pPr>
    </w:p>
    <w:p w14:paraId="2743D025" w14:textId="77777777" w:rsidR="00DB7466" w:rsidRDefault="00DB7466" w:rsidP="00AD4EA1">
      <w:pPr>
        <w:pStyle w:val="ListParagraph"/>
        <w:numPr>
          <w:ilvl w:val="0"/>
          <w:numId w:val="8"/>
        </w:numPr>
      </w:pPr>
    </w:p>
    <w:p w14:paraId="6F94E4A5" w14:textId="77777777" w:rsidR="00DB7466" w:rsidRDefault="00DB7466" w:rsidP="00AD4EA1">
      <w:pPr>
        <w:pStyle w:val="ListParagraph"/>
        <w:numPr>
          <w:ilvl w:val="0"/>
          <w:numId w:val="8"/>
        </w:numPr>
      </w:pPr>
    </w:p>
    <w:p w14:paraId="3E14798A" w14:textId="77777777" w:rsidR="00DB7466" w:rsidRDefault="00DB7466" w:rsidP="00AD4EA1">
      <w:pPr>
        <w:pStyle w:val="ListParagraph"/>
        <w:numPr>
          <w:ilvl w:val="0"/>
          <w:numId w:val="8"/>
        </w:numPr>
      </w:pPr>
    </w:p>
    <w:p w14:paraId="328776AE" w14:textId="77777777" w:rsidR="00DB7466" w:rsidRDefault="00DB7466" w:rsidP="00AD4EA1">
      <w:pPr>
        <w:pStyle w:val="ListParagraph"/>
        <w:numPr>
          <w:ilvl w:val="0"/>
          <w:numId w:val="8"/>
        </w:numPr>
      </w:pPr>
    </w:p>
    <w:p w14:paraId="11E0B8FF" w14:textId="77777777" w:rsidR="00DB7466" w:rsidRDefault="00DB7466" w:rsidP="00AD4EA1">
      <w:pPr>
        <w:pStyle w:val="ListParagraph"/>
        <w:numPr>
          <w:ilvl w:val="0"/>
          <w:numId w:val="8"/>
        </w:numPr>
      </w:pPr>
    </w:p>
    <w:p w14:paraId="7525C28F" w14:textId="77777777" w:rsidR="00DB7466" w:rsidRDefault="00DB7466" w:rsidP="00AD4EA1">
      <w:pPr>
        <w:pStyle w:val="ListParagraph"/>
        <w:numPr>
          <w:ilvl w:val="0"/>
          <w:numId w:val="8"/>
        </w:numPr>
      </w:pPr>
    </w:p>
    <w:p w14:paraId="44A5E36E" w14:textId="77777777" w:rsidR="00DB7466" w:rsidRDefault="00DB7466" w:rsidP="00AD4EA1">
      <w:pPr>
        <w:pStyle w:val="ListParagraph"/>
        <w:numPr>
          <w:ilvl w:val="0"/>
          <w:numId w:val="8"/>
        </w:numPr>
      </w:pPr>
    </w:p>
    <w:p w14:paraId="2B12D9FD" w14:textId="77777777" w:rsidR="00DB7466" w:rsidRDefault="00DB7466" w:rsidP="00AD4EA1">
      <w:pPr>
        <w:pStyle w:val="ListParagraph"/>
        <w:numPr>
          <w:ilvl w:val="0"/>
          <w:numId w:val="8"/>
        </w:numPr>
      </w:pPr>
    </w:p>
    <w:p w14:paraId="0D418F63" w14:textId="77777777" w:rsidR="00DB7466" w:rsidRDefault="00DB7466" w:rsidP="00AD4EA1">
      <w:pPr>
        <w:pStyle w:val="ListParagraph"/>
        <w:numPr>
          <w:ilvl w:val="0"/>
          <w:numId w:val="8"/>
        </w:numPr>
      </w:pPr>
    </w:p>
    <w:p w14:paraId="27267F97" w14:textId="77777777" w:rsidR="00DB7466" w:rsidRDefault="00DB7466" w:rsidP="00AD4EA1">
      <w:pPr>
        <w:pStyle w:val="ListParagraph"/>
        <w:numPr>
          <w:ilvl w:val="0"/>
          <w:numId w:val="8"/>
        </w:numPr>
      </w:pPr>
    </w:p>
    <w:p w14:paraId="0AF9874B" w14:textId="77777777" w:rsidR="00DB7466" w:rsidRDefault="00DB7466" w:rsidP="00AD4EA1">
      <w:pPr>
        <w:pStyle w:val="ListParagraph"/>
        <w:numPr>
          <w:ilvl w:val="0"/>
          <w:numId w:val="8"/>
        </w:numPr>
      </w:pPr>
    </w:p>
    <w:p w14:paraId="21C80E02" w14:textId="77777777" w:rsidR="00DB7466" w:rsidRDefault="00DB7466" w:rsidP="00AD4EA1">
      <w:pPr>
        <w:pStyle w:val="ListParagraph"/>
        <w:numPr>
          <w:ilvl w:val="0"/>
          <w:numId w:val="8"/>
        </w:numPr>
      </w:pPr>
    </w:p>
    <w:p w14:paraId="12CE1A54" w14:textId="77777777" w:rsidR="00DB7466" w:rsidRDefault="00DB7466" w:rsidP="00AD4EA1">
      <w:pPr>
        <w:pStyle w:val="ListParagraph"/>
        <w:numPr>
          <w:ilvl w:val="0"/>
          <w:numId w:val="8"/>
        </w:numPr>
      </w:pPr>
    </w:p>
    <w:p w14:paraId="07D4B374" w14:textId="77777777" w:rsidR="00DB7466" w:rsidRDefault="00DB7466" w:rsidP="00AD4EA1">
      <w:pPr>
        <w:pStyle w:val="ListParagraph"/>
        <w:numPr>
          <w:ilvl w:val="0"/>
          <w:numId w:val="8"/>
        </w:numPr>
      </w:pPr>
    </w:p>
    <w:p w14:paraId="05F51FB1" w14:textId="77777777" w:rsidR="00DB7466" w:rsidRDefault="00DB7466" w:rsidP="00AD4EA1">
      <w:pPr>
        <w:pStyle w:val="ListParagraph"/>
        <w:numPr>
          <w:ilvl w:val="0"/>
          <w:numId w:val="8"/>
        </w:numPr>
      </w:pPr>
    </w:p>
    <w:p w14:paraId="27CD85C5" w14:textId="77777777" w:rsidR="00DB7466" w:rsidRDefault="00DB7466" w:rsidP="00AD4EA1">
      <w:pPr>
        <w:pStyle w:val="ListParagraph"/>
        <w:numPr>
          <w:ilvl w:val="0"/>
          <w:numId w:val="8"/>
        </w:numPr>
      </w:pPr>
    </w:p>
    <w:p w14:paraId="1291A073" w14:textId="77777777" w:rsidR="00DB7466" w:rsidRDefault="00DB7466" w:rsidP="00AD4EA1">
      <w:pPr>
        <w:pStyle w:val="ListParagraph"/>
        <w:numPr>
          <w:ilvl w:val="0"/>
          <w:numId w:val="8"/>
        </w:numPr>
      </w:pPr>
    </w:p>
    <w:p w14:paraId="77C512FF" w14:textId="77777777" w:rsidR="00DB7466" w:rsidRDefault="00DB7466" w:rsidP="00AD4EA1">
      <w:pPr>
        <w:pStyle w:val="ListParagraph"/>
        <w:numPr>
          <w:ilvl w:val="0"/>
          <w:numId w:val="8"/>
        </w:numPr>
      </w:pPr>
    </w:p>
    <w:p w14:paraId="5E76BBD1" w14:textId="77777777" w:rsidR="00DB7466" w:rsidRDefault="00DB7466" w:rsidP="00AD4EA1">
      <w:pPr>
        <w:pStyle w:val="ListParagraph"/>
        <w:numPr>
          <w:ilvl w:val="0"/>
          <w:numId w:val="8"/>
        </w:numPr>
      </w:pPr>
    </w:p>
    <w:p w14:paraId="0C103272" w14:textId="77777777" w:rsidR="00DB7466" w:rsidRDefault="00DB7466" w:rsidP="00AD4EA1">
      <w:pPr>
        <w:pStyle w:val="ListParagraph"/>
        <w:numPr>
          <w:ilvl w:val="0"/>
          <w:numId w:val="8"/>
        </w:numPr>
      </w:pPr>
    </w:p>
    <w:p w14:paraId="646BFA02" w14:textId="77777777" w:rsidR="00DB7466" w:rsidRDefault="00DB7466" w:rsidP="00AD4EA1">
      <w:pPr>
        <w:pStyle w:val="ListParagraph"/>
        <w:numPr>
          <w:ilvl w:val="0"/>
          <w:numId w:val="8"/>
        </w:numPr>
      </w:pPr>
    </w:p>
    <w:p w14:paraId="1D62FA37" w14:textId="77777777" w:rsidR="00DB7466" w:rsidRDefault="00DB7466" w:rsidP="00AD4EA1"/>
    <w:p w14:paraId="7925E180" w14:textId="77777777" w:rsidR="00DB7466" w:rsidRDefault="00DB7466" w:rsidP="00AD4EA1"/>
    <w:p w14:paraId="3D48DD51" w14:textId="77777777" w:rsidR="00DB7466" w:rsidRDefault="00DB7466" w:rsidP="00AD4EA1"/>
    <w:p w14:paraId="2F5F42F8" w14:textId="77777777" w:rsidR="00DB7466" w:rsidRDefault="00DB7466" w:rsidP="00AD4EA1">
      <w:pPr>
        <w:pStyle w:val="ListParagraph"/>
        <w:numPr>
          <w:ilvl w:val="0"/>
          <w:numId w:val="10"/>
        </w:numPr>
      </w:pPr>
    </w:p>
    <w:p w14:paraId="7498F610" w14:textId="77777777" w:rsidR="00DB7466" w:rsidRDefault="00DB7466" w:rsidP="00AD4EA1">
      <w:pPr>
        <w:pStyle w:val="ListParagraph"/>
        <w:numPr>
          <w:ilvl w:val="0"/>
          <w:numId w:val="10"/>
        </w:numPr>
      </w:pPr>
    </w:p>
    <w:p w14:paraId="2B24B914" w14:textId="77777777" w:rsidR="00DB7466" w:rsidRDefault="00DB7466" w:rsidP="00AD4EA1">
      <w:pPr>
        <w:pStyle w:val="ListParagraph"/>
        <w:numPr>
          <w:ilvl w:val="0"/>
          <w:numId w:val="10"/>
        </w:numPr>
      </w:pPr>
    </w:p>
    <w:p w14:paraId="3ADCF215" w14:textId="77777777" w:rsidR="00DB7466" w:rsidRDefault="00DB7466" w:rsidP="00AD4EA1">
      <w:pPr>
        <w:pStyle w:val="ListParagraph"/>
        <w:numPr>
          <w:ilvl w:val="0"/>
          <w:numId w:val="10"/>
        </w:numPr>
      </w:pPr>
    </w:p>
    <w:p w14:paraId="493FE3D9" w14:textId="77777777" w:rsidR="00DB7466" w:rsidRDefault="00DB7466" w:rsidP="00AD4EA1">
      <w:pPr>
        <w:pStyle w:val="ListParagraph"/>
        <w:numPr>
          <w:ilvl w:val="0"/>
          <w:numId w:val="10"/>
        </w:numPr>
      </w:pPr>
    </w:p>
    <w:p w14:paraId="3314DBF7" w14:textId="77777777" w:rsidR="00DB7466" w:rsidRDefault="00DB7466" w:rsidP="00AD4EA1">
      <w:pPr>
        <w:pStyle w:val="ListParagraph"/>
        <w:numPr>
          <w:ilvl w:val="0"/>
          <w:numId w:val="10"/>
        </w:numPr>
      </w:pPr>
    </w:p>
    <w:p w14:paraId="42476E4B" w14:textId="77777777" w:rsidR="00DB7466" w:rsidRDefault="00DB7466" w:rsidP="00AD4EA1">
      <w:pPr>
        <w:pStyle w:val="ListParagraph"/>
        <w:numPr>
          <w:ilvl w:val="0"/>
          <w:numId w:val="10"/>
        </w:numPr>
      </w:pPr>
    </w:p>
    <w:p w14:paraId="495F0BBC" w14:textId="77777777" w:rsidR="00DB7466" w:rsidRDefault="00DB7466" w:rsidP="00AD4EA1">
      <w:pPr>
        <w:pStyle w:val="ListParagraph"/>
        <w:numPr>
          <w:ilvl w:val="0"/>
          <w:numId w:val="10"/>
        </w:numPr>
      </w:pPr>
    </w:p>
    <w:p w14:paraId="5E5218FE" w14:textId="77777777" w:rsidR="00DB7466" w:rsidRDefault="00DB7466" w:rsidP="00AD4EA1">
      <w:pPr>
        <w:pStyle w:val="ListParagraph"/>
        <w:numPr>
          <w:ilvl w:val="0"/>
          <w:numId w:val="10"/>
        </w:numPr>
      </w:pPr>
    </w:p>
    <w:p w14:paraId="0E959F1E" w14:textId="77777777" w:rsidR="00DB7466" w:rsidRDefault="00DB7466" w:rsidP="00AD4EA1">
      <w:pPr>
        <w:pStyle w:val="ListParagraph"/>
        <w:numPr>
          <w:ilvl w:val="0"/>
          <w:numId w:val="10"/>
        </w:numPr>
      </w:pPr>
    </w:p>
    <w:p w14:paraId="1D060962" w14:textId="77777777" w:rsidR="00DB7466" w:rsidRDefault="00DB7466" w:rsidP="00AD4EA1">
      <w:pPr>
        <w:pStyle w:val="ListParagraph"/>
        <w:numPr>
          <w:ilvl w:val="0"/>
          <w:numId w:val="10"/>
        </w:numPr>
      </w:pPr>
    </w:p>
    <w:p w14:paraId="0BA2B305" w14:textId="77777777" w:rsidR="00DB7466" w:rsidRDefault="00DB7466" w:rsidP="00AD4EA1">
      <w:pPr>
        <w:pStyle w:val="ListParagraph"/>
        <w:numPr>
          <w:ilvl w:val="0"/>
          <w:numId w:val="10"/>
        </w:numPr>
      </w:pPr>
    </w:p>
    <w:p w14:paraId="7BBA860D" w14:textId="77777777" w:rsidR="00DB7466" w:rsidRDefault="00DB7466" w:rsidP="00AD4EA1">
      <w:pPr>
        <w:pStyle w:val="ListParagraph"/>
        <w:numPr>
          <w:ilvl w:val="0"/>
          <w:numId w:val="10"/>
        </w:numPr>
      </w:pPr>
    </w:p>
    <w:p w14:paraId="3DB5AC9D" w14:textId="77777777" w:rsidR="00DB7466" w:rsidRDefault="00DB7466" w:rsidP="00AD4EA1">
      <w:pPr>
        <w:pStyle w:val="ListParagraph"/>
        <w:numPr>
          <w:ilvl w:val="0"/>
          <w:numId w:val="10"/>
        </w:numPr>
      </w:pPr>
    </w:p>
    <w:p w14:paraId="7DABE1AB" w14:textId="77777777" w:rsidR="00DB7466" w:rsidRDefault="00DB7466" w:rsidP="00AD4EA1">
      <w:pPr>
        <w:pStyle w:val="ListParagraph"/>
        <w:numPr>
          <w:ilvl w:val="0"/>
          <w:numId w:val="10"/>
        </w:numPr>
      </w:pPr>
    </w:p>
    <w:p w14:paraId="45FD46C5" w14:textId="77777777" w:rsidR="00DB7466" w:rsidRDefault="00DB7466" w:rsidP="00AD4EA1">
      <w:pPr>
        <w:pStyle w:val="ListParagraph"/>
        <w:numPr>
          <w:ilvl w:val="0"/>
          <w:numId w:val="10"/>
        </w:numPr>
      </w:pPr>
    </w:p>
    <w:p w14:paraId="2090D1E7" w14:textId="77777777" w:rsidR="00DB7466" w:rsidRDefault="00DB7466" w:rsidP="00AD4EA1">
      <w:pPr>
        <w:pStyle w:val="ListParagraph"/>
        <w:numPr>
          <w:ilvl w:val="0"/>
          <w:numId w:val="10"/>
        </w:numPr>
      </w:pPr>
    </w:p>
    <w:p w14:paraId="6ED158B1" w14:textId="77777777" w:rsidR="00DB7466" w:rsidRDefault="00DB7466" w:rsidP="00AD4EA1">
      <w:pPr>
        <w:pStyle w:val="ListParagraph"/>
        <w:numPr>
          <w:ilvl w:val="0"/>
          <w:numId w:val="10"/>
        </w:numPr>
      </w:pPr>
    </w:p>
    <w:p w14:paraId="70446CF8" w14:textId="77777777" w:rsidR="00DB7466" w:rsidRDefault="00DB7466" w:rsidP="00AD4EA1">
      <w:pPr>
        <w:pStyle w:val="ListParagraph"/>
        <w:numPr>
          <w:ilvl w:val="0"/>
          <w:numId w:val="10"/>
        </w:numPr>
      </w:pPr>
    </w:p>
    <w:p w14:paraId="0C154AE0" w14:textId="77777777" w:rsidR="00DB7466" w:rsidRDefault="00DB7466" w:rsidP="00AD4EA1">
      <w:pPr>
        <w:pStyle w:val="ListParagraph"/>
        <w:numPr>
          <w:ilvl w:val="0"/>
          <w:numId w:val="10"/>
        </w:numPr>
      </w:pPr>
    </w:p>
    <w:p w14:paraId="27E632B1" w14:textId="77777777" w:rsidR="00DB7466" w:rsidRDefault="00DB7466" w:rsidP="00AD4EA1">
      <w:pPr>
        <w:pStyle w:val="ListParagraph"/>
        <w:numPr>
          <w:ilvl w:val="0"/>
          <w:numId w:val="10"/>
        </w:numPr>
      </w:pPr>
    </w:p>
    <w:p w14:paraId="4533766F" w14:textId="77777777" w:rsidR="00DB7466" w:rsidRDefault="00DB7466" w:rsidP="00AD4EA1">
      <w:pPr>
        <w:pStyle w:val="ListParagraph"/>
        <w:numPr>
          <w:ilvl w:val="0"/>
          <w:numId w:val="10"/>
        </w:numPr>
      </w:pPr>
    </w:p>
    <w:p w14:paraId="62535AC3" w14:textId="77777777" w:rsidR="00DB7466" w:rsidRDefault="00DB7466" w:rsidP="00AD4EA1">
      <w:pPr>
        <w:pStyle w:val="ListParagraph"/>
        <w:numPr>
          <w:ilvl w:val="0"/>
          <w:numId w:val="10"/>
        </w:numPr>
      </w:pPr>
    </w:p>
    <w:p w14:paraId="32CDCDE5" w14:textId="77777777" w:rsidR="00DB7466" w:rsidRDefault="00DB7466" w:rsidP="00AD4EA1">
      <w:pPr>
        <w:pStyle w:val="ListParagraph"/>
        <w:numPr>
          <w:ilvl w:val="0"/>
          <w:numId w:val="10"/>
        </w:numPr>
      </w:pPr>
    </w:p>
    <w:p w14:paraId="1C60A8FA" w14:textId="77777777" w:rsidR="00DB7466" w:rsidRDefault="00DB7466" w:rsidP="00AD4EA1">
      <w:pPr>
        <w:pStyle w:val="ListParagraph"/>
        <w:numPr>
          <w:ilvl w:val="0"/>
          <w:numId w:val="10"/>
        </w:numPr>
      </w:pPr>
    </w:p>
    <w:p w14:paraId="433F500B" w14:textId="77777777" w:rsidR="00DB7466" w:rsidRDefault="00DB7466" w:rsidP="00AD4EA1">
      <w:pPr>
        <w:pStyle w:val="ListParagraph"/>
        <w:numPr>
          <w:ilvl w:val="0"/>
          <w:numId w:val="10"/>
        </w:numPr>
      </w:pPr>
    </w:p>
    <w:p w14:paraId="6EEE8BF0" w14:textId="77777777" w:rsidR="00DB7466" w:rsidRDefault="00DB7466" w:rsidP="00AD4EA1">
      <w:pPr>
        <w:pStyle w:val="ListParagraph"/>
        <w:numPr>
          <w:ilvl w:val="0"/>
          <w:numId w:val="10"/>
        </w:numPr>
      </w:pPr>
    </w:p>
    <w:p w14:paraId="507B5D23" w14:textId="77777777" w:rsidR="00DB7466" w:rsidRDefault="00DB7466" w:rsidP="00AD4EA1">
      <w:pPr>
        <w:pStyle w:val="ListParagraph"/>
        <w:numPr>
          <w:ilvl w:val="0"/>
          <w:numId w:val="10"/>
        </w:numPr>
      </w:pPr>
    </w:p>
    <w:p w14:paraId="27B0F7BC" w14:textId="77777777" w:rsidR="00DB7466" w:rsidRDefault="00DB7466" w:rsidP="00AD4EA1">
      <w:pPr>
        <w:pStyle w:val="ListParagraph"/>
        <w:numPr>
          <w:ilvl w:val="0"/>
          <w:numId w:val="10"/>
        </w:numPr>
      </w:pPr>
    </w:p>
    <w:p w14:paraId="4B1CAFFA" w14:textId="77777777" w:rsidR="00DB7466" w:rsidRDefault="00DB7466" w:rsidP="00AD4EA1">
      <w:pPr>
        <w:pStyle w:val="ListParagraph"/>
        <w:numPr>
          <w:ilvl w:val="0"/>
          <w:numId w:val="10"/>
        </w:numPr>
      </w:pPr>
    </w:p>
    <w:p w14:paraId="2697EB01" w14:textId="77777777" w:rsidR="00DB7466" w:rsidRDefault="00DB7466" w:rsidP="00AD4EA1">
      <w:pPr>
        <w:pStyle w:val="ListParagraph"/>
        <w:numPr>
          <w:ilvl w:val="0"/>
          <w:numId w:val="10"/>
        </w:numPr>
      </w:pPr>
    </w:p>
    <w:p w14:paraId="2D1F4F65" w14:textId="77777777" w:rsidR="00DB7466" w:rsidRDefault="00DB7466" w:rsidP="00AD4EA1">
      <w:pPr>
        <w:pStyle w:val="ListParagraph"/>
        <w:numPr>
          <w:ilvl w:val="0"/>
          <w:numId w:val="10"/>
        </w:numPr>
      </w:pPr>
    </w:p>
    <w:p w14:paraId="25359ADA" w14:textId="77777777" w:rsidR="00DB7466" w:rsidRDefault="00DB7466" w:rsidP="00AD4EA1">
      <w:pPr>
        <w:pStyle w:val="ListParagraph"/>
        <w:numPr>
          <w:ilvl w:val="0"/>
          <w:numId w:val="10"/>
        </w:numPr>
      </w:pPr>
    </w:p>
    <w:p w14:paraId="148269C6" w14:textId="77777777" w:rsidR="00DB7466" w:rsidRDefault="00DB7466" w:rsidP="00AD4EA1">
      <w:pPr>
        <w:pStyle w:val="ListParagraph"/>
        <w:numPr>
          <w:ilvl w:val="0"/>
          <w:numId w:val="10"/>
        </w:numPr>
      </w:pPr>
    </w:p>
    <w:p w14:paraId="6A209CD4" w14:textId="77777777" w:rsidR="00DB7466" w:rsidRDefault="00DB7466" w:rsidP="00AD4EA1">
      <w:pPr>
        <w:pStyle w:val="ListParagraph"/>
        <w:numPr>
          <w:ilvl w:val="0"/>
          <w:numId w:val="10"/>
        </w:numPr>
      </w:pPr>
    </w:p>
    <w:p w14:paraId="002D714C" w14:textId="77777777" w:rsidR="00DB7466" w:rsidRDefault="00DB7466" w:rsidP="00AD4EA1">
      <w:pPr>
        <w:pStyle w:val="ListParagraph"/>
        <w:numPr>
          <w:ilvl w:val="0"/>
          <w:numId w:val="10"/>
        </w:numPr>
      </w:pPr>
    </w:p>
    <w:p w14:paraId="6A6022E2" w14:textId="77777777" w:rsidR="00DB7466" w:rsidRDefault="00DB7466" w:rsidP="00AD4EA1">
      <w:pPr>
        <w:pStyle w:val="ListParagraph"/>
        <w:numPr>
          <w:ilvl w:val="0"/>
          <w:numId w:val="10"/>
        </w:numPr>
      </w:pPr>
    </w:p>
    <w:p w14:paraId="052733BD" w14:textId="77777777" w:rsidR="00DB7466" w:rsidRDefault="00DB7466" w:rsidP="00AD4EA1">
      <w:pPr>
        <w:pStyle w:val="ListParagraph"/>
        <w:numPr>
          <w:ilvl w:val="0"/>
          <w:numId w:val="10"/>
        </w:numPr>
      </w:pPr>
    </w:p>
    <w:p w14:paraId="4BF89048" w14:textId="77777777" w:rsidR="00DB7466" w:rsidRDefault="00DB7466" w:rsidP="00AD4EA1">
      <w:pPr>
        <w:pStyle w:val="ListParagraph"/>
        <w:numPr>
          <w:ilvl w:val="0"/>
          <w:numId w:val="10"/>
        </w:numPr>
      </w:pPr>
    </w:p>
    <w:p w14:paraId="19C403F5" w14:textId="77777777" w:rsidR="00DB7466" w:rsidRDefault="00DB7466" w:rsidP="00AD4EA1">
      <w:pPr>
        <w:pStyle w:val="ListParagraph"/>
        <w:numPr>
          <w:ilvl w:val="0"/>
          <w:numId w:val="10"/>
        </w:numPr>
      </w:pPr>
    </w:p>
    <w:p w14:paraId="0FD893C4" w14:textId="77777777" w:rsidR="00DB7466" w:rsidRDefault="00DB7466" w:rsidP="00AD4EA1">
      <w:pPr>
        <w:pStyle w:val="ListParagraph"/>
        <w:numPr>
          <w:ilvl w:val="0"/>
          <w:numId w:val="10"/>
        </w:numPr>
      </w:pPr>
    </w:p>
    <w:p w14:paraId="02A97DCE" w14:textId="77777777" w:rsidR="00DB7466" w:rsidRDefault="00DB7466" w:rsidP="00AD4EA1">
      <w:pPr>
        <w:pStyle w:val="ListParagraph"/>
        <w:numPr>
          <w:ilvl w:val="0"/>
          <w:numId w:val="10"/>
        </w:numPr>
      </w:pPr>
    </w:p>
    <w:p w14:paraId="3B4BF2C5" w14:textId="77777777" w:rsidR="00DB7466" w:rsidRDefault="00DB7466" w:rsidP="00AD4EA1">
      <w:pPr>
        <w:pStyle w:val="ListParagraph"/>
        <w:numPr>
          <w:ilvl w:val="0"/>
          <w:numId w:val="10"/>
        </w:numPr>
      </w:pPr>
    </w:p>
    <w:p w14:paraId="6BAD4C7A" w14:textId="77777777" w:rsidR="00DB7466" w:rsidRDefault="00DB7466" w:rsidP="00AD4EA1">
      <w:pPr>
        <w:pStyle w:val="ListParagraph"/>
        <w:numPr>
          <w:ilvl w:val="0"/>
          <w:numId w:val="10"/>
        </w:numPr>
      </w:pPr>
    </w:p>
    <w:p w14:paraId="725BDE27" w14:textId="77777777" w:rsidR="00DB7466" w:rsidRDefault="00DB7466" w:rsidP="00AD4EA1">
      <w:pPr>
        <w:pStyle w:val="ListParagraph"/>
        <w:numPr>
          <w:ilvl w:val="0"/>
          <w:numId w:val="10"/>
        </w:numPr>
      </w:pPr>
    </w:p>
    <w:p w14:paraId="4966657E" w14:textId="77777777" w:rsidR="00DB7466" w:rsidRDefault="00DB7466" w:rsidP="00AD4EA1">
      <w:pPr>
        <w:pStyle w:val="ListParagraph"/>
        <w:numPr>
          <w:ilvl w:val="0"/>
          <w:numId w:val="10"/>
        </w:numPr>
      </w:pPr>
    </w:p>
    <w:p w14:paraId="78507F31" w14:textId="77777777" w:rsidR="00DB7466" w:rsidRDefault="00DB7466" w:rsidP="00AD4EA1">
      <w:pPr>
        <w:pStyle w:val="ListParagraph"/>
        <w:numPr>
          <w:ilvl w:val="0"/>
          <w:numId w:val="10"/>
        </w:numPr>
      </w:pPr>
    </w:p>
    <w:p w14:paraId="432C74A2" w14:textId="77777777" w:rsidR="00DB7466" w:rsidRDefault="00DB7466" w:rsidP="00AD4EA1"/>
    <w:p w14:paraId="1B83522E" w14:textId="77777777" w:rsidR="00DB7466" w:rsidRDefault="00DB7466" w:rsidP="00AD4EA1"/>
    <w:p w14:paraId="17F474B2" w14:textId="77777777" w:rsidR="00DB7466" w:rsidRDefault="00DB7466" w:rsidP="00AD4EA1"/>
    <w:p w14:paraId="182D9D2B" w14:textId="77777777" w:rsidR="00DB7466" w:rsidRDefault="00DB7466" w:rsidP="00AD4EA1"/>
    <w:p w14:paraId="28F33F8F" w14:textId="77777777" w:rsidR="00DB7466" w:rsidRDefault="00DB7466" w:rsidP="00AD4EA1"/>
    <w:p w14:paraId="16DA08A0" w14:textId="77777777" w:rsidR="00DB7466" w:rsidRDefault="00DB7466" w:rsidP="00AD4EA1"/>
    <w:p w14:paraId="45899407" w14:textId="77777777" w:rsidR="00DB7466" w:rsidRDefault="00DB7466" w:rsidP="00AD4EA1"/>
    <w:p w14:paraId="4A00A955" w14:textId="77777777" w:rsidR="00DB7466" w:rsidRDefault="00DB7466" w:rsidP="00AD4EA1"/>
    <w:p w14:paraId="166D0516" w14:textId="77777777" w:rsidR="00DB7466" w:rsidRDefault="00DB7466" w:rsidP="00AD4EA1"/>
    <w:p w14:paraId="6F68E359" w14:textId="77777777" w:rsidR="00DB7466" w:rsidRDefault="00DB7466" w:rsidP="00AD4EA1"/>
    <w:p w14:paraId="25E6BCAD" w14:textId="77777777" w:rsidR="00DB7466" w:rsidRDefault="00DB7466" w:rsidP="00AD4EA1"/>
    <w:p w14:paraId="1FE10FB1" w14:textId="77777777" w:rsidR="00DB7466" w:rsidRDefault="00DB7466" w:rsidP="00AD4EA1"/>
    <w:p w14:paraId="1823C0C9" w14:textId="77777777" w:rsidR="00DB7466" w:rsidRDefault="00DB7466" w:rsidP="00AD4EA1"/>
    <w:p w14:paraId="2EA79D70" w14:textId="77777777" w:rsidR="00DB7466" w:rsidRDefault="00DB7466" w:rsidP="00AD4EA1"/>
    <w:p w14:paraId="6F4F90ED" w14:textId="77777777" w:rsidR="00DB7466" w:rsidRDefault="00DB7466" w:rsidP="00AD4EA1"/>
    <w:p w14:paraId="5A77B9A0" w14:textId="77777777" w:rsidR="00DB7466" w:rsidRDefault="00DB7466" w:rsidP="00AD4EA1"/>
    <w:p w14:paraId="3E190DC3" w14:textId="77777777" w:rsidR="00DB7466" w:rsidRDefault="00DB7466" w:rsidP="00AD4EA1"/>
    <w:p w14:paraId="6231B520" w14:textId="77777777" w:rsidR="00DB7466" w:rsidRDefault="00DB7466" w:rsidP="00AD4EA1"/>
    <w:p w14:paraId="27FE6AD0" w14:textId="77777777" w:rsidR="00DB7466" w:rsidRDefault="00DB7466" w:rsidP="00AD4EA1"/>
    <w:p w14:paraId="66546D66" w14:textId="77777777" w:rsidR="00DB7466" w:rsidRDefault="00DB7466" w:rsidP="00AD4EA1"/>
    <w:p w14:paraId="4FF5D8F7" w14:textId="77777777" w:rsidR="00DB7466" w:rsidRDefault="00DB7466" w:rsidP="00AD4EA1"/>
    <w:p w14:paraId="25915FB0" w14:textId="77777777" w:rsidR="00DB7466" w:rsidRDefault="00DB7466" w:rsidP="00AD4EA1"/>
    <w:p w14:paraId="5510A240" w14:textId="77777777" w:rsidR="00DB7466" w:rsidRDefault="00DB7466" w:rsidP="00AD4EA1"/>
    <w:p w14:paraId="7A2D5DBE" w14:textId="77777777" w:rsidR="00DB7466" w:rsidRDefault="00DB7466" w:rsidP="00AD4EA1"/>
    <w:p w14:paraId="397242D3" w14:textId="77777777" w:rsidR="00DB7466" w:rsidRDefault="00DB7466" w:rsidP="00AD4EA1"/>
    <w:p w14:paraId="6F7A7BC8" w14:textId="77777777" w:rsidR="00DB7466" w:rsidRDefault="00DB7466" w:rsidP="00AD4EA1"/>
    <w:p w14:paraId="48EB8D69" w14:textId="77777777" w:rsidR="00DB7466" w:rsidRDefault="00DB7466" w:rsidP="00AD4EA1"/>
    <w:p w14:paraId="0F9CC266" w14:textId="77777777" w:rsidR="00DB7466" w:rsidRDefault="00DB7466" w:rsidP="00AD4EA1"/>
    <w:p w14:paraId="0BDA80F3" w14:textId="77777777" w:rsidR="00DB7466" w:rsidRDefault="00DB7466" w:rsidP="00AD4EA1"/>
    <w:p w14:paraId="58919F1A" w14:textId="77777777" w:rsidR="00DB7466" w:rsidRDefault="00DB7466" w:rsidP="00AD4EA1"/>
    <w:p w14:paraId="65918475" w14:textId="77777777" w:rsidR="00DB7466" w:rsidRDefault="00DB7466" w:rsidP="00AD4EA1"/>
    <w:p w14:paraId="1A935872" w14:textId="77777777" w:rsidR="00DB7466" w:rsidRDefault="00DB7466" w:rsidP="00AD4EA1"/>
    <w:p w14:paraId="21B4BC06" w14:textId="77777777" w:rsidR="00DB7466" w:rsidRDefault="00DB7466" w:rsidP="00AD4EA1"/>
    <w:p w14:paraId="2D9DE4E8" w14:textId="77777777" w:rsidR="00DB7466" w:rsidRDefault="00DB7466" w:rsidP="00AD4EA1"/>
    <w:p w14:paraId="1D637100" w14:textId="77777777" w:rsidR="00DB7466" w:rsidRDefault="00DB7466" w:rsidP="00AD4EA1"/>
    <w:p w14:paraId="0AF2C2E1" w14:textId="77777777" w:rsidR="00DB7466" w:rsidRDefault="00DB7466" w:rsidP="00AD4EA1"/>
    <w:p w14:paraId="1E2AD5DB" w14:textId="77777777" w:rsidR="00DB7466" w:rsidRDefault="00DB7466" w:rsidP="00AD4EA1"/>
    <w:p w14:paraId="6C5AFB29" w14:textId="77777777" w:rsidR="00DB7466" w:rsidRDefault="00DB7466" w:rsidP="00AD4EA1"/>
    <w:p w14:paraId="79625478" w14:textId="77777777" w:rsidR="00DB7466" w:rsidRDefault="00DB7466" w:rsidP="00AD4EA1"/>
    <w:p w14:paraId="4C4F741B" w14:textId="77777777" w:rsidR="00DB7466" w:rsidRDefault="00DB7466" w:rsidP="00AD4EA1"/>
    <w:p w14:paraId="1F261B09" w14:textId="77777777" w:rsidR="00DB7466" w:rsidRDefault="00DB7466" w:rsidP="00AD4EA1"/>
    <w:p w14:paraId="13E7D8FA" w14:textId="77777777" w:rsidR="00DB7466" w:rsidRDefault="00DB7466" w:rsidP="00AD4EA1"/>
    <w:p w14:paraId="407BA4D8" w14:textId="77777777" w:rsidR="00DB7466" w:rsidRDefault="00DB7466" w:rsidP="00AD4EA1"/>
    <w:p w14:paraId="626FCAE2" w14:textId="77777777" w:rsidR="00DB7466" w:rsidRDefault="00DB7466" w:rsidP="00AD4EA1"/>
    <w:p w14:paraId="75C726D3" w14:textId="77777777" w:rsidR="00DB7466" w:rsidRDefault="00DB7466" w:rsidP="00AD4EA1"/>
    <w:p w14:paraId="74296DFA" w14:textId="77777777" w:rsidR="00DB7466" w:rsidRDefault="00DB7466" w:rsidP="00AD4EA1"/>
    <w:p w14:paraId="746CFD70" w14:textId="77777777" w:rsidR="00DB7466" w:rsidRDefault="00DB7466" w:rsidP="00AD4EA1"/>
    <w:p w14:paraId="1443A801" w14:textId="77777777" w:rsidR="00DB7466" w:rsidRDefault="00DB7466" w:rsidP="00AD4EA1"/>
    <w:p w14:paraId="0290DAA6" w14:textId="77777777" w:rsidR="00DB7466" w:rsidRDefault="00DB7466" w:rsidP="00AD4EA1"/>
    <w:p w14:paraId="0A20D332" w14:textId="77777777" w:rsidR="00DB7466" w:rsidRDefault="00DB7466" w:rsidP="00AD4EA1"/>
    <w:p w14:paraId="2852E42F" w14:textId="77777777" w:rsidR="00DB7466" w:rsidRDefault="00DB7466" w:rsidP="00AD4EA1"/>
    <w:p w14:paraId="0F08A055" w14:textId="77777777" w:rsidR="00DB7466" w:rsidRDefault="00DB7466" w:rsidP="00AD4EA1"/>
    <w:p w14:paraId="58FB891F" w14:textId="77777777" w:rsidR="00DB7466" w:rsidRDefault="00DB7466" w:rsidP="00AD4EA1"/>
    <w:p w14:paraId="44C86136" w14:textId="77777777" w:rsidR="00DB7466" w:rsidRDefault="00DB7466" w:rsidP="00AD4EA1"/>
    <w:p w14:paraId="564628D6" w14:textId="77777777" w:rsidR="00DB7466" w:rsidRDefault="00DB7466" w:rsidP="00AD4EA1"/>
    <w:p w14:paraId="5C9979E0" w14:textId="77777777" w:rsidR="00DB7466" w:rsidRDefault="00DB7466" w:rsidP="00AD4EA1"/>
    <w:p w14:paraId="06E561F1" w14:textId="77777777" w:rsidR="00DB7466" w:rsidRDefault="00DB7466" w:rsidP="00AD4EA1"/>
    <w:p w14:paraId="28EB0CAE" w14:textId="77777777" w:rsidR="00DB7466" w:rsidRDefault="00DB7466" w:rsidP="00AD4EA1"/>
    <w:p w14:paraId="5C52368B" w14:textId="77777777" w:rsidR="00DB7466" w:rsidRDefault="00DB7466" w:rsidP="00AD4EA1"/>
    <w:p w14:paraId="59034956" w14:textId="77777777" w:rsidR="00DB7466" w:rsidRDefault="00DB7466" w:rsidP="00AD4EA1"/>
    <w:p w14:paraId="6E215616" w14:textId="77777777" w:rsidR="00DB7466" w:rsidRDefault="00DB7466" w:rsidP="00AD4EA1"/>
    <w:p w14:paraId="0FF06EC6" w14:textId="77777777" w:rsidR="00DB7466" w:rsidRDefault="00DB7466" w:rsidP="00AD4EA1"/>
    <w:p w14:paraId="15D6613F" w14:textId="77777777" w:rsidR="00DB7466" w:rsidRDefault="00DB7466" w:rsidP="00AD4EA1"/>
    <w:p w14:paraId="5C5D7405" w14:textId="77777777" w:rsidR="00DB7466" w:rsidRDefault="00DB7466" w:rsidP="00AD4EA1"/>
    <w:p w14:paraId="0838BE42" w14:textId="77777777" w:rsidR="00DB7466" w:rsidRDefault="00DB7466" w:rsidP="00AD4EA1"/>
    <w:p w14:paraId="03E7A6AC" w14:textId="77777777" w:rsidR="00DB7466" w:rsidRDefault="00DB7466" w:rsidP="00AD4EA1"/>
    <w:p w14:paraId="68F1CCE7" w14:textId="77777777" w:rsidR="00DB7466" w:rsidRDefault="00DB7466" w:rsidP="00AD4EA1"/>
    <w:p w14:paraId="1F4EB181" w14:textId="77777777" w:rsidR="00DB7466" w:rsidRDefault="00DB7466" w:rsidP="00AD4EA1"/>
    <w:p w14:paraId="28FC77CF" w14:textId="77777777" w:rsidR="00DB7466" w:rsidRDefault="00DB7466" w:rsidP="00AD4EA1"/>
    <w:p w14:paraId="788D00C9" w14:textId="77777777" w:rsidR="00DB7466" w:rsidRDefault="00DB7466" w:rsidP="00AD4EA1"/>
    <w:p w14:paraId="54640EE3" w14:textId="77777777" w:rsidR="00DB7466" w:rsidRDefault="00DB7466" w:rsidP="00AD4EA1"/>
    <w:p w14:paraId="1D9BFBA6" w14:textId="77777777" w:rsidR="00DB7466" w:rsidRDefault="00DB7466" w:rsidP="00AD4EA1"/>
    <w:p w14:paraId="0411D956" w14:textId="77777777" w:rsidR="00DB7466" w:rsidRDefault="00DB7466" w:rsidP="00AD4EA1"/>
    <w:p w14:paraId="3BCB7D67" w14:textId="77777777" w:rsidR="00DB7466" w:rsidRDefault="00DB7466" w:rsidP="00AD4EA1"/>
    <w:p w14:paraId="0896A500" w14:textId="77777777" w:rsidR="00DB7466" w:rsidRDefault="00DB7466" w:rsidP="00AD4EA1"/>
    <w:p w14:paraId="1644968B" w14:textId="77777777" w:rsidR="00DB7466" w:rsidRDefault="00DB7466" w:rsidP="00AD4EA1"/>
    <w:p w14:paraId="6050060C" w14:textId="77777777" w:rsidR="00DB7466" w:rsidRDefault="00DB7466" w:rsidP="00AD4EA1"/>
    <w:p w14:paraId="7904D2FF" w14:textId="77777777" w:rsidR="00DB7466" w:rsidRDefault="00DB7466" w:rsidP="00AD4EA1"/>
    <w:p w14:paraId="491F7C45" w14:textId="77777777" w:rsidR="00DB7466" w:rsidRDefault="00DB7466" w:rsidP="00AD4EA1"/>
    <w:p w14:paraId="57EF31D1" w14:textId="77777777" w:rsidR="00DB7466" w:rsidRDefault="00DB7466" w:rsidP="00AD4EA1"/>
    <w:p w14:paraId="0E56F519" w14:textId="77777777" w:rsidR="00DB7466" w:rsidRDefault="00DB7466" w:rsidP="00AD4EA1"/>
    <w:p w14:paraId="39056F36" w14:textId="77777777" w:rsidR="00DB7466" w:rsidRDefault="00DB7466" w:rsidP="00AD4EA1"/>
    <w:p w14:paraId="20884E20" w14:textId="77777777" w:rsidR="00DB7466" w:rsidRDefault="00DB7466" w:rsidP="00AD4EA1"/>
    <w:p w14:paraId="2829DD7F" w14:textId="77777777" w:rsidR="00DB7466" w:rsidRDefault="00DB7466" w:rsidP="00AD4EA1"/>
    <w:p w14:paraId="692309A1" w14:textId="77777777" w:rsidR="00DB7466" w:rsidRDefault="00DB7466" w:rsidP="00AD4EA1"/>
    <w:p w14:paraId="0035640C" w14:textId="77777777" w:rsidR="00DB7466" w:rsidRDefault="00DB7466" w:rsidP="00AD4EA1"/>
    <w:p w14:paraId="1B4BCBD2" w14:textId="77777777" w:rsidR="00DB7466" w:rsidRDefault="00DB7466" w:rsidP="00AD4EA1"/>
    <w:p w14:paraId="45D6F841" w14:textId="77777777" w:rsidR="00DB7466" w:rsidRDefault="00DB7466" w:rsidP="00AD4EA1"/>
    <w:p w14:paraId="62FEA9FB" w14:textId="77777777" w:rsidR="00DB7466" w:rsidRDefault="00DB7466" w:rsidP="00AD4EA1">
      <w:pPr>
        <w:pStyle w:val="ListParagraph"/>
        <w:numPr>
          <w:ilvl w:val="0"/>
          <w:numId w:val="11"/>
        </w:numPr>
      </w:pPr>
    </w:p>
    <w:p w14:paraId="5ECBF040" w14:textId="77777777" w:rsidR="00DB7466" w:rsidRDefault="00DB7466" w:rsidP="00AD4EA1">
      <w:pPr>
        <w:pStyle w:val="ListParagraph"/>
        <w:numPr>
          <w:ilvl w:val="0"/>
          <w:numId w:val="11"/>
        </w:numPr>
      </w:pPr>
    </w:p>
    <w:p w14:paraId="50CCC0EF" w14:textId="77777777" w:rsidR="00DB7466" w:rsidRDefault="00DB7466" w:rsidP="00AD4EA1">
      <w:pPr>
        <w:pStyle w:val="ListParagraph"/>
        <w:numPr>
          <w:ilvl w:val="0"/>
          <w:numId w:val="11"/>
        </w:numPr>
      </w:pPr>
    </w:p>
    <w:p w14:paraId="5A126A10" w14:textId="77777777" w:rsidR="00DB7466" w:rsidRDefault="00DB7466" w:rsidP="00AD4EA1">
      <w:pPr>
        <w:pStyle w:val="ListParagraph"/>
        <w:numPr>
          <w:ilvl w:val="0"/>
          <w:numId w:val="11"/>
        </w:numPr>
      </w:pPr>
    </w:p>
    <w:p w14:paraId="0F7BCE78" w14:textId="77777777" w:rsidR="00DB7466" w:rsidRDefault="00DB7466" w:rsidP="00AD4EA1">
      <w:pPr>
        <w:pStyle w:val="ListParagraph"/>
        <w:numPr>
          <w:ilvl w:val="0"/>
          <w:numId w:val="11"/>
        </w:numPr>
      </w:pPr>
    </w:p>
    <w:p w14:paraId="1BAC7F3A" w14:textId="77777777" w:rsidR="00DB7466" w:rsidRDefault="00DB7466" w:rsidP="00AD4EA1">
      <w:pPr>
        <w:pStyle w:val="ListParagraph"/>
        <w:numPr>
          <w:ilvl w:val="0"/>
          <w:numId w:val="11"/>
        </w:numPr>
      </w:pPr>
    </w:p>
    <w:p w14:paraId="43999F4C" w14:textId="77777777" w:rsidR="00DB7466" w:rsidRDefault="00DB7466" w:rsidP="00AD4EA1">
      <w:pPr>
        <w:pStyle w:val="ListParagraph"/>
        <w:numPr>
          <w:ilvl w:val="0"/>
          <w:numId w:val="11"/>
        </w:numPr>
      </w:pPr>
    </w:p>
    <w:p w14:paraId="77810E88" w14:textId="77777777" w:rsidR="00DB7466" w:rsidRDefault="00DB7466" w:rsidP="00AD4EA1">
      <w:pPr>
        <w:pStyle w:val="ListParagraph"/>
        <w:numPr>
          <w:ilvl w:val="0"/>
          <w:numId w:val="11"/>
        </w:numPr>
      </w:pPr>
    </w:p>
    <w:p w14:paraId="2D177523" w14:textId="77777777" w:rsidR="00DB7466" w:rsidRDefault="00DB7466" w:rsidP="00AD4EA1">
      <w:pPr>
        <w:pStyle w:val="ListParagraph"/>
        <w:numPr>
          <w:ilvl w:val="0"/>
          <w:numId w:val="11"/>
        </w:numPr>
      </w:pPr>
    </w:p>
    <w:p w14:paraId="77F591C2" w14:textId="77777777" w:rsidR="00DB7466" w:rsidRDefault="00DB7466" w:rsidP="00AD4EA1">
      <w:pPr>
        <w:pStyle w:val="ListParagraph"/>
        <w:numPr>
          <w:ilvl w:val="0"/>
          <w:numId w:val="11"/>
        </w:numPr>
      </w:pPr>
    </w:p>
    <w:p w14:paraId="22E5BBB6" w14:textId="77777777" w:rsidR="00DB7466" w:rsidRDefault="00DB7466" w:rsidP="00AD4EA1">
      <w:pPr>
        <w:pStyle w:val="ListParagraph"/>
        <w:numPr>
          <w:ilvl w:val="0"/>
          <w:numId w:val="11"/>
        </w:numPr>
      </w:pPr>
    </w:p>
    <w:p w14:paraId="625EEEE3" w14:textId="77777777" w:rsidR="00DB7466" w:rsidRDefault="00DB7466" w:rsidP="00AD4EA1">
      <w:pPr>
        <w:pStyle w:val="ListParagraph"/>
        <w:numPr>
          <w:ilvl w:val="0"/>
          <w:numId w:val="11"/>
        </w:numPr>
      </w:pPr>
    </w:p>
    <w:p w14:paraId="6EFF5606" w14:textId="77777777" w:rsidR="00DB7466" w:rsidRDefault="00DB7466" w:rsidP="00AD4EA1">
      <w:pPr>
        <w:pStyle w:val="ListParagraph"/>
        <w:numPr>
          <w:ilvl w:val="0"/>
          <w:numId w:val="11"/>
        </w:numPr>
      </w:pPr>
    </w:p>
    <w:p w14:paraId="54942308" w14:textId="77777777" w:rsidR="00DB7466" w:rsidRDefault="00DB7466" w:rsidP="00AD4EA1">
      <w:pPr>
        <w:pStyle w:val="ListParagraph"/>
        <w:numPr>
          <w:ilvl w:val="0"/>
          <w:numId w:val="11"/>
        </w:numPr>
      </w:pPr>
    </w:p>
    <w:p w14:paraId="5210D7AD" w14:textId="77777777" w:rsidR="00DB7466" w:rsidRDefault="00DB7466" w:rsidP="00AD4EA1">
      <w:pPr>
        <w:pStyle w:val="ListParagraph"/>
        <w:numPr>
          <w:ilvl w:val="0"/>
          <w:numId w:val="11"/>
        </w:numPr>
      </w:pPr>
    </w:p>
    <w:p w14:paraId="6B2EE5A8" w14:textId="77777777" w:rsidR="00DB7466" w:rsidRDefault="00DB7466" w:rsidP="00AD4EA1">
      <w:pPr>
        <w:pStyle w:val="ListParagraph"/>
        <w:numPr>
          <w:ilvl w:val="0"/>
          <w:numId w:val="11"/>
        </w:numPr>
      </w:pPr>
    </w:p>
    <w:p w14:paraId="012D47C2" w14:textId="77777777" w:rsidR="00DB7466" w:rsidRDefault="00DB7466" w:rsidP="00AD4EA1">
      <w:pPr>
        <w:pStyle w:val="ListParagraph"/>
        <w:numPr>
          <w:ilvl w:val="0"/>
          <w:numId w:val="11"/>
        </w:numPr>
      </w:pPr>
    </w:p>
    <w:p w14:paraId="41269C57" w14:textId="77777777" w:rsidR="00DB7466" w:rsidRDefault="00DB7466" w:rsidP="00AD4EA1"/>
    <w:p w14:paraId="01489EA9" w14:textId="77777777" w:rsidR="00DB7466" w:rsidRDefault="00DB7466" w:rsidP="00AD4EA1"/>
    <w:p w14:paraId="59FB6B4C" w14:textId="77777777" w:rsidR="00DB7466" w:rsidRDefault="00DB7466" w:rsidP="00AD4EA1"/>
    <w:p w14:paraId="1D501B67" w14:textId="77777777" w:rsidR="00DB7466" w:rsidRDefault="00DB7466" w:rsidP="00AD4EA1"/>
    <w:p w14:paraId="253806BA" w14:textId="77777777" w:rsidR="00DB7466" w:rsidRDefault="00DB7466" w:rsidP="00AD4EA1"/>
    <w:p w14:paraId="7166CBE8" w14:textId="77777777" w:rsidR="00DB7466" w:rsidRDefault="00DB7466" w:rsidP="00AD4EA1"/>
    <w:p w14:paraId="0FA98848" w14:textId="77777777" w:rsidR="00DB7466" w:rsidRDefault="00DB7466" w:rsidP="00AD4EA1"/>
    <w:p w14:paraId="75DDF584" w14:textId="77777777" w:rsidR="00DB7466" w:rsidRDefault="00DB7466" w:rsidP="00AD4EA1"/>
    <w:p w14:paraId="5F20AE1B" w14:textId="77777777" w:rsidR="00DB7466" w:rsidRDefault="00DB7466" w:rsidP="00AD4EA1"/>
    <w:p w14:paraId="03C4240B" w14:textId="77777777" w:rsidR="00DB7466" w:rsidRDefault="00DB7466" w:rsidP="00AD4EA1"/>
    <w:p w14:paraId="16A7727F" w14:textId="77777777" w:rsidR="00DB7466" w:rsidRDefault="00DB7466" w:rsidP="00AD4EA1"/>
    <w:p w14:paraId="30E023F7" w14:textId="77777777" w:rsidR="00DB7466" w:rsidRDefault="00DB7466" w:rsidP="00AD4EA1"/>
    <w:p w14:paraId="21D08C8E" w14:textId="77777777" w:rsidR="00DB7466" w:rsidRDefault="00DB7466" w:rsidP="00AD4EA1"/>
    <w:p w14:paraId="58ACE48C" w14:textId="77777777" w:rsidR="00DB7466" w:rsidRDefault="00DB7466" w:rsidP="00AD4EA1"/>
    <w:p w14:paraId="7BC8BB34" w14:textId="77777777" w:rsidR="00DB7466" w:rsidRDefault="00DB7466" w:rsidP="00AD4EA1"/>
    <w:p w14:paraId="5EC2ACC1" w14:textId="77777777" w:rsidR="00DB7466" w:rsidRDefault="00DB7466" w:rsidP="00AD4EA1"/>
    <w:p w14:paraId="6D6A537C" w14:textId="77777777" w:rsidR="00DB7466" w:rsidRDefault="00DB7466" w:rsidP="00AD4EA1"/>
    <w:p w14:paraId="2311A10D" w14:textId="77777777" w:rsidR="00DB7466" w:rsidRDefault="00DB7466" w:rsidP="00AD4EA1"/>
    <w:p w14:paraId="765C43DD" w14:textId="77777777" w:rsidR="00DB7466" w:rsidRDefault="00DB7466" w:rsidP="00AD4EA1"/>
    <w:p w14:paraId="4CA474D0" w14:textId="77777777" w:rsidR="00DB7466" w:rsidRDefault="00DB7466" w:rsidP="00AD4EA1"/>
    <w:p w14:paraId="5C222F65" w14:textId="77777777" w:rsidR="00DB7466" w:rsidRDefault="00DB7466" w:rsidP="00AD4EA1"/>
    <w:p w14:paraId="26811BBF" w14:textId="77777777" w:rsidR="00DB7466" w:rsidRDefault="00DB7466" w:rsidP="00AD4EA1"/>
    <w:p w14:paraId="42123100" w14:textId="77777777" w:rsidR="00DB7466" w:rsidRDefault="00DB7466" w:rsidP="00AD4EA1"/>
    <w:p w14:paraId="4EEE92D5" w14:textId="77777777" w:rsidR="00DB7466" w:rsidRDefault="00DB7466" w:rsidP="00AD4EA1"/>
    <w:p w14:paraId="3183DA4F" w14:textId="77777777" w:rsidR="00DB7466" w:rsidRDefault="00DB7466" w:rsidP="00AD4EA1"/>
    <w:p w14:paraId="2A5AD5E1" w14:textId="77777777" w:rsidR="00DB7466" w:rsidRDefault="00DB7466" w:rsidP="00AD4EA1"/>
    <w:p w14:paraId="79CBCFA8" w14:textId="77777777" w:rsidR="00DB7466" w:rsidRDefault="00DB7466" w:rsidP="00AD4EA1"/>
    <w:p w14:paraId="1AEA65B5" w14:textId="77777777" w:rsidR="00DB7466" w:rsidRDefault="00DB7466" w:rsidP="00AD4EA1"/>
    <w:p w14:paraId="2D4C8608" w14:textId="77777777" w:rsidR="00DB7466" w:rsidRDefault="00DB7466" w:rsidP="00AD4EA1"/>
    <w:p w14:paraId="6BBE9A00" w14:textId="77777777" w:rsidR="00DB7466" w:rsidRDefault="00DB7466" w:rsidP="00AD4EA1"/>
    <w:p w14:paraId="0A26DB94" w14:textId="77777777" w:rsidR="00DB7466" w:rsidRDefault="00DB7466" w:rsidP="00AD4EA1"/>
    <w:p w14:paraId="0FC26DB2" w14:textId="77777777" w:rsidR="00DB7466" w:rsidRDefault="00DB7466" w:rsidP="00AD4EA1"/>
    <w:p w14:paraId="30F71098" w14:textId="77777777" w:rsidR="00DB7466" w:rsidRDefault="00DB7466" w:rsidP="00AD4EA1"/>
    <w:p w14:paraId="11446346" w14:textId="77777777" w:rsidR="00DB7466" w:rsidRDefault="00DB7466" w:rsidP="00AD4EA1"/>
    <w:p w14:paraId="07A135EC" w14:textId="77777777" w:rsidR="00DB7466" w:rsidRDefault="00DB7466" w:rsidP="00AD4EA1"/>
    <w:p w14:paraId="4E9E48C5" w14:textId="77777777" w:rsidR="00DB7466" w:rsidRDefault="00DB7466" w:rsidP="00AD4EA1"/>
    <w:p w14:paraId="295A8396" w14:textId="77777777" w:rsidR="00DB7466" w:rsidRDefault="00DB7466" w:rsidP="00AD4EA1"/>
    <w:p w14:paraId="1076D90D" w14:textId="77777777" w:rsidR="00DB7466" w:rsidRDefault="00DB7466" w:rsidP="00AD4EA1"/>
    <w:p w14:paraId="3A718D1B" w14:textId="77777777" w:rsidR="00DB7466" w:rsidRDefault="00DB7466" w:rsidP="00AD4EA1"/>
    <w:p w14:paraId="313F264B" w14:textId="77777777" w:rsidR="00DB7466" w:rsidRDefault="00DB7466" w:rsidP="00AD4EA1"/>
    <w:p w14:paraId="5EACCAC9" w14:textId="77777777" w:rsidR="00DB7466" w:rsidRDefault="00DB7466" w:rsidP="00AD4EA1"/>
    <w:p w14:paraId="25EC5C0F" w14:textId="77777777" w:rsidR="00DB7466" w:rsidRDefault="00DB7466" w:rsidP="00AD4EA1"/>
    <w:p w14:paraId="77947985" w14:textId="77777777" w:rsidR="00DB7466" w:rsidRDefault="00DB7466" w:rsidP="00AD4EA1"/>
    <w:p w14:paraId="1606EDDD" w14:textId="77777777" w:rsidR="00DB7466" w:rsidRDefault="00DB7466" w:rsidP="00AD4EA1"/>
    <w:p w14:paraId="22DFE538" w14:textId="77777777" w:rsidR="00DB7466" w:rsidRDefault="00DB7466" w:rsidP="00AD4EA1"/>
    <w:p w14:paraId="02695616" w14:textId="77777777" w:rsidR="00DB7466" w:rsidRDefault="00DB7466" w:rsidP="00AD4EA1"/>
    <w:p w14:paraId="1E183B13" w14:textId="77777777" w:rsidR="00DB7466" w:rsidRDefault="00DB7466" w:rsidP="00AD4EA1"/>
    <w:p w14:paraId="229EFA69" w14:textId="77777777" w:rsidR="00DB7466" w:rsidRDefault="00DB7466" w:rsidP="00AD4EA1"/>
    <w:p w14:paraId="47F94298" w14:textId="77777777" w:rsidR="00DB7466" w:rsidRDefault="00DB7466" w:rsidP="00AD4EA1"/>
    <w:p w14:paraId="407CA0C1" w14:textId="77777777" w:rsidR="00DB7466" w:rsidRDefault="00DB7466" w:rsidP="00AD4EA1"/>
    <w:p w14:paraId="082FD64C" w14:textId="77777777" w:rsidR="00DB7466" w:rsidRDefault="00DB7466" w:rsidP="00AD4EA1"/>
    <w:p w14:paraId="2E3CCE58" w14:textId="77777777" w:rsidR="00DB7466" w:rsidRDefault="00DB7466" w:rsidP="00AD4EA1"/>
    <w:p w14:paraId="6DC4CA4D" w14:textId="77777777" w:rsidR="00DB7466" w:rsidRDefault="00DB7466" w:rsidP="00AD4EA1"/>
    <w:p w14:paraId="3191DEFD" w14:textId="77777777" w:rsidR="00DB7466" w:rsidRDefault="00DB7466" w:rsidP="00AD4EA1"/>
    <w:p w14:paraId="442462DB" w14:textId="77777777" w:rsidR="00DB7466" w:rsidRDefault="00DB7466" w:rsidP="00AD4EA1"/>
    <w:p w14:paraId="42F14852" w14:textId="77777777" w:rsidR="00DB7466" w:rsidRDefault="00DB7466" w:rsidP="00AD4EA1"/>
    <w:p w14:paraId="3D7046AF" w14:textId="77777777" w:rsidR="00DB7466" w:rsidRDefault="00DB7466" w:rsidP="00AD4EA1"/>
    <w:p w14:paraId="175479B3" w14:textId="77777777" w:rsidR="00DB7466" w:rsidRDefault="00DB7466" w:rsidP="00AD4EA1"/>
    <w:p w14:paraId="1ECD7E81" w14:textId="77777777" w:rsidR="00DB7466" w:rsidRDefault="00DB7466" w:rsidP="00AD4EA1"/>
    <w:p w14:paraId="4C7AD05D" w14:textId="77777777" w:rsidR="00DB7466" w:rsidRDefault="00DB7466" w:rsidP="00AD4EA1"/>
    <w:p w14:paraId="1E984DCA" w14:textId="77777777" w:rsidR="00DB7466" w:rsidRDefault="00DB7466" w:rsidP="00AD4EA1"/>
    <w:p w14:paraId="53ECF53B" w14:textId="77777777" w:rsidR="00DB7466" w:rsidRDefault="00DB7466" w:rsidP="00AD4EA1"/>
    <w:p w14:paraId="4488B0C6" w14:textId="77777777" w:rsidR="00DB7466" w:rsidRDefault="00DB7466" w:rsidP="00AD4EA1"/>
    <w:p w14:paraId="4AF27BB0" w14:textId="77777777" w:rsidR="00DB7466" w:rsidRDefault="00DB7466" w:rsidP="00AD4EA1"/>
    <w:p w14:paraId="537FEE05" w14:textId="77777777" w:rsidR="00DB7466" w:rsidRDefault="00DB7466" w:rsidP="00AD4EA1"/>
    <w:p w14:paraId="6DDB22E9" w14:textId="77777777" w:rsidR="00DB7466" w:rsidRDefault="00DB7466" w:rsidP="00AD4EA1"/>
    <w:p w14:paraId="0AD73078" w14:textId="77777777" w:rsidR="00DB7466" w:rsidRDefault="00DB7466" w:rsidP="00AD4EA1"/>
    <w:p w14:paraId="7C6B2DC1" w14:textId="77777777" w:rsidR="00DB7466" w:rsidRDefault="00DB7466" w:rsidP="00AD4EA1"/>
    <w:p w14:paraId="36C72DDD" w14:textId="77777777" w:rsidR="00DB7466" w:rsidRDefault="00DB7466" w:rsidP="00AD4EA1"/>
    <w:p w14:paraId="12374EBB" w14:textId="77777777" w:rsidR="00DB7466" w:rsidRDefault="00DB7466" w:rsidP="00AD4EA1"/>
    <w:p w14:paraId="6ED40E6F" w14:textId="77777777" w:rsidR="00DB7466" w:rsidRDefault="00DB7466" w:rsidP="00AD4EA1"/>
    <w:p w14:paraId="583AA27F" w14:textId="77777777" w:rsidR="00DB7466" w:rsidRDefault="00DB7466" w:rsidP="00AD4EA1"/>
    <w:p w14:paraId="5C78CACF" w14:textId="77777777" w:rsidR="00DB7466" w:rsidRDefault="00DB7466" w:rsidP="00AD4EA1"/>
    <w:p w14:paraId="21095DE3" w14:textId="77777777" w:rsidR="00DB7466" w:rsidRDefault="00DB7466" w:rsidP="00AD4EA1"/>
    <w:p w14:paraId="7F639C83" w14:textId="77777777" w:rsidR="00DB7466" w:rsidRDefault="00DB7466" w:rsidP="00AD4EA1"/>
    <w:p w14:paraId="2B783FA2" w14:textId="77777777" w:rsidR="00DB7466" w:rsidRDefault="00DB7466" w:rsidP="00AD4EA1"/>
    <w:p w14:paraId="3F2DEF03" w14:textId="77777777" w:rsidR="00DB7466" w:rsidRDefault="00DB7466" w:rsidP="00AD4EA1"/>
    <w:p w14:paraId="603712AA" w14:textId="77777777" w:rsidR="00DB7466" w:rsidRDefault="00DB7466" w:rsidP="00AD4EA1"/>
    <w:p w14:paraId="3BD3F606" w14:textId="77777777" w:rsidR="00DB7466" w:rsidRDefault="00DB7466" w:rsidP="00AD4EA1"/>
    <w:p w14:paraId="4D921E18" w14:textId="77777777" w:rsidR="00DB7466" w:rsidRDefault="00DB7466" w:rsidP="00AD4EA1"/>
    <w:p w14:paraId="7999575B" w14:textId="77777777" w:rsidR="00DB7466" w:rsidRDefault="00DB7466" w:rsidP="00AD4EA1"/>
    <w:p w14:paraId="0AB939B2" w14:textId="77777777" w:rsidR="00DB7466" w:rsidRDefault="00DB7466" w:rsidP="00AD4EA1"/>
    <w:p w14:paraId="7EE70A0C" w14:textId="77777777" w:rsidR="00DB7466" w:rsidRDefault="00DB7466" w:rsidP="00AD4EA1"/>
    <w:p w14:paraId="00796AE5" w14:textId="77777777" w:rsidR="00DB7466" w:rsidRDefault="00DB7466" w:rsidP="00AD4EA1"/>
    <w:p w14:paraId="4D068278" w14:textId="77777777" w:rsidR="00DB7466" w:rsidRDefault="00DB7466" w:rsidP="00AD4EA1"/>
    <w:p w14:paraId="0DC8270A" w14:textId="77777777" w:rsidR="00DB7466" w:rsidRDefault="00DB7466" w:rsidP="00AD4EA1"/>
    <w:p w14:paraId="528E69B9" w14:textId="77777777" w:rsidR="00DB7466" w:rsidRDefault="00DB7466" w:rsidP="00AD4EA1"/>
    <w:p w14:paraId="3C7AB5CC" w14:textId="77777777" w:rsidR="00DB7466" w:rsidRDefault="00DB7466" w:rsidP="00AD4EA1"/>
    <w:p w14:paraId="4A9D39E9" w14:textId="77777777" w:rsidR="00DB7466" w:rsidRDefault="00DB7466" w:rsidP="00AD4EA1"/>
    <w:p w14:paraId="0CC38194" w14:textId="77777777" w:rsidR="00DB7466" w:rsidRDefault="00DB7466" w:rsidP="00AD4EA1"/>
    <w:p w14:paraId="434ECDC0" w14:textId="77777777" w:rsidR="00DB7466" w:rsidRDefault="00DB7466" w:rsidP="00AD4EA1"/>
    <w:p w14:paraId="4138276D" w14:textId="77777777" w:rsidR="00DB7466" w:rsidRDefault="00DB7466" w:rsidP="00AD4EA1"/>
    <w:p w14:paraId="224D50EC" w14:textId="77777777" w:rsidR="00DB7466" w:rsidRDefault="00DB7466" w:rsidP="00AD4EA1"/>
    <w:p w14:paraId="0B263CCA" w14:textId="77777777" w:rsidR="00DB7466" w:rsidRDefault="00DB7466" w:rsidP="00AD4EA1"/>
    <w:p w14:paraId="54F6B6B2" w14:textId="77777777" w:rsidR="00DB7466" w:rsidRDefault="00DB7466" w:rsidP="00AD4EA1"/>
    <w:p w14:paraId="17CBB60A" w14:textId="77777777" w:rsidR="00DB7466" w:rsidRDefault="00DB7466" w:rsidP="00AD4EA1"/>
    <w:p w14:paraId="7D135C45" w14:textId="77777777" w:rsidR="00DB7466" w:rsidRDefault="00DB7466" w:rsidP="00AD4EA1"/>
    <w:p w14:paraId="6AC7BD92" w14:textId="77777777" w:rsidR="00DB7466" w:rsidRDefault="00DB7466" w:rsidP="00AD4EA1"/>
    <w:p w14:paraId="0BC089A5" w14:textId="77777777" w:rsidR="00DB7466" w:rsidRDefault="00DB7466" w:rsidP="00AD4EA1"/>
    <w:p w14:paraId="746D3F4D" w14:textId="77777777" w:rsidR="00DB7466" w:rsidRDefault="00DB7466" w:rsidP="00AD4EA1"/>
    <w:p w14:paraId="1E226E4D" w14:textId="77777777" w:rsidR="00DB7466" w:rsidRDefault="00DB7466" w:rsidP="00AD4EA1"/>
    <w:p w14:paraId="29EE473B" w14:textId="77777777" w:rsidR="00DB7466" w:rsidRDefault="00DB7466" w:rsidP="00AD4EA1"/>
    <w:p w14:paraId="352F724F" w14:textId="77777777" w:rsidR="00DB7466" w:rsidRDefault="00DB7466" w:rsidP="00AD4EA1"/>
    <w:p w14:paraId="78410C4C" w14:textId="77777777" w:rsidR="00DB7466" w:rsidRDefault="00DB7466" w:rsidP="00AD4EA1"/>
    <w:p w14:paraId="7281CA60" w14:textId="77777777" w:rsidR="00DB7466" w:rsidRDefault="00DB7466" w:rsidP="00AD4EA1"/>
    <w:p w14:paraId="783DADFF" w14:textId="77777777" w:rsidR="00DB7466" w:rsidRDefault="00DB7466" w:rsidP="00AD4EA1"/>
    <w:p w14:paraId="714909D8" w14:textId="77777777" w:rsidR="00DB7466" w:rsidRDefault="00DB7466" w:rsidP="00AD4EA1"/>
    <w:p w14:paraId="1A0B8733" w14:textId="77777777" w:rsidR="00DB7466" w:rsidRDefault="00DB7466" w:rsidP="00AD4EA1"/>
    <w:p w14:paraId="474E8060" w14:textId="77777777" w:rsidR="00DB7466" w:rsidRDefault="00DB7466" w:rsidP="00AD4EA1"/>
    <w:p w14:paraId="299FBC57" w14:textId="77777777" w:rsidR="00DB7466" w:rsidRDefault="00DB7466" w:rsidP="00AD4EA1"/>
    <w:p w14:paraId="70092ACC" w14:textId="77777777" w:rsidR="00DB7466" w:rsidRDefault="00DB7466" w:rsidP="00AD4EA1"/>
    <w:p w14:paraId="2ABBC21B" w14:textId="77777777" w:rsidR="00DB7466" w:rsidRDefault="00DB7466" w:rsidP="00AD4EA1"/>
    <w:p w14:paraId="0012522A" w14:textId="77777777" w:rsidR="00DB7466" w:rsidRDefault="00DB7466" w:rsidP="00AD4EA1"/>
    <w:p w14:paraId="59E6CC41" w14:textId="77777777" w:rsidR="00DB7466" w:rsidRDefault="00DB7466" w:rsidP="00AD4EA1"/>
    <w:p w14:paraId="0636BFE5" w14:textId="77777777" w:rsidR="00DB7466" w:rsidRDefault="00DB7466" w:rsidP="00AD4EA1"/>
    <w:p w14:paraId="7D6C72FA" w14:textId="77777777" w:rsidR="00DB7466" w:rsidRDefault="00DB7466" w:rsidP="00AD4EA1"/>
    <w:p w14:paraId="4483E944" w14:textId="77777777" w:rsidR="00DB7466" w:rsidRDefault="00DB7466" w:rsidP="00AD4EA1"/>
    <w:p w14:paraId="1398A6B4" w14:textId="77777777" w:rsidR="00DB7466" w:rsidRDefault="00DB7466" w:rsidP="00AD4EA1"/>
    <w:p w14:paraId="6240086D" w14:textId="77777777" w:rsidR="00DB7466" w:rsidRDefault="00DB7466" w:rsidP="00AD4EA1"/>
    <w:p w14:paraId="4D9030E9" w14:textId="77777777" w:rsidR="00DB7466" w:rsidRDefault="00DB7466" w:rsidP="00AD4EA1"/>
    <w:p w14:paraId="2FB14964" w14:textId="77777777" w:rsidR="00DB7466" w:rsidRDefault="00DB7466" w:rsidP="00AD4EA1"/>
    <w:p w14:paraId="3F5946A3" w14:textId="77777777" w:rsidR="00DB7466" w:rsidRDefault="00DB7466" w:rsidP="00AD4EA1"/>
    <w:p w14:paraId="5EF7B5BA" w14:textId="77777777" w:rsidR="00DB7466" w:rsidRDefault="00DB7466" w:rsidP="00AD4EA1"/>
    <w:p w14:paraId="60038A98" w14:textId="77777777" w:rsidR="00DB7466" w:rsidRDefault="00DB7466" w:rsidP="00AD4EA1"/>
    <w:p w14:paraId="02E8C3E3" w14:textId="77777777" w:rsidR="00DB7466" w:rsidRDefault="00DB7466" w:rsidP="00AD4EA1"/>
    <w:p w14:paraId="36AF86B3" w14:textId="77777777" w:rsidR="00DB7466" w:rsidRDefault="00DB7466" w:rsidP="00AD4EA1"/>
    <w:p w14:paraId="06CF5374" w14:textId="77777777" w:rsidR="00DB7466" w:rsidRDefault="00DB7466" w:rsidP="00AD4EA1"/>
    <w:p w14:paraId="5AC14C20" w14:textId="77777777" w:rsidR="00DB7466" w:rsidRDefault="00DB7466" w:rsidP="00AD4EA1"/>
    <w:p w14:paraId="4492504D" w14:textId="77777777" w:rsidR="00DB7466" w:rsidRDefault="00DB7466" w:rsidP="00AD4EA1"/>
    <w:p w14:paraId="3C1F6A4C" w14:textId="77777777" w:rsidR="00DB7466" w:rsidRDefault="00DB7466" w:rsidP="00AD4EA1"/>
    <w:p w14:paraId="1C3DB4A9" w14:textId="77777777" w:rsidR="00DB7466" w:rsidRDefault="00DB7466" w:rsidP="00AD4EA1"/>
    <w:p w14:paraId="06488313" w14:textId="77777777" w:rsidR="00DB7466" w:rsidRDefault="00DB7466" w:rsidP="00AD4EA1"/>
    <w:p w14:paraId="26D934EA" w14:textId="77777777" w:rsidR="00DB7466" w:rsidRDefault="00DB7466" w:rsidP="00AD4EA1"/>
    <w:p w14:paraId="75CFB3A5" w14:textId="77777777" w:rsidR="00DB7466" w:rsidRDefault="00DB7466" w:rsidP="00AD4EA1"/>
    <w:p w14:paraId="3C2BBB73" w14:textId="77777777" w:rsidR="00DB7466" w:rsidRDefault="00DB7466" w:rsidP="00AD4EA1"/>
    <w:p w14:paraId="74C30404" w14:textId="77777777" w:rsidR="00DB7466" w:rsidRDefault="00DB7466" w:rsidP="00AD4EA1"/>
    <w:p w14:paraId="787DF41A" w14:textId="77777777" w:rsidR="00DB7466" w:rsidRDefault="00DB7466" w:rsidP="00AD4EA1"/>
    <w:p w14:paraId="130A83F5" w14:textId="77777777" w:rsidR="00DB7466" w:rsidRDefault="00DB7466" w:rsidP="00AD4EA1"/>
    <w:p w14:paraId="157500E2" w14:textId="77777777" w:rsidR="00DB7466" w:rsidRDefault="00DB7466" w:rsidP="00AD4EA1"/>
    <w:p w14:paraId="44AF9E64" w14:textId="77777777" w:rsidR="00DB7466" w:rsidRDefault="00DB7466" w:rsidP="00AD4EA1"/>
    <w:p w14:paraId="205C3653" w14:textId="77777777" w:rsidR="00DB7466" w:rsidRDefault="00DB7466" w:rsidP="00AD4EA1"/>
    <w:p w14:paraId="0C9CD962" w14:textId="77777777" w:rsidR="00DB7466" w:rsidRDefault="00DB7466" w:rsidP="00AD4EA1"/>
    <w:p w14:paraId="784C4629" w14:textId="77777777" w:rsidR="00DB7466" w:rsidRDefault="00DB7466" w:rsidP="00AD4EA1"/>
    <w:p w14:paraId="212C90A0" w14:textId="77777777" w:rsidR="00DB7466" w:rsidRDefault="00DB7466" w:rsidP="00AD4EA1"/>
    <w:p w14:paraId="45B51C2C" w14:textId="77777777" w:rsidR="00DB7466" w:rsidRDefault="00DB7466" w:rsidP="00AD4EA1"/>
    <w:p w14:paraId="500699DA" w14:textId="77777777" w:rsidR="00DB7466" w:rsidRDefault="00DB7466" w:rsidP="00AD4EA1"/>
    <w:p w14:paraId="2849202E" w14:textId="77777777" w:rsidR="00DB7466" w:rsidRDefault="00DB7466" w:rsidP="00AD4EA1"/>
    <w:p w14:paraId="18645257" w14:textId="77777777" w:rsidR="00DB7466" w:rsidRDefault="00DB7466" w:rsidP="00AD4EA1"/>
    <w:p w14:paraId="5BB78DF9" w14:textId="77777777" w:rsidR="00DB7466" w:rsidRDefault="00DB7466" w:rsidP="00AD4EA1"/>
    <w:p w14:paraId="2BCE7668" w14:textId="77777777" w:rsidR="00DB7466" w:rsidRDefault="00DB7466" w:rsidP="00AD4EA1"/>
    <w:p w14:paraId="2AA12B4E" w14:textId="77777777" w:rsidR="00DB7466" w:rsidRDefault="00DB7466" w:rsidP="00AD4EA1"/>
    <w:p w14:paraId="040719AB" w14:textId="77777777" w:rsidR="00DB7466" w:rsidRDefault="00DB7466" w:rsidP="00AD4EA1"/>
    <w:p w14:paraId="1F706FCB" w14:textId="77777777" w:rsidR="00DB7466" w:rsidRDefault="00DB7466" w:rsidP="00AD4EA1"/>
    <w:p w14:paraId="377D7AD7" w14:textId="77777777" w:rsidR="00DB7466" w:rsidRDefault="00DB7466" w:rsidP="00AD4EA1"/>
    <w:p w14:paraId="63DE5781" w14:textId="77777777" w:rsidR="00DB7466" w:rsidRDefault="00DB7466" w:rsidP="00AD4EA1"/>
    <w:p w14:paraId="63CFE20D" w14:textId="77777777" w:rsidR="00DB7466" w:rsidRDefault="00DB7466" w:rsidP="00AD4EA1"/>
    <w:p w14:paraId="39200608" w14:textId="77777777" w:rsidR="00DB7466" w:rsidRDefault="00DB7466" w:rsidP="00AD4EA1"/>
    <w:p w14:paraId="1C943DAC" w14:textId="77777777" w:rsidR="00DB7466" w:rsidRDefault="00DB7466" w:rsidP="00AD4EA1"/>
    <w:p w14:paraId="7E0E9E03" w14:textId="77777777" w:rsidR="00DB7466" w:rsidRDefault="00DB7466" w:rsidP="00AD4EA1"/>
    <w:p w14:paraId="11D0D194" w14:textId="77777777" w:rsidR="00DB7466" w:rsidRDefault="00DB7466" w:rsidP="00AD4EA1"/>
    <w:p w14:paraId="1304D13E" w14:textId="77777777" w:rsidR="00DB7466" w:rsidRDefault="00DB7466" w:rsidP="00AD4EA1"/>
    <w:p w14:paraId="3ADBED06" w14:textId="77777777" w:rsidR="00DB7466" w:rsidRDefault="00DB7466" w:rsidP="00AD4EA1"/>
    <w:p w14:paraId="2220CD2F" w14:textId="77777777" w:rsidR="00DB7466" w:rsidRDefault="00DB7466" w:rsidP="00AD4EA1"/>
    <w:p w14:paraId="5F6C3AEC" w14:textId="77777777" w:rsidR="00DB7466" w:rsidRDefault="00DB7466" w:rsidP="00AD4EA1"/>
    <w:p w14:paraId="561D4813" w14:textId="77777777" w:rsidR="00DB7466" w:rsidRDefault="00DB7466" w:rsidP="00AD4EA1"/>
    <w:p w14:paraId="3C62E0A9" w14:textId="77777777" w:rsidR="00DB7466" w:rsidRDefault="00DB7466" w:rsidP="00AD4EA1"/>
    <w:p w14:paraId="3851927B" w14:textId="77777777" w:rsidR="00DB7466" w:rsidRDefault="00DB7466" w:rsidP="00AD4EA1"/>
    <w:p w14:paraId="2C6D3F6B" w14:textId="77777777" w:rsidR="00DB7466" w:rsidRDefault="00DB7466" w:rsidP="00AD4EA1"/>
    <w:p w14:paraId="7626B154" w14:textId="77777777" w:rsidR="00DB7466" w:rsidRDefault="00DB7466" w:rsidP="00AD4EA1"/>
    <w:p w14:paraId="456DCBF7" w14:textId="77777777" w:rsidR="00DB7466" w:rsidRDefault="00DB7466" w:rsidP="00AD4EA1"/>
    <w:p w14:paraId="2036A4AA" w14:textId="77777777" w:rsidR="00DB7466" w:rsidRDefault="00DB7466" w:rsidP="00AD4EA1"/>
    <w:p w14:paraId="6B57D0BE" w14:textId="77777777" w:rsidR="00DB7466" w:rsidRDefault="00DB7466" w:rsidP="00AD4EA1"/>
    <w:p w14:paraId="22EFF1B3" w14:textId="77777777" w:rsidR="00DB7466" w:rsidRDefault="00DB7466" w:rsidP="00AD4EA1"/>
    <w:p w14:paraId="6A18306C" w14:textId="77777777" w:rsidR="00DB7466" w:rsidRDefault="00DB7466" w:rsidP="00AD4EA1"/>
    <w:p w14:paraId="3D069B9E" w14:textId="77777777" w:rsidR="00DB7466" w:rsidRDefault="00DB7466" w:rsidP="00AD4EA1"/>
    <w:p w14:paraId="418CC3F5" w14:textId="77777777" w:rsidR="00DB7466" w:rsidRDefault="00DB7466" w:rsidP="00AD4EA1"/>
    <w:p w14:paraId="50465363" w14:textId="77777777" w:rsidR="00DB7466" w:rsidRDefault="00DB7466" w:rsidP="00AD4EA1"/>
    <w:p w14:paraId="34F9DE73" w14:textId="77777777" w:rsidR="00DB7466" w:rsidRDefault="00DB7466" w:rsidP="00AD4EA1"/>
    <w:p w14:paraId="70D7A150" w14:textId="77777777" w:rsidR="00DB7466" w:rsidRDefault="00DB7466" w:rsidP="00AD4EA1"/>
    <w:p w14:paraId="1B547B77" w14:textId="77777777" w:rsidR="00DB7466" w:rsidRDefault="00DB7466" w:rsidP="00AD4EA1"/>
    <w:p w14:paraId="13115262" w14:textId="77777777" w:rsidR="00DB7466" w:rsidRDefault="00DB7466" w:rsidP="00AD4EA1"/>
    <w:p w14:paraId="1A923E63" w14:textId="77777777" w:rsidR="00DB7466" w:rsidRDefault="00DB7466" w:rsidP="00AD4EA1"/>
    <w:p w14:paraId="77702C0F" w14:textId="77777777" w:rsidR="00DB7466" w:rsidRDefault="00DB7466" w:rsidP="00AD4EA1"/>
    <w:p w14:paraId="25574252" w14:textId="77777777" w:rsidR="00DB7466" w:rsidRDefault="00DB7466" w:rsidP="00AD4EA1"/>
    <w:p w14:paraId="1F981BD5" w14:textId="77777777" w:rsidR="00DB7466" w:rsidRDefault="00DB7466" w:rsidP="00AD4EA1"/>
    <w:p w14:paraId="29707E44" w14:textId="77777777" w:rsidR="00DB7466" w:rsidRDefault="00DB7466" w:rsidP="00AD4EA1"/>
    <w:p w14:paraId="5BA8BFE8" w14:textId="77777777" w:rsidR="00DB7466" w:rsidRDefault="00DB7466" w:rsidP="00AD4EA1"/>
    <w:p w14:paraId="73D712E0" w14:textId="77777777" w:rsidR="00DB7466" w:rsidRDefault="00DB7466" w:rsidP="00AD4EA1"/>
    <w:p w14:paraId="1CFC1549" w14:textId="77777777" w:rsidR="00DB7466" w:rsidRDefault="00DB7466" w:rsidP="00AD4EA1"/>
    <w:p w14:paraId="0DC95961" w14:textId="77777777" w:rsidR="00DB7466" w:rsidRDefault="00DB7466" w:rsidP="00AD4EA1"/>
    <w:p w14:paraId="00769923" w14:textId="77777777" w:rsidR="00DB7466" w:rsidRDefault="00DB7466" w:rsidP="00AD4EA1"/>
    <w:p w14:paraId="60DD7E59" w14:textId="77777777" w:rsidR="00DB7466" w:rsidRDefault="00DB7466" w:rsidP="00AD4EA1"/>
    <w:p w14:paraId="2C4503BC" w14:textId="77777777" w:rsidR="00DB7466" w:rsidRDefault="00DB7466" w:rsidP="00AD4EA1"/>
    <w:p w14:paraId="6EAD1BB6" w14:textId="77777777" w:rsidR="00DB7466" w:rsidRDefault="00DB7466" w:rsidP="00AD4EA1"/>
    <w:p w14:paraId="020CFBD9" w14:textId="77777777" w:rsidR="00DB7466" w:rsidRDefault="00DB7466" w:rsidP="00AD4EA1"/>
    <w:p w14:paraId="47266882" w14:textId="77777777" w:rsidR="00DB7466" w:rsidRDefault="00DB7466" w:rsidP="00AD4EA1"/>
    <w:p w14:paraId="2784114E" w14:textId="77777777" w:rsidR="00DB7466" w:rsidRDefault="00DB7466" w:rsidP="00AD4EA1"/>
    <w:p w14:paraId="1098B228" w14:textId="77777777" w:rsidR="00DB7466" w:rsidRDefault="00DB7466" w:rsidP="00AD4EA1"/>
    <w:p w14:paraId="4CF773AF" w14:textId="77777777" w:rsidR="00DB7466" w:rsidRDefault="00DB7466" w:rsidP="00AD4EA1"/>
    <w:p w14:paraId="4C1DE188" w14:textId="77777777" w:rsidR="00DB7466" w:rsidRDefault="00DB7466" w:rsidP="00AD4EA1"/>
    <w:p w14:paraId="3161F9E5" w14:textId="77777777" w:rsidR="00DB7466" w:rsidRDefault="00DB7466" w:rsidP="00AD4EA1"/>
    <w:p w14:paraId="16BC97B7" w14:textId="77777777" w:rsidR="00DB7466" w:rsidRDefault="00DB7466" w:rsidP="00AD4EA1"/>
    <w:p w14:paraId="5C1512EF" w14:textId="77777777" w:rsidR="00DB7466" w:rsidRDefault="00DB7466" w:rsidP="00AD4EA1"/>
    <w:p w14:paraId="2F84314B" w14:textId="77777777" w:rsidR="00DB7466" w:rsidRDefault="00DB7466" w:rsidP="00AD4EA1"/>
    <w:p w14:paraId="7D63D53F" w14:textId="77777777" w:rsidR="00DB7466" w:rsidRDefault="00DB7466" w:rsidP="00AD4EA1"/>
    <w:p w14:paraId="79F8CB44" w14:textId="77777777" w:rsidR="00DB7466" w:rsidRDefault="00DB7466" w:rsidP="00AD4EA1"/>
    <w:p w14:paraId="589AF9CB" w14:textId="77777777" w:rsidR="00DB7466" w:rsidRDefault="00DB7466" w:rsidP="00AD4EA1"/>
    <w:p w14:paraId="4C6DD7F5" w14:textId="77777777" w:rsidR="00DB7466" w:rsidRDefault="00DB7466" w:rsidP="00AD4EA1"/>
    <w:p w14:paraId="2D02AB78" w14:textId="77777777" w:rsidR="00DB7466" w:rsidRDefault="00DB7466" w:rsidP="00AD4EA1"/>
    <w:p w14:paraId="5A78EFC9" w14:textId="77777777" w:rsidR="00DB7466" w:rsidRDefault="00DB7466" w:rsidP="00AD4EA1"/>
    <w:p w14:paraId="6C93E003" w14:textId="77777777" w:rsidR="00DB7466" w:rsidRDefault="00DB7466" w:rsidP="00AD4EA1"/>
    <w:p w14:paraId="0005C5CF" w14:textId="77777777" w:rsidR="00DB7466" w:rsidRDefault="00DB7466" w:rsidP="00AD4EA1"/>
    <w:p w14:paraId="78824D45" w14:textId="77777777" w:rsidR="00DB7466" w:rsidRDefault="00DB7466" w:rsidP="00AD4EA1"/>
    <w:p w14:paraId="39DB3D50" w14:textId="77777777" w:rsidR="00DB7466" w:rsidRDefault="00DB7466" w:rsidP="00AD4EA1"/>
    <w:p w14:paraId="2ACC0765" w14:textId="77777777" w:rsidR="00DB7466" w:rsidRDefault="00DB7466" w:rsidP="00AD4EA1"/>
    <w:p w14:paraId="704485A8" w14:textId="77777777" w:rsidR="00DB7466" w:rsidRDefault="00DB7466" w:rsidP="00AD4EA1"/>
    <w:p w14:paraId="0FC86151" w14:textId="77777777" w:rsidR="00DB7466" w:rsidRDefault="00DB7466" w:rsidP="00AD4EA1"/>
    <w:p w14:paraId="154A0777" w14:textId="77777777" w:rsidR="00DB7466" w:rsidRDefault="00DB7466" w:rsidP="00AD4EA1"/>
    <w:p w14:paraId="540D2C0F" w14:textId="77777777" w:rsidR="00DB7466" w:rsidRDefault="00DB7466" w:rsidP="00AD4EA1"/>
    <w:p w14:paraId="18600E66" w14:textId="77777777" w:rsidR="00DB7466" w:rsidRDefault="00DB7466" w:rsidP="00AD4EA1"/>
    <w:p w14:paraId="38151574" w14:textId="77777777" w:rsidR="00DB7466" w:rsidRDefault="00DB7466" w:rsidP="00AD4EA1"/>
    <w:p w14:paraId="1BE4D809" w14:textId="77777777" w:rsidR="00DB7466" w:rsidRDefault="00DB7466" w:rsidP="00AD4EA1"/>
    <w:p w14:paraId="3540A364" w14:textId="77777777" w:rsidR="00DB7466" w:rsidRDefault="00DB7466" w:rsidP="00AD4EA1"/>
    <w:p w14:paraId="0BC9102B" w14:textId="77777777" w:rsidR="00DB7466" w:rsidRDefault="00DB7466" w:rsidP="00AD4EA1"/>
    <w:p w14:paraId="3B7DF71F" w14:textId="77777777" w:rsidR="00DB7466" w:rsidRDefault="00DB7466" w:rsidP="00AD4EA1"/>
    <w:p w14:paraId="6A7E2E43" w14:textId="77777777" w:rsidR="00DB7466" w:rsidRDefault="00DB7466" w:rsidP="00AD4EA1"/>
    <w:p w14:paraId="05C19D8E" w14:textId="77777777" w:rsidR="00DB7466" w:rsidRDefault="00DB7466" w:rsidP="00AD4EA1"/>
    <w:p w14:paraId="6FC6028F" w14:textId="77777777" w:rsidR="00DB7466" w:rsidRDefault="00DB7466" w:rsidP="00AD4EA1"/>
    <w:p w14:paraId="1A5D2E13" w14:textId="77777777" w:rsidR="00DB7466" w:rsidRDefault="00DB7466" w:rsidP="00AD4EA1"/>
    <w:p w14:paraId="03BD47C7" w14:textId="77777777" w:rsidR="00DB7466" w:rsidRDefault="00DB7466" w:rsidP="00AD4EA1"/>
    <w:p w14:paraId="0F774B9A" w14:textId="77777777" w:rsidR="00DB7466" w:rsidRDefault="00DB7466" w:rsidP="00AD4EA1"/>
    <w:p w14:paraId="6E9C1029" w14:textId="77777777" w:rsidR="00DB7466" w:rsidRDefault="00DB7466" w:rsidP="00AD4EA1"/>
    <w:p w14:paraId="7424DE17" w14:textId="77777777" w:rsidR="00DB7466" w:rsidRDefault="00DB7466" w:rsidP="00AD4EA1"/>
    <w:p w14:paraId="45691975" w14:textId="77777777" w:rsidR="00DB7466" w:rsidRDefault="00DB7466" w:rsidP="00AD4EA1"/>
    <w:p w14:paraId="6C027624" w14:textId="77777777" w:rsidR="00DB7466" w:rsidRDefault="00DB7466" w:rsidP="00AD4EA1"/>
    <w:p w14:paraId="357B3EB6" w14:textId="77777777" w:rsidR="00DB7466" w:rsidRDefault="00DB7466" w:rsidP="00AD4EA1"/>
    <w:p w14:paraId="54219ADE" w14:textId="77777777" w:rsidR="00DB7466" w:rsidRDefault="00DB7466" w:rsidP="00AD4EA1"/>
    <w:p w14:paraId="283F0CD1" w14:textId="77777777" w:rsidR="00DB7466" w:rsidRDefault="00DB7466" w:rsidP="00AD4EA1"/>
    <w:p w14:paraId="15DB836C" w14:textId="77777777" w:rsidR="00DB7466" w:rsidRDefault="00DB7466" w:rsidP="00AD4EA1"/>
    <w:p w14:paraId="214D8361" w14:textId="77777777" w:rsidR="00DB7466" w:rsidRDefault="00DB7466" w:rsidP="00AD4EA1"/>
    <w:p w14:paraId="35B5DC1B" w14:textId="77777777" w:rsidR="00DB7466" w:rsidRDefault="00DB7466" w:rsidP="00AD4EA1"/>
    <w:p w14:paraId="1CC9D6AC" w14:textId="77777777" w:rsidR="00DB7466" w:rsidRDefault="00DB7466" w:rsidP="00AD4EA1"/>
    <w:p w14:paraId="063D3651" w14:textId="77777777" w:rsidR="00DB7466" w:rsidRDefault="00DB7466" w:rsidP="00AD4EA1"/>
    <w:p w14:paraId="75596CE2" w14:textId="77777777" w:rsidR="00DB7466" w:rsidRDefault="00DB7466" w:rsidP="00AD4EA1"/>
    <w:p w14:paraId="02B3016F" w14:textId="77777777" w:rsidR="00DB7466" w:rsidRDefault="00DB7466" w:rsidP="00AD4EA1"/>
    <w:p w14:paraId="284A9F05" w14:textId="77777777" w:rsidR="00DB7466" w:rsidRDefault="00DB7466" w:rsidP="00AD4EA1"/>
    <w:p w14:paraId="51C3564A" w14:textId="77777777" w:rsidR="00DB7466" w:rsidRDefault="00DB7466" w:rsidP="00AD4EA1"/>
    <w:p w14:paraId="4DD22CB3" w14:textId="77777777" w:rsidR="00DB7466" w:rsidRDefault="00DB7466" w:rsidP="00AD4EA1"/>
    <w:p w14:paraId="1309A460" w14:textId="77777777" w:rsidR="00DB7466" w:rsidRDefault="00DB7466" w:rsidP="00AD4EA1"/>
    <w:p w14:paraId="73F3A614" w14:textId="77777777" w:rsidR="00DB7466" w:rsidRDefault="00DB7466" w:rsidP="00AD4EA1"/>
    <w:p w14:paraId="653737BD" w14:textId="77777777" w:rsidR="00DB7466" w:rsidRDefault="00DB7466" w:rsidP="00AD4EA1"/>
    <w:p w14:paraId="12622BD9" w14:textId="77777777" w:rsidR="00DB7466" w:rsidRDefault="00DB7466" w:rsidP="00AD4EA1"/>
    <w:p w14:paraId="5B38E3AB" w14:textId="77777777" w:rsidR="00DB7466" w:rsidRDefault="00DB7466" w:rsidP="00AD4EA1"/>
    <w:p w14:paraId="30830E09" w14:textId="77777777" w:rsidR="00DB7466" w:rsidRDefault="00DB7466" w:rsidP="00AD4EA1"/>
    <w:p w14:paraId="2EBE2CDD" w14:textId="77777777" w:rsidR="00DB7466" w:rsidRDefault="00DB7466" w:rsidP="00AD4EA1"/>
    <w:p w14:paraId="50CBD999" w14:textId="77777777" w:rsidR="00DB7466" w:rsidRDefault="00DB7466" w:rsidP="00AD4EA1"/>
    <w:p w14:paraId="3767AF14" w14:textId="77777777" w:rsidR="00DB7466" w:rsidRDefault="00DB7466" w:rsidP="00AD4EA1"/>
    <w:p w14:paraId="1FB46CB5" w14:textId="77777777" w:rsidR="00DB7466" w:rsidRDefault="00DB7466" w:rsidP="00AD4EA1"/>
    <w:p w14:paraId="67BB1872" w14:textId="77777777" w:rsidR="00DB7466" w:rsidRDefault="00DB7466" w:rsidP="00AD4EA1"/>
    <w:p w14:paraId="0FA5AC34" w14:textId="77777777" w:rsidR="00DB7466" w:rsidRDefault="00DB7466" w:rsidP="00AD4EA1"/>
    <w:p w14:paraId="61CBF1BF" w14:textId="77777777" w:rsidR="00DB7466" w:rsidRDefault="00DB7466" w:rsidP="00AD4EA1"/>
    <w:p w14:paraId="680628B1" w14:textId="77777777" w:rsidR="00DB7466" w:rsidRDefault="00DB7466" w:rsidP="00AD4EA1"/>
    <w:p w14:paraId="4F53F540" w14:textId="77777777" w:rsidR="00DB7466" w:rsidRDefault="00DB7466" w:rsidP="00AD4EA1"/>
    <w:p w14:paraId="62F4881E" w14:textId="77777777" w:rsidR="00DB7466" w:rsidRDefault="00DB7466" w:rsidP="00AD4EA1"/>
    <w:p w14:paraId="5A16C801" w14:textId="77777777" w:rsidR="00DB7466" w:rsidRDefault="00DB7466" w:rsidP="00AD4EA1"/>
    <w:p w14:paraId="3703B7CA" w14:textId="77777777" w:rsidR="00DB7466" w:rsidRDefault="00DB7466" w:rsidP="00AD4EA1"/>
    <w:p w14:paraId="24AE89AA" w14:textId="77777777" w:rsidR="00DB7466" w:rsidRDefault="00DB7466" w:rsidP="00AD4EA1"/>
    <w:p w14:paraId="56E40AF5" w14:textId="77777777" w:rsidR="00DB7466" w:rsidRDefault="00DB7466" w:rsidP="00AD4EA1"/>
    <w:p w14:paraId="05854ECC" w14:textId="77777777" w:rsidR="00DB7466" w:rsidRDefault="00DB7466" w:rsidP="00CD4DEC"/>
    <w:p w14:paraId="662C89E6" w14:textId="77777777" w:rsidR="00DB7466" w:rsidRDefault="00DB7466" w:rsidP="002C583C"/>
    <w:p w14:paraId="55B339AF" w14:textId="77777777" w:rsidR="00DB7466" w:rsidRDefault="00DB7466" w:rsidP="002C583C"/>
    <w:p w14:paraId="57B8D573" w14:textId="77777777" w:rsidR="00DB7466" w:rsidRDefault="00DB7466" w:rsidP="006208C5"/>
    <w:p w14:paraId="68E185AD" w14:textId="77777777" w:rsidR="00DB7466" w:rsidRDefault="00DB7466" w:rsidP="006208C5"/>
    <w:p w14:paraId="2ED22314" w14:textId="77777777" w:rsidR="00DB7466" w:rsidRDefault="00DB7466" w:rsidP="003E60B3"/>
    <w:p w14:paraId="4E9878F4" w14:textId="77777777" w:rsidR="00DB7466" w:rsidRDefault="00DB7466" w:rsidP="003E60B3"/>
    <w:p w14:paraId="4A64F571" w14:textId="77777777" w:rsidR="00DB7466" w:rsidRDefault="00DB7466" w:rsidP="00C7542B"/>
    <w:p w14:paraId="1E28D0DC" w14:textId="77777777" w:rsidR="00DB7466" w:rsidRDefault="00DB7466" w:rsidP="00C7542B"/>
    <w:p w14:paraId="1EE1557A" w14:textId="77777777" w:rsidR="00DB7466" w:rsidRDefault="00DB7466" w:rsidP="00C7542B"/>
    <w:p w14:paraId="4598DCB9" w14:textId="77777777" w:rsidR="00DB7466" w:rsidRDefault="00DB7466" w:rsidP="00C7542B"/>
    <w:p w14:paraId="14586FEA" w14:textId="77777777" w:rsidR="00DB7466" w:rsidRDefault="00DB7466" w:rsidP="00C7542B"/>
    <w:p w14:paraId="1FCA1B28" w14:textId="77777777" w:rsidR="00DB7466" w:rsidRDefault="00DB7466" w:rsidP="00C7542B"/>
    <w:p w14:paraId="27809B62" w14:textId="77777777" w:rsidR="00DB7466" w:rsidRDefault="00DB7466" w:rsidP="00E668AB"/>
    <w:p w14:paraId="0BD5CDE1" w14:textId="77777777" w:rsidR="00DB7466" w:rsidRDefault="00DB7466" w:rsidP="002E2DD5"/>
    <w:p w14:paraId="2447EAF6" w14:textId="77777777" w:rsidR="00DB7466" w:rsidRDefault="00DB7466" w:rsidP="00F34FE7"/>
    <w:p w14:paraId="760D9803" w14:textId="77777777" w:rsidR="00DB7466" w:rsidRDefault="00DB7466" w:rsidP="00987D5A"/>
    <w:p w14:paraId="028D9139" w14:textId="77777777" w:rsidR="00DB7466" w:rsidRDefault="00DB7466" w:rsidP="00987D5A"/>
    <w:p w14:paraId="0C08DB00" w14:textId="77777777" w:rsidR="00DB7466" w:rsidRDefault="00DB7466" w:rsidP="00DA3815"/>
    <w:p w14:paraId="4AC657AF" w14:textId="77777777" w:rsidR="00DB7466" w:rsidRDefault="00DB7466" w:rsidP="00BE5921"/>
    <w:p w14:paraId="361EA663" w14:textId="77777777" w:rsidR="00DB7466" w:rsidRDefault="00DB7466" w:rsidP="00BA65A1"/>
    <w:p w14:paraId="50E1FC01" w14:textId="77777777" w:rsidR="00DB7466" w:rsidRDefault="00DB7466" w:rsidP="00BA65A1"/>
    <w:p w14:paraId="088D9C9E" w14:textId="77777777" w:rsidR="00DB7466" w:rsidRDefault="00DB7466" w:rsidP="00BA65A1"/>
    <w:p w14:paraId="3BBDFC3E" w14:textId="77777777" w:rsidR="00DB7466" w:rsidRDefault="00DB7466" w:rsidP="00E972D0"/>
    <w:p w14:paraId="02829BC3" w14:textId="77777777" w:rsidR="00DB7466" w:rsidRDefault="00DB7466" w:rsidP="00EA4A6E"/>
    <w:p w14:paraId="679E3505" w14:textId="77777777" w:rsidR="00DB7466" w:rsidRDefault="00DB7466" w:rsidP="00B206BE"/>
    <w:p w14:paraId="3B64EEF7" w14:textId="77777777" w:rsidR="00DB7466" w:rsidRDefault="00DB7466" w:rsidP="006D36B9"/>
    <w:p w14:paraId="2A3044A9" w14:textId="77777777" w:rsidR="00DB7466" w:rsidRDefault="00DB7466" w:rsidP="006D36B9"/>
    <w:p w14:paraId="18C6D373" w14:textId="77777777" w:rsidR="00DB7466" w:rsidRDefault="00DB7466" w:rsidP="006D36B9"/>
    <w:p w14:paraId="1EAAA444" w14:textId="77777777" w:rsidR="00DB7466" w:rsidRDefault="00DB7466" w:rsidP="006D36B9"/>
    <w:p w14:paraId="136C951B" w14:textId="77777777" w:rsidR="00DB7466" w:rsidRDefault="00DB7466" w:rsidP="006D36B9"/>
    <w:p w14:paraId="47A0DC76" w14:textId="77777777" w:rsidR="00DB7466" w:rsidRDefault="00DB7466" w:rsidP="006D36B9"/>
    <w:p w14:paraId="013688CB" w14:textId="77777777" w:rsidR="00DB7466" w:rsidRDefault="00DB7466" w:rsidP="00EA23F1"/>
    <w:p w14:paraId="242A72C5" w14:textId="77777777" w:rsidR="00DB7466" w:rsidRDefault="00DB7466"/>
    <w:p w14:paraId="0B81AAB1" w14:textId="77777777" w:rsidR="00DB7466" w:rsidRDefault="00DB7466" w:rsidP="00AC6278"/>
    <w:p w14:paraId="087DECFB" w14:textId="77777777" w:rsidR="00DB7466" w:rsidRDefault="00DB7466" w:rsidP="000F7EB3"/>
    <w:p w14:paraId="61F91C81" w14:textId="77777777" w:rsidR="00DB7466" w:rsidRDefault="00DB7466" w:rsidP="00FB722B"/>
    <w:p w14:paraId="2CC775B7" w14:textId="77777777" w:rsidR="00DB7466" w:rsidRDefault="00DB7466" w:rsidP="00FB722B"/>
    <w:p w14:paraId="7AFBBE66" w14:textId="77777777" w:rsidR="00DB7466" w:rsidRDefault="00DB7466" w:rsidP="00760684"/>
    <w:p w14:paraId="26C455DA" w14:textId="77777777" w:rsidR="00DB7466" w:rsidRDefault="00DB7466"/>
    <w:p w14:paraId="551E5D57" w14:textId="77777777" w:rsidR="00DB7466" w:rsidRDefault="00DB7466"/>
    <w:p w14:paraId="08EFC7F2" w14:textId="77777777" w:rsidR="00DB7466" w:rsidRDefault="00DB7466"/>
    <w:p w14:paraId="71D6539F" w14:textId="77777777" w:rsidR="00DB7466" w:rsidRDefault="00DB7466" w:rsidP="00E97D21"/>
    <w:p w14:paraId="4652EA41" w14:textId="77777777" w:rsidR="00DB7466" w:rsidRDefault="00DB7466" w:rsidP="00A2303A"/>
    <w:p w14:paraId="75F1A43D" w14:textId="77777777" w:rsidR="00DB7466" w:rsidRDefault="00DB7466" w:rsidP="00A2303A"/>
    <w:p w14:paraId="5236B630" w14:textId="77777777" w:rsidR="00DB7466" w:rsidRDefault="00DB7466" w:rsidP="00A2303A"/>
    <w:p w14:paraId="17F83D5C" w14:textId="77777777" w:rsidR="00DB7466" w:rsidRDefault="00DB7466"/>
    <w:p w14:paraId="2956B7CF" w14:textId="77777777" w:rsidR="00DB7466" w:rsidRDefault="00DB7466" w:rsidP="004B37A9"/>
    <w:p w14:paraId="7ED63B50" w14:textId="77777777" w:rsidR="00DB7466" w:rsidRDefault="00DB7466" w:rsidP="004B37A9"/>
    <w:p w14:paraId="7BAE7853" w14:textId="77777777" w:rsidR="00DB7466" w:rsidRDefault="00DB7466"/>
    <w:p w14:paraId="6F4B098D" w14:textId="77777777" w:rsidR="00DB7466" w:rsidRDefault="00DB7466" w:rsidP="00F2792F"/>
    <w:p w14:paraId="2CBA5ABD" w14:textId="77777777" w:rsidR="00DB7466" w:rsidRDefault="00DB7466" w:rsidP="00F2792F"/>
    <w:p w14:paraId="0437C986" w14:textId="77777777" w:rsidR="00DB7466" w:rsidRDefault="00DB7466" w:rsidP="00F2792F"/>
    <w:p w14:paraId="6B3ACA61" w14:textId="77777777" w:rsidR="00DB7466" w:rsidRDefault="00DB7466" w:rsidP="00F2792F"/>
    <w:p w14:paraId="4972EDFD" w14:textId="77777777" w:rsidR="00DB7466" w:rsidRDefault="00DB7466" w:rsidP="003F470F"/>
    <w:p w14:paraId="5920DB66" w14:textId="77777777" w:rsidR="00DB7466" w:rsidRDefault="00DB7466" w:rsidP="00FE2957"/>
    <w:p w14:paraId="5C8DC5C0" w14:textId="77777777" w:rsidR="00DB7466" w:rsidRDefault="00DB7466" w:rsidP="00FE2957"/>
    <w:p w14:paraId="45E82D98" w14:textId="77777777" w:rsidR="00DB7466" w:rsidRDefault="00DB7466" w:rsidP="00E02438"/>
    <w:p w14:paraId="7729E7B3" w14:textId="77777777" w:rsidR="00DB7466" w:rsidRDefault="00DB7466" w:rsidP="008F70A3"/>
    <w:p w14:paraId="1DAAA2CF" w14:textId="77777777" w:rsidR="00DB7466" w:rsidRDefault="00DB7466" w:rsidP="00727452"/>
    <w:p w14:paraId="36349E84" w14:textId="77777777" w:rsidR="00DB7466" w:rsidRDefault="00DB7466" w:rsidP="00676913"/>
    <w:p w14:paraId="1BB1F417" w14:textId="77777777" w:rsidR="00DB7466" w:rsidRDefault="00DB7466"/>
    <w:p w14:paraId="14EDCA6F" w14:textId="77777777" w:rsidR="00DB7466" w:rsidRDefault="00DB7466" w:rsidP="0088433B"/>
    <w:p w14:paraId="017BC105" w14:textId="77777777" w:rsidR="00DB7466" w:rsidRDefault="00DB7466" w:rsidP="0088433B"/>
    <w:p w14:paraId="03A8953E" w14:textId="77777777" w:rsidR="00DB7466" w:rsidRDefault="00DB7466" w:rsidP="00B005BD"/>
    <w:p w14:paraId="75721661" w14:textId="77777777" w:rsidR="00DB7466" w:rsidRDefault="00DB7466" w:rsidP="00B005BD"/>
    <w:p w14:paraId="34D18F0B" w14:textId="77777777" w:rsidR="00DB7466" w:rsidRDefault="00DB7466" w:rsidP="00FE1B67"/>
    <w:p w14:paraId="666960B3" w14:textId="77777777" w:rsidR="00DB7466" w:rsidRDefault="00DB7466" w:rsidP="00FE1B67"/>
    <w:p w14:paraId="73AFACB5" w14:textId="77777777" w:rsidR="00DB7466" w:rsidRDefault="00DB7466" w:rsidP="00FE1B67"/>
    <w:p w14:paraId="35819B5C" w14:textId="77777777" w:rsidR="00DB7466" w:rsidRDefault="00DB7466"/>
    <w:p w14:paraId="4831D8C9" w14:textId="77777777" w:rsidR="00DB7466" w:rsidRDefault="00DB7466"/>
    <w:p w14:paraId="3B5671FC" w14:textId="77777777" w:rsidR="00DB7466" w:rsidRDefault="00DB7466"/>
    <w:p w14:paraId="7E5F97A6" w14:textId="77777777" w:rsidR="00DB7466" w:rsidRDefault="00DB7466" w:rsidP="00A25F00"/>
    <w:p w14:paraId="3449C9F8" w14:textId="77777777" w:rsidR="00DB7466" w:rsidRDefault="00DB7466"/>
    <w:p w14:paraId="0DD602F1" w14:textId="77777777" w:rsidR="00DB7466" w:rsidRDefault="00DB7466" w:rsidP="00C86149"/>
    <w:p w14:paraId="663B94D7" w14:textId="77777777" w:rsidR="00DB7466" w:rsidRDefault="00DB7466"/>
    <w:p w14:paraId="16C9EC47" w14:textId="77777777" w:rsidR="00DB7466" w:rsidRDefault="00DB7466" w:rsidP="00AE612D"/>
    <w:p w14:paraId="5B7A100C" w14:textId="77777777" w:rsidR="00DB7466" w:rsidRDefault="00DB7466" w:rsidP="008D16DA"/>
    <w:p w14:paraId="74C6754C" w14:textId="77777777" w:rsidR="00DB7466" w:rsidRDefault="00DB7466" w:rsidP="008D16DA"/>
    <w:p w14:paraId="7C8ED5BF" w14:textId="77777777" w:rsidR="00DB7466" w:rsidRDefault="00DB7466" w:rsidP="008D16DA"/>
    <w:p w14:paraId="0EAB0B62" w14:textId="77777777" w:rsidR="00DB7466" w:rsidRDefault="00DB7466" w:rsidP="00221E03"/>
    <w:p w14:paraId="52E05FFA" w14:textId="77777777" w:rsidR="00DB7466" w:rsidRDefault="00DB7466"/>
    <w:p w14:paraId="04CEEE90" w14:textId="77777777" w:rsidR="00DB7466" w:rsidRDefault="00DB7466"/>
    <w:p w14:paraId="11A2BDA4" w14:textId="77777777" w:rsidR="00DB7466" w:rsidRDefault="00DB7466" w:rsidP="000B3880"/>
    <w:p w14:paraId="2B520051" w14:textId="77777777" w:rsidR="00DB7466" w:rsidRDefault="00DB7466" w:rsidP="000B3880"/>
    <w:p w14:paraId="03E2DEB3" w14:textId="77777777" w:rsidR="00DB7466" w:rsidRDefault="00DB7466" w:rsidP="000B3880"/>
    <w:p w14:paraId="31862024" w14:textId="77777777" w:rsidR="00DB7466" w:rsidRDefault="00DB7466" w:rsidP="00C61011"/>
    <w:p w14:paraId="018BD7E1" w14:textId="77777777" w:rsidR="00DB7466" w:rsidRDefault="00DB7466"/>
    <w:p w14:paraId="6CE57B32" w14:textId="77777777" w:rsidR="00DB7466" w:rsidRDefault="00DB7466" w:rsidP="00442E09"/>
    <w:p w14:paraId="3AB430AA" w14:textId="77777777" w:rsidR="00DB7466" w:rsidRDefault="00DB7466"/>
    <w:p w14:paraId="2DBBC6BF" w14:textId="77777777" w:rsidR="00DB7466" w:rsidRDefault="00DB7466" w:rsidP="002F2F0C"/>
    <w:p w14:paraId="17C450D3" w14:textId="77777777" w:rsidR="00DB7466" w:rsidRDefault="00DB7466" w:rsidP="00035C0D"/>
    <w:p w14:paraId="615D7469" w14:textId="77777777" w:rsidR="00DB7466" w:rsidRDefault="00DB7466"/>
    <w:p w14:paraId="5947BE1A" w14:textId="77777777" w:rsidR="00DB7466" w:rsidRDefault="00DB7466"/>
    <w:p w14:paraId="3054E31B" w14:textId="77777777" w:rsidR="00DB7466" w:rsidRDefault="00DB7466" w:rsidP="00FC0786"/>
    <w:p w14:paraId="43995FB8" w14:textId="77777777" w:rsidR="00DB7466" w:rsidRDefault="00DB7466" w:rsidP="00FC0786"/>
    <w:p w14:paraId="6DF9F8AC" w14:textId="77777777" w:rsidR="00DB7466" w:rsidRDefault="00DB7466" w:rsidP="00FC0786"/>
    <w:p w14:paraId="29C5CEBB" w14:textId="77777777" w:rsidR="00DB7466" w:rsidRDefault="00DB7466" w:rsidP="00FC0786"/>
    <w:p w14:paraId="2498934F" w14:textId="77777777" w:rsidR="00DB7466" w:rsidRDefault="00DB7466" w:rsidP="00FC0786"/>
    <w:p w14:paraId="0C57FA18" w14:textId="77777777" w:rsidR="00DB7466" w:rsidRDefault="00DB7466" w:rsidP="00FC0786"/>
    <w:p w14:paraId="26222DA2" w14:textId="77777777" w:rsidR="00DB7466" w:rsidRDefault="00DB7466" w:rsidP="00FC0786"/>
    <w:p w14:paraId="083D5B33" w14:textId="77777777" w:rsidR="00DB7466" w:rsidRDefault="00DB7466" w:rsidP="00FC0786"/>
    <w:p w14:paraId="34E0619C" w14:textId="77777777" w:rsidR="00DB7466" w:rsidRDefault="00DB7466" w:rsidP="00FC0786"/>
    <w:p w14:paraId="1F0D6C59" w14:textId="77777777" w:rsidR="00DB7466" w:rsidRDefault="00DB7466" w:rsidP="00FC0786"/>
    <w:p w14:paraId="61026188" w14:textId="77777777" w:rsidR="00DB7466" w:rsidRDefault="00DB7466" w:rsidP="00FC0786"/>
    <w:p w14:paraId="33647806" w14:textId="77777777" w:rsidR="00DB7466" w:rsidRDefault="00DB7466" w:rsidP="00FC0786"/>
    <w:p w14:paraId="305D3AF3" w14:textId="77777777" w:rsidR="00DB7466" w:rsidRDefault="00DB7466" w:rsidP="00FC0786"/>
    <w:p w14:paraId="03AB3BAC" w14:textId="77777777" w:rsidR="00DB7466" w:rsidRDefault="00DB7466" w:rsidP="00FC0786"/>
    <w:p w14:paraId="5B1CDC39" w14:textId="77777777" w:rsidR="00DB7466" w:rsidRDefault="00DB7466" w:rsidP="00FC0786"/>
    <w:p w14:paraId="7D394D05" w14:textId="77777777" w:rsidR="00DB7466" w:rsidRDefault="00DB7466" w:rsidP="00FC0786"/>
    <w:p w14:paraId="1A4CC29D" w14:textId="77777777" w:rsidR="00DB7466" w:rsidRDefault="00DB7466" w:rsidP="00884294"/>
    <w:p w14:paraId="0DD2B603" w14:textId="77777777" w:rsidR="00DB7466" w:rsidRDefault="00DB7466" w:rsidP="00115C61"/>
    <w:p w14:paraId="679D54AC" w14:textId="77777777" w:rsidR="00DB7466" w:rsidRDefault="00DB7466" w:rsidP="00F21980"/>
    <w:p w14:paraId="19C6448C" w14:textId="77777777" w:rsidR="00DB7466" w:rsidRDefault="00DB7466"/>
    <w:p w14:paraId="66405E36" w14:textId="77777777" w:rsidR="00DB7466" w:rsidRDefault="00DB7466" w:rsidP="004902EB"/>
    <w:p w14:paraId="4E6B3607" w14:textId="77777777" w:rsidR="00DB7466" w:rsidRDefault="00DB7466" w:rsidP="00C165D6"/>
    <w:p w14:paraId="0204806A" w14:textId="77777777" w:rsidR="00DB7466" w:rsidRDefault="00DB7466" w:rsidP="00C165D6"/>
    <w:p w14:paraId="01BF1C22" w14:textId="77777777" w:rsidR="00DB7466" w:rsidRDefault="00DB7466" w:rsidP="00D1652A"/>
    <w:p w14:paraId="1BA6EB9E" w14:textId="77777777" w:rsidR="00DB7466" w:rsidRDefault="00DB7466"/>
    <w:p w14:paraId="6DA9DDC3" w14:textId="77777777" w:rsidR="00DB7466" w:rsidRDefault="00DB7466"/>
    <w:p w14:paraId="28AD8471" w14:textId="77777777" w:rsidR="00DB7466" w:rsidRDefault="00DB7466" w:rsidP="00665E23"/>
    <w:p w14:paraId="23BEAD9B" w14:textId="77777777" w:rsidR="00DB7466" w:rsidRDefault="00DB7466" w:rsidP="00665E23"/>
    <w:p w14:paraId="6516E2E1" w14:textId="77777777" w:rsidR="00DB7466" w:rsidRDefault="00DB7466" w:rsidP="00665E23"/>
    <w:p w14:paraId="3A0ACE32" w14:textId="77777777" w:rsidR="00DB7466" w:rsidRDefault="00DB7466"/>
    <w:p w14:paraId="4B9522B0" w14:textId="77777777" w:rsidR="00DB7466" w:rsidRDefault="00DB7466" w:rsidP="00FC625F"/>
    <w:p w14:paraId="3360A190" w14:textId="77777777" w:rsidR="00DB7466" w:rsidRDefault="00DB7466" w:rsidP="00CD26FF"/>
    <w:p w14:paraId="1D22F32C" w14:textId="77777777" w:rsidR="00DB7466" w:rsidRDefault="00DB7466" w:rsidP="005C0894"/>
    <w:p w14:paraId="60D79B00" w14:textId="77777777" w:rsidR="00DB7466" w:rsidRDefault="00DB7466" w:rsidP="005C0894"/>
    <w:p w14:paraId="4A623BCC" w14:textId="77777777" w:rsidR="00DB7466" w:rsidRDefault="00DB7466" w:rsidP="005C0894"/>
    <w:p w14:paraId="359CD10F" w14:textId="77777777" w:rsidR="00DB7466" w:rsidRDefault="00DB7466" w:rsidP="005C0894"/>
    <w:p w14:paraId="5C0CFF05" w14:textId="77777777" w:rsidR="00DB7466" w:rsidRDefault="00DB7466" w:rsidP="005C0894"/>
    <w:p w14:paraId="79A04319" w14:textId="77777777" w:rsidR="00DB7466" w:rsidRDefault="00DB7466" w:rsidP="005C0894"/>
    <w:p w14:paraId="143AFF96" w14:textId="77777777" w:rsidR="00DB7466" w:rsidRDefault="00DB7466" w:rsidP="005C0894"/>
    <w:p w14:paraId="366BC761" w14:textId="77777777" w:rsidR="00DB7466" w:rsidRDefault="00DB7466" w:rsidP="005C0894"/>
    <w:p w14:paraId="5FCC9C51" w14:textId="77777777" w:rsidR="00DB7466" w:rsidRDefault="00DB7466" w:rsidP="00EE7F1F"/>
    <w:p w14:paraId="4795C596" w14:textId="77777777" w:rsidR="00DB7466" w:rsidRDefault="00DB7466" w:rsidP="00C6037F"/>
    <w:p w14:paraId="57C9F67D" w14:textId="77777777" w:rsidR="00DB7466" w:rsidRDefault="00DB7466" w:rsidP="00C6037F"/>
    <w:p w14:paraId="7A0201EF" w14:textId="77777777" w:rsidR="00DB7466" w:rsidRDefault="00DB7466" w:rsidP="00C6037F"/>
    <w:p w14:paraId="3A111693" w14:textId="77777777" w:rsidR="00DB7466" w:rsidRDefault="00DB7466" w:rsidP="00C6037F"/>
    <w:p w14:paraId="3C9BDCD8" w14:textId="77777777" w:rsidR="00DB7466" w:rsidRDefault="00DB7466" w:rsidP="00C6037F"/>
    <w:p w14:paraId="42742355" w14:textId="77777777" w:rsidR="00DB7466" w:rsidRDefault="00DB7466" w:rsidP="00B8778C"/>
    <w:p w14:paraId="7C7C5E0D" w14:textId="77777777" w:rsidR="00DB7466" w:rsidRDefault="00DB7466" w:rsidP="00B8778C"/>
    <w:p w14:paraId="4A310152" w14:textId="77777777" w:rsidR="00DB7466" w:rsidRDefault="00DB7466" w:rsidP="00B8778C"/>
    <w:p w14:paraId="550C9682" w14:textId="77777777" w:rsidR="00DB7466" w:rsidRDefault="00DB7466" w:rsidP="00B8778C"/>
    <w:p w14:paraId="5EF6CC65" w14:textId="77777777" w:rsidR="00DB7466" w:rsidRDefault="00DB7466" w:rsidP="00B8778C"/>
    <w:p w14:paraId="3D0C305C" w14:textId="77777777" w:rsidR="00DB7466" w:rsidRDefault="00DB7466" w:rsidP="00B8778C"/>
    <w:p w14:paraId="17A801F5" w14:textId="77777777" w:rsidR="00DB7466" w:rsidRDefault="00DB7466" w:rsidP="00B8778C"/>
    <w:p w14:paraId="235FC0E3" w14:textId="77777777" w:rsidR="00DB7466" w:rsidRDefault="00DB7466"/>
    <w:p w14:paraId="2B7796BD" w14:textId="77777777" w:rsidR="00DB7466" w:rsidRDefault="00DB7466" w:rsidP="00054EA8"/>
    <w:p w14:paraId="25DE9512" w14:textId="77777777" w:rsidR="00DB7466" w:rsidRDefault="00DB7466" w:rsidP="00054EA8"/>
    <w:p w14:paraId="6709A728" w14:textId="77777777" w:rsidR="00DB7466" w:rsidRDefault="00DB7466" w:rsidP="009A1FE6"/>
    <w:p w14:paraId="785E9EA4" w14:textId="77777777" w:rsidR="00DB7466" w:rsidRDefault="00DB7466" w:rsidP="008508D9"/>
    <w:p w14:paraId="60F8F61B" w14:textId="77777777" w:rsidR="00DB7466" w:rsidRDefault="00DB7466" w:rsidP="002E3F59"/>
    <w:p w14:paraId="4A0665D1" w14:textId="77777777" w:rsidR="00DB7466" w:rsidRDefault="00DB7466" w:rsidP="003347C9"/>
    <w:p w14:paraId="727CCE00" w14:textId="77777777" w:rsidR="00DB7466" w:rsidRDefault="00DB7466" w:rsidP="00DB01F5"/>
    <w:p w14:paraId="38F7D65A" w14:textId="77777777" w:rsidR="00DB7466" w:rsidRDefault="00DB7466" w:rsidP="00816B51"/>
    <w:p w14:paraId="16E71A62" w14:textId="77777777" w:rsidR="00DB7466" w:rsidRDefault="00DB7466"/>
    <w:p w14:paraId="3AEBD35B" w14:textId="77777777" w:rsidR="00DB7466" w:rsidRDefault="00DB7466"/>
    <w:p w14:paraId="041814EA" w14:textId="77777777" w:rsidR="00DB7466" w:rsidRDefault="00DB7466" w:rsidP="00D26309"/>
    <w:p w14:paraId="2AE71A18" w14:textId="77777777" w:rsidR="00DB7466" w:rsidRDefault="00DB7466" w:rsidP="00C2442C"/>
    <w:p w14:paraId="7EE0D053" w14:textId="77777777" w:rsidR="00DB7466" w:rsidRDefault="00DB7466"/>
    <w:p w14:paraId="11A4F68B" w14:textId="77777777" w:rsidR="00DB7466" w:rsidRDefault="00DB7466" w:rsidP="001361EB"/>
    <w:p w14:paraId="0092E5AD" w14:textId="77777777" w:rsidR="00DB7466" w:rsidRDefault="00DB7466"/>
    <w:p w14:paraId="1E81D3A6" w14:textId="77777777" w:rsidR="00DB7466" w:rsidRDefault="00DB7466" w:rsidP="003159DE"/>
    <w:p w14:paraId="75A14AD0" w14:textId="77777777" w:rsidR="00DB7466" w:rsidRDefault="00DB7466" w:rsidP="003159DE"/>
    <w:p w14:paraId="47C00C27" w14:textId="77777777" w:rsidR="00DB7466" w:rsidRDefault="00DB7466"/>
    <w:p w14:paraId="2D9F1CB2" w14:textId="77777777" w:rsidR="00DB7466" w:rsidRDefault="00DB7466"/>
    <w:p w14:paraId="4C1C9B0D" w14:textId="77777777" w:rsidR="00DB7466" w:rsidRDefault="00DB7466"/>
    <w:p w14:paraId="00751905" w14:textId="77777777" w:rsidR="00DB7466" w:rsidRDefault="00DB7466" w:rsidP="00071B02"/>
    <w:p w14:paraId="274D7962" w14:textId="77777777" w:rsidR="00DB7466" w:rsidRDefault="00DB7466" w:rsidP="00071B02"/>
    <w:p w14:paraId="623670A7" w14:textId="77777777" w:rsidR="00DB7466" w:rsidRDefault="00DB7466"/>
    <w:p w14:paraId="3D495F24" w14:textId="77777777" w:rsidR="00ED71D7" w:rsidRDefault="00ED71D7"/>
    <w:p w14:paraId="1E95C885" w14:textId="77777777" w:rsidR="00ED71D7" w:rsidRDefault="00ED71D7" w:rsidP="00D90A2B"/>
    <w:p w14:paraId="6893F82F" w14:textId="77777777" w:rsidR="009248A6" w:rsidRDefault="009248A6"/>
    <w:p w14:paraId="6C928EEA" w14:textId="77777777" w:rsidR="009248A6" w:rsidRDefault="009248A6" w:rsidP="005A34FE"/>
    <w:p w14:paraId="12BC032C" w14:textId="77777777" w:rsidR="009248A6" w:rsidRDefault="009248A6" w:rsidP="005125FE"/>
    <w:p w14:paraId="72F14513" w14:textId="77777777" w:rsidR="009248A6" w:rsidRDefault="009248A6" w:rsidP="007D2527"/>
    <w:p w14:paraId="08D7C470" w14:textId="77777777" w:rsidR="009248A6" w:rsidRDefault="009248A6" w:rsidP="00C61D7E"/>
  </w:endnote>
  <w:endnote w:type="continuationNotice" w:id="1">
    <w:p w14:paraId="786360D3" w14:textId="77777777" w:rsidR="00DB7466" w:rsidRDefault="00DB7466" w:rsidP="00035C0D"/>
    <w:p w14:paraId="178664C8" w14:textId="77777777" w:rsidR="00DB7466" w:rsidRDefault="00DB7466" w:rsidP="00AD4EA1"/>
    <w:p w14:paraId="19D51650" w14:textId="77777777" w:rsidR="00DB7466" w:rsidRDefault="00DB7466" w:rsidP="00AD4EA1"/>
    <w:p w14:paraId="1EC5C3BF" w14:textId="77777777" w:rsidR="00DB7466" w:rsidRDefault="00DB7466" w:rsidP="00AD4EA1"/>
    <w:p w14:paraId="23F33135" w14:textId="77777777" w:rsidR="00DB7466" w:rsidRDefault="00DB7466" w:rsidP="00AD4EA1"/>
    <w:p w14:paraId="43B38848" w14:textId="77777777" w:rsidR="00DB7466" w:rsidRDefault="00DB7466" w:rsidP="00AD4EA1"/>
    <w:p w14:paraId="59801DAD" w14:textId="77777777" w:rsidR="00DB7466" w:rsidRDefault="00DB7466" w:rsidP="00AD4EA1"/>
    <w:p w14:paraId="22FF68CA" w14:textId="77777777" w:rsidR="00DB7466" w:rsidRDefault="00DB7466" w:rsidP="00AD4EA1"/>
    <w:p w14:paraId="3B63D949" w14:textId="77777777" w:rsidR="00DB7466" w:rsidRDefault="00DB7466" w:rsidP="00AD4EA1"/>
    <w:p w14:paraId="00939F70" w14:textId="77777777" w:rsidR="00DB7466" w:rsidRDefault="00DB7466" w:rsidP="00AD4EA1"/>
    <w:p w14:paraId="3A583DF7" w14:textId="77777777" w:rsidR="00DB7466" w:rsidRDefault="00DB7466" w:rsidP="00AD4EA1"/>
    <w:p w14:paraId="664E01FF" w14:textId="77777777" w:rsidR="00DB7466" w:rsidRDefault="00DB7466" w:rsidP="00AD4EA1"/>
    <w:p w14:paraId="59AF9410" w14:textId="77777777" w:rsidR="00DB7466" w:rsidRDefault="00DB7466" w:rsidP="00AD4EA1"/>
    <w:p w14:paraId="3FD01064" w14:textId="77777777" w:rsidR="00DB7466" w:rsidRDefault="00DB7466" w:rsidP="00AD4EA1"/>
    <w:p w14:paraId="2C11995B" w14:textId="77777777" w:rsidR="00DB7466" w:rsidRDefault="00DB7466" w:rsidP="00AD4EA1"/>
    <w:p w14:paraId="3A350769" w14:textId="77777777" w:rsidR="00DB7466" w:rsidRDefault="00DB7466" w:rsidP="00AD4EA1"/>
    <w:p w14:paraId="1F6A0856" w14:textId="77777777" w:rsidR="00DB7466" w:rsidRDefault="00DB7466" w:rsidP="00AD4EA1"/>
    <w:p w14:paraId="41CE7FC4" w14:textId="77777777" w:rsidR="00DB7466" w:rsidRDefault="00DB7466" w:rsidP="00AD4EA1"/>
    <w:p w14:paraId="2A0868B5" w14:textId="77777777" w:rsidR="00DB7466" w:rsidRDefault="00DB7466" w:rsidP="00AD4EA1"/>
    <w:p w14:paraId="1FA5ADD0" w14:textId="77777777" w:rsidR="00DB7466" w:rsidRDefault="00DB7466" w:rsidP="00AD4EA1"/>
    <w:p w14:paraId="3209D809" w14:textId="77777777" w:rsidR="00DB7466" w:rsidRDefault="00DB7466" w:rsidP="00AD4EA1"/>
    <w:p w14:paraId="3EB19215" w14:textId="77777777" w:rsidR="00DB7466" w:rsidRDefault="00DB7466" w:rsidP="00AD4EA1"/>
    <w:p w14:paraId="3D3E0E0A" w14:textId="77777777" w:rsidR="00DB7466" w:rsidRDefault="00DB7466" w:rsidP="00AD4EA1"/>
    <w:p w14:paraId="10AD6A61" w14:textId="77777777" w:rsidR="00DB7466" w:rsidRDefault="00DB7466" w:rsidP="00AD4EA1"/>
    <w:p w14:paraId="67D6CF6C" w14:textId="77777777" w:rsidR="00DB7466" w:rsidRDefault="00DB7466" w:rsidP="00AD4EA1"/>
    <w:p w14:paraId="36E04750" w14:textId="77777777" w:rsidR="00DB7466" w:rsidRDefault="00DB7466" w:rsidP="00AD4EA1"/>
    <w:p w14:paraId="551CA32D" w14:textId="77777777" w:rsidR="00DB7466" w:rsidRDefault="00DB7466" w:rsidP="00AD4EA1"/>
    <w:p w14:paraId="46ACCA64" w14:textId="77777777" w:rsidR="00DB7466" w:rsidRDefault="00DB7466" w:rsidP="00AD4EA1"/>
    <w:p w14:paraId="6DDD3E62" w14:textId="77777777" w:rsidR="00DB7466" w:rsidRDefault="00DB7466" w:rsidP="00AD4EA1"/>
    <w:p w14:paraId="5BAF308F" w14:textId="77777777" w:rsidR="00DB7466" w:rsidRDefault="00DB7466" w:rsidP="00AD4EA1"/>
    <w:p w14:paraId="6AE6BAA2" w14:textId="77777777" w:rsidR="00DB7466" w:rsidRDefault="00DB7466" w:rsidP="00AD4EA1"/>
    <w:p w14:paraId="3092CD24" w14:textId="77777777" w:rsidR="00DB7466" w:rsidRDefault="00DB7466" w:rsidP="00AD4EA1"/>
    <w:p w14:paraId="0AD4B453" w14:textId="77777777" w:rsidR="00DB7466" w:rsidRDefault="00DB7466" w:rsidP="00AD4EA1"/>
    <w:p w14:paraId="1D168A41" w14:textId="77777777" w:rsidR="00DB7466" w:rsidRDefault="00DB7466" w:rsidP="00AD4EA1"/>
    <w:p w14:paraId="04C298A3" w14:textId="77777777" w:rsidR="00DB7466" w:rsidRDefault="00DB7466" w:rsidP="00AD4EA1"/>
    <w:p w14:paraId="38666175" w14:textId="77777777" w:rsidR="00DB7466" w:rsidRDefault="00DB7466" w:rsidP="00AD4EA1"/>
    <w:p w14:paraId="4AB5A0D7" w14:textId="77777777" w:rsidR="00DB7466" w:rsidRDefault="00DB7466" w:rsidP="00AD4EA1"/>
    <w:p w14:paraId="34E8420E" w14:textId="77777777" w:rsidR="00DB7466" w:rsidRDefault="00DB7466" w:rsidP="00AD4EA1"/>
    <w:p w14:paraId="4D3AE6C8" w14:textId="77777777" w:rsidR="00DB7466" w:rsidRDefault="00DB7466" w:rsidP="00AD4EA1"/>
    <w:p w14:paraId="67B45C5F" w14:textId="77777777" w:rsidR="00DB7466" w:rsidRDefault="00DB7466" w:rsidP="00AD4EA1"/>
    <w:p w14:paraId="0D48A0ED" w14:textId="77777777" w:rsidR="00DB7466" w:rsidRDefault="00DB7466" w:rsidP="00AD4EA1"/>
    <w:p w14:paraId="3652539A" w14:textId="77777777" w:rsidR="00DB7466" w:rsidRDefault="00DB7466" w:rsidP="00AD4EA1"/>
    <w:p w14:paraId="0F5E1AEF" w14:textId="77777777" w:rsidR="00DB7466" w:rsidRDefault="00DB7466" w:rsidP="00AD4EA1"/>
    <w:p w14:paraId="283BEA17" w14:textId="77777777" w:rsidR="00DB7466" w:rsidRDefault="00DB7466" w:rsidP="00AD4EA1"/>
    <w:p w14:paraId="1D902EBA" w14:textId="77777777" w:rsidR="00DB7466" w:rsidRDefault="00DB7466" w:rsidP="00AD4EA1"/>
    <w:p w14:paraId="3F5D5C27" w14:textId="77777777" w:rsidR="00DB7466" w:rsidRDefault="00DB7466" w:rsidP="00AD4EA1"/>
    <w:p w14:paraId="7BA5220D" w14:textId="77777777" w:rsidR="00DB7466" w:rsidRDefault="00DB7466" w:rsidP="00AD4EA1"/>
    <w:p w14:paraId="09183D6B" w14:textId="77777777" w:rsidR="00DB7466" w:rsidRDefault="00DB7466" w:rsidP="00AD4EA1"/>
    <w:p w14:paraId="01F8EC8B" w14:textId="77777777" w:rsidR="00DB7466" w:rsidRDefault="00DB7466" w:rsidP="00AD4EA1"/>
    <w:p w14:paraId="45974C97" w14:textId="77777777" w:rsidR="00DB7466" w:rsidRDefault="00DB7466" w:rsidP="00AD4EA1"/>
    <w:p w14:paraId="58620A42" w14:textId="77777777" w:rsidR="00DB7466" w:rsidRDefault="00DB7466" w:rsidP="00AD4EA1"/>
    <w:p w14:paraId="443068CF" w14:textId="77777777" w:rsidR="00DB7466" w:rsidRDefault="00DB7466" w:rsidP="00AD4EA1"/>
    <w:p w14:paraId="10319715" w14:textId="77777777" w:rsidR="00DB7466" w:rsidRDefault="00DB7466" w:rsidP="00AD4EA1"/>
    <w:p w14:paraId="597DB7DA" w14:textId="77777777" w:rsidR="00DB7466" w:rsidRDefault="00DB7466" w:rsidP="00AD4EA1"/>
    <w:p w14:paraId="4702FB04" w14:textId="77777777" w:rsidR="00DB7466" w:rsidRDefault="00DB7466" w:rsidP="00AD4EA1"/>
    <w:p w14:paraId="5864939B" w14:textId="77777777" w:rsidR="00DB7466" w:rsidRDefault="00DB7466" w:rsidP="00AD4EA1"/>
    <w:p w14:paraId="257F8245" w14:textId="77777777" w:rsidR="00DB7466" w:rsidRDefault="00DB7466" w:rsidP="00AD4EA1"/>
    <w:p w14:paraId="27B54631" w14:textId="77777777" w:rsidR="00DB7466" w:rsidRDefault="00DB7466" w:rsidP="00AD4EA1"/>
    <w:p w14:paraId="70529752" w14:textId="77777777" w:rsidR="00DB7466" w:rsidRDefault="00DB7466" w:rsidP="00AD4EA1"/>
    <w:p w14:paraId="2B84169B" w14:textId="77777777" w:rsidR="00DB7466" w:rsidRDefault="00DB7466" w:rsidP="00AD4EA1"/>
    <w:p w14:paraId="05640EDB" w14:textId="77777777" w:rsidR="00DB7466" w:rsidRDefault="00DB7466" w:rsidP="00AD4EA1"/>
    <w:p w14:paraId="6A9A932A" w14:textId="77777777" w:rsidR="00DB7466" w:rsidRDefault="00DB7466" w:rsidP="00AD4EA1"/>
    <w:p w14:paraId="470CA785" w14:textId="77777777" w:rsidR="00DB7466" w:rsidRDefault="00DB7466" w:rsidP="00AD4EA1"/>
    <w:p w14:paraId="4B837D6C" w14:textId="77777777" w:rsidR="00DB7466" w:rsidRDefault="00DB7466" w:rsidP="00AD4EA1"/>
    <w:p w14:paraId="0E6F657D" w14:textId="77777777" w:rsidR="00DB7466" w:rsidRDefault="00DB7466" w:rsidP="00AD4EA1"/>
    <w:p w14:paraId="62952A4D" w14:textId="77777777" w:rsidR="00DB7466" w:rsidRDefault="00DB7466" w:rsidP="00AD4EA1"/>
    <w:p w14:paraId="0F84A72A" w14:textId="77777777" w:rsidR="00DB7466" w:rsidRDefault="00DB7466" w:rsidP="00AD4EA1"/>
    <w:p w14:paraId="6F0DABE7" w14:textId="77777777" w:rsidR="00DB7466" w:rsidRDefault="00DB7466" w:rsidP="00AD4EA1"/>
    <w:p w14:paraId="7A88BF37" w14:textId="77777777" w:rsidR="00DB7466" w:rsidRDefault="00DB7466" w:rsidP="00AD4EA1"/>
    <w:p w14:paraId="6B1C9C63" w14:textId="77777777" w:rsidR="00DB7466" w:rsidRDefault="00DB7466" w:rsidP="00AD4EA1"/>
    <w:p w14:paraId="43A86219" w14:textId="77777777" w:rsidR="00DB7466" w:rsidRDefault="00DB7466" w:rsidP="00AD4EA1"/>
    <w:p w14:paraId="2DC834B9" w14:textId="77777777" w:rsidR="00DB7466" w:rsidRDefault="00DB7466" w:rsidP="00AD4EA1"/>
    <w:p w14:paraId="749B564D" w14:textId="77777777" w:rsidR="00DB7466" w:rsidRDefault="00DB7466" w:rsidP="00AD4EA1"/>
    <w:p w14:paraId="064AB18D" w14:textId="77777777" w:rsidR="00DB7466" w:rsidRDefault="00DB7466" w:rsidP="00AD4EA1"/>
    <w:p w14:paraId="7A8A1F26" w14:textId="77777777" w:rsidR="00DB7466" w:rsidRDefault="00DB7466" w:rsidP="00AD4EA1"/>
    <w:p w14:paraId="1FD9E619" w14:textId="77777777" w:rsidR="00DB7466" w:rsidRDefault="00DB7466" w:rsidP="00AD4EA1"/>
    <w:p w14:paraId="055D1923" w14:textId="77777777" w:rsidR="00DB7466" w:rsidRDefault="00DB7466" w:rsidP="00AD4EA1"/>
    <w:p w14:paraId="5F9A1533" w14:textId="77777777" w:rsidR="00DB7466" w:rsidRDefault="00DB7466" w:rsidP="00AD4EA1"/>
    <w:p w14:paraId="352C3C4A" w14:textId="77777777" w:rsidR="00DB7466" w:rsidRDefault="00DB7466" w:rsidP="00AD4EA1"/>
    <w:p w14:paraId="7D11B8E6" w14:textId="77777777" w:rsidR="00DB7466" w:rsidRDefault="00DB7466" w:rsidP="00AD4EA1"/>
    <w:p w14:paraId="2BEF3D7A" w14:textId="77777777" w:rsidR="00DB7466" w:rsidRDefault="00DB7466" w:rsidP="00AD4EA1"/>
    <w:p w14:paraId="141636C8" w14:textId="77777777" w:rsidR="00DB7466" w:rsidRDefault="00DB7466" w:rsidP="00AD4EA1"/>
    <w:p w14:paraId="334058BE" w14:textId="77777777" w:rsidR="00DB7466" w:rsidRDefault="00DB7466" w:rsidP="00AD4EA1"/>
    <w:p w14:paraId="469952CE" w14:textId="77777777" w:rsidR="00DB7466" w:rsidRDefault="00DB7466" w:rsidP="00AD4EA1"/>
    <w:p w14:paraId="030A8441" w14:textId="77777777" w:rsidR="00DB7466" w:rsidRDefault="00DB7466" w:rsidP="00AD4EA1"/>
    <w:p w14:paraId="458055CE" w14:textId="77777777" w:rsidR="00DB7466" w:rsidRDefault="00DB7466" w:rsidP="00AD4EA1"/>
    <w:p w14:paraId="67688F69" w14:textId="77777777" w:rsidR="00DB7466" w:rsidRDefault="00DB7466" w:rsidP="00AD4EA1"/>
    <w:p w14:paraId="31529C3E" w14:textId="77777777" w:rsidR="00DB7466" w:rsidRDefault="00DB7466" w:rsidP="00AD4EA1"/>
    <w:p w14:paraId="4940BBFB" w14:textId="77777777" w:rsidR="00DB7466" w:rsidRDefault="00DB7466" w:rsidP="00AD4EA1"/>
    <w:p w14:paraId="537874A2" w14:textId="77777777" w:rsidR="00DB7466" w:rsidRDefault="00DB7466" w:rsidP="00AD4EA1"/>
    <w:p w14:paraId="4F1F4CA2" w14:textId="77777777" w:rsidR="00DB7466" w:rsidRDefault="00DB7466" w:rsidP="00AD4EA1"/>
    <w:p w14:paraId="7ECBBE43" w14:textId="77777777" w:rsidR="00DB7466" w:rsidRDefault="00DB7466" w:rsidP="00AD4EA1"/>
    <w:p w14:paraId="694F0141" w14:textId="77777777" w:rsidR="00DB7466" w:rsidRDefault="00DB7466" w:rsidP="00AD4EA1"/>
    <w:p w14:paraId="16F010A1" w14:textId="77777777" w:rsidR="00DB7466" w:rsidRDefault="00DB7466" w:rsidP="00AD4EA1"/>
    <w:p w14:paraId="12BAA730" w14:textId="77777777" w:rsidR="00DB7466" w:rsidRDefault="00DB7466" w:rsidP="00AD4EA1"/>
    <w:p w14:paraId="1DACA6D8" w14:textId="77777777" w:rsidR="00DB7466" w:rsidRDefault="00DB7466" w:rsidP="00AD4EA1"/>
    <w:p w14:paraId="03896E1C" w14:textId="77777777" w:rsidR="00DB7466" w:rsidRDefault="00DB7466" w:rsidP="00AD4EA1"/>
    <w:p w14:paraId="4A51E025" w14:textId="77777777" w:rsidR="00DB7466" w:rsidRDefault="00DB7466" w:rsidP="00AD4EA1"/>
    <w:p w14:paraId="4210B938" w14:textId="77777777" w:rsidR="00DB7466" w:rsidRDefault="00DB7466" w:rsidP="00AD4EA1"/>
    <w:p w14:paraId="169E61A7" w14:textId="77777777" w:rsidR="00DB7466" w:rsidRDefault="00DB7466" w:rsidP="00AD4EA1"/>
    <w:p w14:paraId="55150202" w14:textId="77777777" w:rsidR="00DB7466" w:rsidRDefault="00DB7466" w:rsidP="00AD4EA1"/>
    <w:p w14:paraId="21FAE55D" w14:textId="77777777" w:rsidR="00DB7466" w:rsidRDefault="00DB7466" w:rsidP="00AD4EA1"/>
    <w:p w14:paraId="313DE412" w14:textId="77777777" w:rsidR="00DB7466" w:rsidRDefault="00DB7466" w:rsidP="00AD4EA1"/>
    <w:p w14:paraId="2E6364BA" w14:textId="77777777" w:rsidR="00DB7466" w:rsidRDefault="00DB7466" w:rsidP="00AD4EA1"/>
    <w:p w14:paraId="361BF369" w14:textId="77777777" w:rsidR="00DB7466" w:rsidRDefault="00DB7466" w:rsidP="00AD4EA1"/>
    <w:p w14:paraId="6955D3B1" w14:textId="77777777" w:rsidR="00DB7466" w:rsidRDefault="00DB7466" w:rsidP="00AD4EA1"/>
    <w:p w14:paraId="1CA71142" w14:textId="77777777" w:rsidR="00DB7466" w:rsidRDefault="00DB7466" w:rsidP="00AD4EA1"/>
    <w:p w14:paraId="504DD04A" w14:textId="77777777" w:rsidR="00DB7466" w:rsidRDefault="00DB7466" w:rsidP="00AD4EA1"/>
    <w:p w14:paraId="543C9361" w14:textId="77777777" w:rsidR="00DB7466" w:rsidRDefault="00DB7466" w:rsidP="00AD4EA1"/>
    <w:p w14:paraId="32EECAAE" w14:textId="77777777" w:rsidR="00DB7466" w:rsidRDefault="00DB7466" w:rsidP="00AD4EA1"/>
    <w:p w14:paraId="0DE231E8" w14:textId="77777777" w:rsidR="00DB7466" w:rsidRDefault="00DB7466" w:rsidP="00AD4EA1"/>
    <w:p w14:paraId="39A149B4" w14:textId="77777777" w:rsidR="00DB7466" w:rsidRDefault="00DB7466" w:rsidP="00AD4EA1"/>
    <w:p w14:paraId="7B954F9C" w14:textId="77777777" w:rsidR="00DB7466" w:rsidRDefault="00DB7466" w:rsidP="00AD4EA1"/>
    <w:p w14:paraId="2A1C0FFB" w14:textId="77777777" w:rsidR="00DB7466" w:rsidRDefault="00DB7466" w:rsidP="00AD4EA1"/>
    <w:p w14:paraId="119DD0DA" w14:textId="77777777" w:rsidR="00DB7466" w:rsidRDefault="00DB7466" w:rsidP="00AD4EA1"/>
    <w:p w14:paraId="6E61E54D" w14:textId="77777777" w:rsidR="00DB7466" w:rsidRDefault="00DB7466" w:rsidP="00AD4EA1"/>
    <w:p w14:paraId="3CA6BE53" w14:textId="77777777" w:rsidR="00DB7466" w:rsidRDefault="00DB7466" w:rsidP="00AD4EA1"/>
    <w:p w14:paraId="63E039A9" w14:textId="77777777" w:rsidR="00DB7466" w:rsidRDefault="00DB7466" w:rsidP="00AD4EA1"/>
    <w:p w14:paraId="2C10FB7C" w14:textId="77777777" w:rsidR="00DB7466" w:rsidRDefault="00DB7466" w:rsidP="00AD4EA1"/>
    <w:p w14:paraId="228C9DE3" w14:textId="77777777" w:rsidR="00DB7466" w:rsidRDefault="00DB7466" w:rsidP="00AD4EA1"/>
    <w:p w14:paraId="0791DF24" w14:textId="77777777" w:rsidR="00DB7466" w:rsidRDefault="00DB7466" w:rsidP="00AD4EA1"/>
    <w:p w14:paraId="022A1B1C" w14:textId="77777777" w:rsidR="00DB7466" w:rsidRDefault="00DB7466" w:rsidP="00AD4EA1"/>
    <w:p w14:paraId="245EA909" w14:textId="77777777" w:rsidR="00DB7466" w:rsidRDefault="00DB7466" w:rsidP="00AD4EA1"/>
    <w:p w14:paraId="5E878A06" w14:textId="77777777" w:rsidR="00DB7466" w:rsidRDefault="00DB7466" w:rsidP="00AD4EA1"/>
    <w:p w14:paraId="10C6EB2A" w14:textId="77777777" w:rsidR="00DB7466" w:rsidRDefault="00DB7466" w:rsidP="00AD4EA1"/>
    <w:p w14:paraId="3A385BB6" w14:textId="77777777" w:rsidR="00DB7466" w:rsidRDefault="00DB7466" w:rsidP="00AD4EA1"/>
    <w:p w14:paraId="1F232A76" w14:textId="77777777" w:rsidR="00DB7466" w:rsidRDefault="00DB7466" w:rsidP="00AD4EA1"/>
    <w:p w14:paraId="2320C670" w14:textId="77777777" w:rsidR="00DB7466" w:rsidRDefault="00DB7466" w:rsidP="00AD4EA1"/>
    <w:p w14:paraId="3B697ACC" w14:textId="77777777" w:rsidR="00DB7466" w:rsidRDefault="00DB7466" w:rsidP="00AD4EA1"/>
    <w:p w14:paraId="5898C238" w14:textId="77777777" w:rsidR="00DB7466" w:rsidRDefault="00DB7466" w:rsidP="00AD4EA1"/>
    <w:p w14:paraId="775FBD93" w14:textId="77777777" w:rsidR="00DB7466" w:rsidRDefault="00DB7466" w:rsidP="00AD4EA1"/>
    <w:p w14:paraId="2EF8AB70" w14:textId="77777777" w:rsidR="00DB7466" w:rsidRDefault="00DB7466" w:rsidP="00AD4EA1"/>
    <w:p w14:paraId="14D5A50F" w14:textId="77777777" w:rsidR="00DB7466" w:rsidRDefault="00DB7466" w:rsidP="00AD4EA1"/>
    <w:p w14:paraId="6329DADB" w14:textId="77777777" w:rsidR="00DB7466" w:rsidRDefault="00DB7466" w:rsidP="00AD4EA1"/>
    <w:p w14:paraId="57BDFC6B" w14:textId="77777777" w:rsidR="00DB7466" w:rsidRDefault="00DB7466" w:rsidP="00AD4EA1"/>
    <w:p w14:paraId="2E896E30" w14:textId="77777777" w:rsidR="00DB7466" w:rsidRDefault="00DB7466" w:rsidP="00AD4EA1"/>
    <w:p w14:paraId="6954EEB1" w14:textId="77777777" w:rsidR="00DB7466" w:rsidRDefault="00DB7466" w:rsidP="00AD4EA1"/>
    <w:p w14:paraId="7A55F289" w14:textId="77777777" w:rsidR="00DB7466" w:rsidRDefault="00DB7466" w:rsidP="00AD4EA1"/>
    <w:p w14:paraId="4E4663BC" w14:textId="77777777" w:rsidR="00DB7466" w:rsidRDefault="00DB7466" w:rsidP="00AD4EA1"/>
    <w:p w14:paraId="7D6D07C6" w14:textId="77777777" w:rsidR="00DB7466" w:rsidRDefault="00DB7466" w:rsidP="00AD4EA1"/>
    <w:p w14:paraId="5AD02705" w14:textId="77777777" w:rsidR="00DB7466" w:rsidRDefault="00DB7466" w:rsidP="00AD4EA1"/>
    <w:p w14:paraId="7E75E0D3" w14:textId="77777777" w:rsidR="00DB7466" w:rsidRDefault="00DB7466" w:rsidP="00AD4EA1"/>
    <w:p w14:paraId="0B3F0215" w14:textId="77777777" w:rsidR="00DB7466" w:rsidRDefault="00DB7466" w:rsidP="00AD4EA1"/>
    <w:p w14:paraId="0B3F83D3" w14:textId="77777777" w:rsidR="00DB7466" w:rsidRDefault="00DB7466" w:rsidP="00AD4EA1"/>
    <w:p w14:paraId="1EB0DEDE" w14:textId="77777777" w:rsidR="00DB7466" w:rsidRDefault="00DB7466" w:rsidP="00AD4EA1"/>
    <w:p w14:paraId="02629A62" w14:textId="77777777" w:rsidR="00DB7466" w:rsidRDefault="00DB7466" w:rsidP="00AD4EA1"/>
    <w:p w14:paraId="1BC949C4" w14:textId="77777777" w:rsidR="00DB7466" w:rsidRDefault="00DB7466" w:rsidP="00AD4EA1"/>
    <w:p w14:paraId="141FA579" w14:textId="77777777" w:rsidR="00DB7466" w:rsidRDefault="00DB7466" w:rsidP="00AD4EA1"/>
    <w:p w14:paraId="1D1BBF18" w14:textId="77777777" w:rsidR="00DB7466" w:rsidRDefault="00DB7466" w:rsidP="00AD4EA1"/>
    <w:p w14:paraId="4C7EAEAB" w14:textId="77777777" w:rsidR="00DB7466" w:rsidRDefault="00DB7466" w:rsidP="00AD4EA1"/>
    <w:p w14:paraId="32FFC3BE" w14:textId="77777777" w:rsidR="00DB7466" w:rsidRDefault="00DB7466" w:rsidP="00AD4EA1"/>
    <w:p w14:paraId="19051FE6" w14:textId="77777777" w:rsidR="00DB7466" w:rsidRDefault="00DB7466" w:rsidP="00AD4EA1"/>
    <w:p w14:paraId="74A58628" w14:textId="77777777" w:rsidR="00DB7466" w:rsidRDefault="00DB7466" w:rsidP="00AD4EA1"/>
    <w:p w14:paraId="0D1890F0" w14:textId="77777777" w:rsidR="00DB7466" w:rsidRDefault="00DB7466" w:rsidP="00AD4EA1"/>
    <w:p w14:paraId="027D09F4" w14:textId="77777777" w:rsidR="00DB7466" w:rsidRDefault="00DB7466" w:rsidP="00AD4EA1"/>
    <w:p w14:paraId="11F3830D" w14:textId="77777777" w:rsidR="00DB7466" w:rsidRDefault="00DB7466" w:rsidP="00AD4EA1"/>
    <w:p w14:paraId="45F7400C" w14:textId="77777777" w:rsidR="00DB7466" w:rsidRDefault="00DB7466" w:rsidP="00AD4EA1"/>
    <w:p w14:paraId="3960F14A" w14:textId="77777777" w:rsidR="00DB7466" w:rsidRDefault="00DB7466" w:rsidP="00AD4EA1"/>
    <w:p w14:paraId="5715710F" w14:textId="77777777" w:rsidR="00DB7466" w:rsidRDefault="00DB7466" w:rsidP="00AD4EA1"/>
    <w:p w14:paraId="6C9F29BC" w14:textId="77777777" w:rsidR="00DB7466" w:rsidRDefault="00DB7466" w:rsidP="00AD4EA1"/>
    <w:p w14:paraId="3110F09B" w14:textId="77777777" w:rsidR="00DB7466" w:rsidRDefault="00DB7466" w:rsidP="00AD4EA1"/>
    <w:p w14:paraId="71EB45F1" w14:textId="77777777" w:rsidR="00DB7466" w:rsidRDefault="00DB7466" w:rsidP="00AD4EA1"/>
    <w:p w14:paraId="69E7345F" w14:textId="77777777" w:rsidR="00DB7466" w:rsidRDefault="00DB7466" w:rsidP="00AD4EA1"/>
    <w:p w14:paraId="65D10A3C" w14:textId="77777777" w:rsidR="00DB7466" w:rsidRDefault="00DB7466" w:rsidP="00AD4EA1"/>
    <w:p w14:paraId="1F8284F4" w14:textId="77777777" w:rsidR="00DB7466" w:rsidRDefault="00DB7466" w:rsidP="00AD4EA1"/>
    <w:p w14:paraId="6D33405B" w14:textId="77777777" w:rsidR="00DB7466" w:rsidRDefault="00DB7466" w:rsidP="00AD4EA1"/>
    <w:p w14:paraId="6238DA58" w14:textId="77777777" w:rsidR="00DB7466" w:rsidRDefault="00DB7466" w:rsidP="00AD4EA1"/>
    <w:p w14:paraId="3A1D4267" w14:textId="77777777" w:rsidR="00DB7466" w:rsidRDefault="00DB7466" w:rsidP="00AD4EA1"/>
    <w:p w14:paraId="0F893A7E" w14:textId="77777777" w:rsidR="00DB7466" w:rsidRDefault="00DB7466" w:rsidP="00AD4EA1"/>
    <w:p w14:paraId="1E95BBC8" w14:textId="77777777" w:rsidR="00DB7466" w:rsidRDefault="00DB7466" w:rsidP="00AD4EA1"/>
    <w:p w14:paraId="7151B07C" w14:textId="77777777" w:rsidR="00DB7466" w:rsidRDefault="00DB7466" w:rsidP="00AD4EA1"/>
    <w:p w14:paraId="65EC742A" w14:textId="77777777" w:rsidR="00DB7466" w:rsidRDefault="00DB7466" w:rsidP="00AD4EA1"/>
    <w:p w14:paraId="3B31577C" w14:textId="77777777" w:rsidR="00DB7466" w:rsidRDefault="00DB7466" w:rsidP="00AD4EA1"/>
    <w:p w14:paraId="6EF5FCEC" w14:textId="77777777" w:rsidR="00DB7466" w:rsidRDefault="00DB7466" w:rsidP="00AD4EA1"/>
    <w:p w14:paraId="6DF4D182" w14:textId="77777777" w:rsidR="00DB7466" w:rsidRDefault="00DB7466" w:rsidP="00AD4EA1"/>
    <w:p w14:paraId="64165818" w14:textId="77777777" w:rsidR="00DB7466" w:rsidRDefault="00DB7466" w:rsidP="00AD4EA1"/>
    <w:p w14:paraId="483E71E7" w14:textId="77777777" w:rsidR="00DB7466" w:rsidRDefault="00DB7466" w:rsidP="00AD4EA1"/>
    <w:p w14:paraId="1EA474F3" w14:textId="77777777" w:rsidR="00DB7466" w:rsidRDefault="00DB7466" w:rsidP="00AD4EA1"/>
    <w:p w14:paraId="26275370" w14:textId="77777777" w:rsidR="00DB7466" w:rsidRDefault="00DB7466" w:rsidP="00AD4EA1"/>
    <w:p w14:paraId="4DB8BC44" w14:textId="77777777" w:rsidR="00DB7466" w:rsidRDefault="00DB7466" w:rsidP="00AD4EA1"/>
    <w:p w14:paraId="431B489B" w14:textId="77777777" w:rsidR="00DB7466" w:rsidRDefault="00DB7466" w:rsidP="00AD4EA1"/>
    <w:p w14:paraId="08BD3C3A" w14:textId="77777777" w:rsidR="00DB7466" w:rsidRDefault="00DB7466" w:rsidP="00AD4EA1"/>
    <w:p w14:paraId="5EBC2F58" w14:textId="77777777" w:rsidR="00DB7466" w:rsidRDefault="00DB7466" w:rsidP="00AD4EA1"/>
    <w:p w14:paraId="74713E99" w14:textId="77777777" w:rsidR="00DB7466" w:rsidRDefault="00DB7466" w:rsidP="00AD4EA1"/>
    <w:p w14:paraId="377B688C" w14:textId="77777777" w:rsidR="00DB7466" w:rsidRDefault="00DB7466" w:rsidP="00AD4EA1"/>
    <w:p w14:paraId="14668B2B" w14:textId="77777777" w:rsidR="00DB7466" w:rsidRDefault="00DB7466" w:rsidP="00AD4EA1"/>
    <w:p w14:paraId="3CF5AEF6" w14:textId="77777777" w:rsidR="00DB7466" w:rsidRDefault="00DB7466" w:rsidP="00AD4EA1"/>
    <w:p w14:paraId="3845F201" w14:textId="77777777" w:rsidR="00DB7466" w:rsidRDefault="00DB7466" w:rsidP="00AD4EA1"/>
    <w:p w14:paraId="6E61D3A5" w14:textId="77777777" w:rsidR="00DB7466" w:rsidRDefault="00DB7466" w:rsidP="00AD4EA1"/>
    <w:p w14:paraId="3A01657E" w14:textId="77777777" w:rsidR="00DB7466" w:rsidRDefault="00DB7466" w:rsidP="00AD4EA1"/>
    <w:p w14:paraId="629F52AF" w14:textId="77777777" w:rsidR="00DB7466" w:rsidRDefault="00DB7466" w:rsidP="00AD4EA1"/>
    <w:p w14:paraId="15340175" w14:textId="77777777" w:rsidR="00DB7466" w:rsidRDefault="00DB7466" w:rsidP="00AD4EA1"/>
    <w:p w14:paraId="07289EFA" w14:textId="77777777" w:rsidR="00DB7466" w:rsidRDefault="00DB7466" w:rsidP="00AD4EA1"/>
    <w:p w14:paraId="3C679C83" w14:textId="77777777" w:rsidR="00DB7466" w:rsidRDefault="00DB7466" w:rsidP="00AD4EA1"/>
    <w:p w14:paraId="6DEC1033" w14:textId="77777777" w:rsidR="00DB7466" w:rsidRDefault="00DB7466" w:rsidP="00AD4EA1"/>
    <w:p w14:paraId="143660BA" w14:textId="77777777" w:rsidR="00DB7466" w:rsidRDefault="00DB7466" w:rsidP="00AD4EA1"/>
    <w:p w14:paraId="05297E24" w14:textId="77777777" w:rsidR="00DB7466" w:rsidRDefault="00DB7466" w:rsidP="00AD4EA1"/>
    <w:p w14:paraId="23D8D1E5" w14:textId="77777777" w:rsidR="00DB7466" w:rsidRDefault="00DB7466" w:rsidP="00AD4EA1"/>
    <w:p w14:paraId="4FF8F51D" w14:textId="77777777" w:rsidR="00DB7466" w:rsidRDefault="00DB7466" w:rsidP="00AD4EA1"/>
    <w:p w14:paraId="1CE038D9" w14:textId="77777777" w:rsidR="00DB7466" w:rsidRDefault="00DB7466" w:rsidP="00AD4EA1"/>
    <w:p w14:paraId="60F1921B" w14:textId="77777777" w:rsidR="00DB7466" w:rsidRDefault="00DB7466" w:rsidP="00AD4EA1"/>
    <w:p w14:paraId="2E7EF545" w14:textId="77777777" w:rsidR="00DB7466" w:rsidRDefault="00DB7466" w:rsidP="00AD4EA1"/>
    <w:p w14:paraId="57941B47" w14:textId="77777777" w:rsidR="00DB7466" w:rsidRDefault="00DB7466" w:rsidP="00AD4EA1"/>
    <w:p w14:paraId="67E74A02" w14:textId="77777777" w:rsidR="00DB7466" w:rsidRDefault="00DB7466" w:rsidP="00AD4EA1"/>
    <w:p w14:paraId="2F0F190D" w14:textId="77777777" w:rsidR="00DB7466" w:rsidRDefault="00DB7466" w:rsidP="00AD4EA1"/>
    <w:p w14:paraId="7140D7E5" w14:textId="77777777" w:rsidR="00DB7466" w:rsidRDefault="00DB7466" w:rsidP="00AD4EA1"/>
    <w:p w14:paraId="5FA753AA" w14:textId="77777777" w:rsidR="00DB7466" w:rsidRDefault="00DB7466" w:rsidP="00AD4EA1"/>
    <w:p w14:paraId="31419B1E" w14:textId="77777777" w:rsidR="00DB7466" w:rsidRDefault="00DB7466" w:rsidP="00AD4EA1"/>
    <w:p w14:paraId="3CE89921" w14:textId="77777777" w:rsidR="00DB7466" w:rsidRDefault="00DB7466" w:rsidP="00AD4EA1"/>
    <w:p w14:paraId="4247488D" w14:textId="77777777" w:rsidR="00DB7466" w:rsidRDefault="00DB7466" w:rsidP="00AD4EA1"/>
    <w:p w14:paraId="43B72097" w14:textId="77777777" w:rsidR="00DB7466" w:rsidRDefault="00DB7466" w:rsidP="00AD4EA1"/>
    <w:p w14:paraId="636A12C0" w14:textId="77777777" w:rsidR="00DB7466" w:rsidRDefault="00DB7466" w:rsidP="00AD4EA1"/>
    <w:p w14:paraId="775E3E0B" w14:textId="77777777" w:rsidR="00DB7466" w:rsidRDefault="00DB7466" w:rsidP="00AD4EA1"/>
    <w:p w14:paraId="757F1438" w14:textId="77777777" w:rsidR="00DB7466" w:rsidRDefault="00DB7466" w:rsidP="00AD4EA1"/>
    <w:p w14:paraId="27379BA9" w14:textId="77777777" w:rsidR="00DB7466" w:rsidRDefault="00DB7466" w:rsidP="00AD4EA1"/>
    <w:p w14:paraId="1B5B6ADA" w14:textId="77777777" w:rsidR="00DB7466" w:rsidRDefault="00DB7466" w:rsidP="00AD4EA1"/>
    <w:p w14:paraId="1D1EF97A" w14:textId="77777777" w:rsidR="00DB7466" w:rsidRDefault="00DB7466" w:rsidP="00AD4EA1"/>
    <w:p w14:paraId="48556D59" w14:textId="77777777" w:rsidR="00DB7466" w:rsidRDefault="00DB7466" w:rsidP="00AD4EA1"/>
    <w:p w14:paraId="1050D9BC" w14:textId="77777777" w:rsidR="00DB7466" w:rsidRDefault="00DB7466" w:rsidP="00AD4EA1"/>
    <w:p w14:paraId="08BDB214" w14:textId="77777777" w:rsidR="00DB7466" w:rsidRDefault="00DB7466" w:rsidP="00AD4EA1"/>
    <w:p w14:paraId="70656641" w14:textId="77777777" w:rsidR="00DB7466" w:rsidRDefault="00DB7466" w:rsidP="00AD4EA1"/>
    <w:p w14:paraId="7D10C644" w14:textId="77777777" w:rsidR="00DB7466" w:rsidRDefault="00DB7466" w:rsidP="00AD4EA1"/>
    <w:p w14:paraId="07932C3F" w14:textId="77777777" w:rsidR="00DB7466" w:rsidRDefault="00DB7466" w:rsidP="00AD4EA1"/>
    <w:p w14:paraId="34152502" w14:textId="77777777" w:rsidR="00DB7466" w:rsidRDefault="00DB7466" w:rsidP="00AD4EA1"/>
    <w:p w14:paraId="2A399971" w14:textId="77777777" w:rsidR="00DB7466" w:rsidRDefault="00DB7466" w:rsidP="00AD4EA1"/>
    <w:p w14:paraId="7EC0441C" w14:textId="77777777" w:rsidR="00DB7466" w:rsidRDefault="00DB7466" w:rsidP="00AD4EA1"/>
    <w:p w14:paraId="3101F1FD" w14:textId="77777777" w:rsidR="00DB7466" w:rsidRDefault="00DB7466" w:rsidP="00AD4EA1"/>
    <w:p w14:paraId="32AD4EA7" w14:textId="77777777" w:rsidR="00DB7466" w:rsidRDefault="00DB7466" w:rsidP="00AD4EA1"/>
    <w:p w14:paraId="3DAF2B0B" w14:textId="77777777" w:rsidR="00DB7466" w:rsidRDefault="00DB7466" w:rsidP="00AD4EA1"/>
    <w:p w14:paraId="04131EB0" w14:textId="77777777" w:rsidR="00DB7466" w:rsidRDefault="00DB7466" w:rsidP="00AD4EA1"/>
    <w:p w14:paraId="6C8D09AC" w14:textId="77777777" w:rsidR="00DB7466" w:rsidRDefault="00DB7466" w:rsidP="00AD4EA1"/>
    <w:p w14:paraId="79B8ED1D" w14:textId="77777777" w:rsidR="00DB7466" w:rsidRDefault="00DB7466" w:rsidP="00AD4EA1"/>
    <w:p w14:paraId="466D6573" w14:textId="77777777" w:rsidR="00DB7466" w:rsidRDefault="00DB7466" w:rsidP="00AD4EA1"/>
    <w:p w14:paraId="6DD9C69D" w14:textId="77777777" w:rsidR="00DB7466" w:rsidRDefault="00DB7466" w:rsidP="00AD4EA1"/>
    <w:p w14:paraId="56A56D12" w14:textId="77777777" w:rsidR="00DB7466" w:rsidRDefault="00DB7466" w:rsidP="00AD4EA1"/>
    <w:p w14:paraId="23562515" w14:textId="77777777" w:rsidR="00DB7466" w:rsidRDefault="00DB7466" w:rsidP="00AD4EA1"/>
    <w:p w14:paraId="3AD94C6E" w14:textId="77777777" w:rsidR="00DB7466" w:rsidRDefault="00DB7466" w:rsidP="00AD4EA1"/>
    <w:p w14:paraId="3D55DB79" w14:textId="77777777" w:rsidR="00DB7466" w:rsidRDefault="00DB7466" w:rsidP="00AD4EA1"/>
    <w:p w14:paraId="21D17DB0" w14:textId="77777777" w:rsidR="00DB7466" w:rsidRDefault="00DB7466" w:rsidP="00AD4EA1"/>
    <w:p w14:paraId="7CCF7C69" w14:textId="77777777" w:rsidR="00DB7466" w:rsidRDefault="00DB7466" w:rsidP="00AD4EA1"/>
    <w:p w14:paraId="3EE4C02E" w14:textId="77777777" w:rsidR="00DB7466" w:rsidRDefault="00DB7466" w:rsidP="00AD4EA1"/>
    <w:p w14:paraId="68AD7E40" w14:textId="77777777" w:rsidR="00DB7466" w:rsidRDefault="00DB7466" w:rsidP="00AD4EA1"/>
    <w:p w14:paraId="62D13969" w14:textId="77777777" w:rsidR="00DB7466" w:rsidRDefault="00DB7466" w:rsidP="00AD4EA1"/>
    <w:p w14:paraId="0F945B06" w14:textId="77777777" w:rsidR="00DB7466" w:rsidRDefault="00DB7466" w:rsidP="00AD4EA1"/>
    <w:p w14:paraId="49749B8B" w14:textId="77777777" w:rsidR="00DB7466" w:rsidRDefault="00DB7466" w:rsidP="00AD4EA1"/>
    <w:p w14:paraId="197FFD56" w14:textId="77777777" w:rsidR="00DB7466" w:rsidRDefault="00DB7466" w:rsidP="00AD4EA1"/>
    <w:p w14:paraId="5E269DEA" w14:textId="77777777" w:rsidR="00DB7466" w:rsidRDefault="00DB7466" w:rsidP="00AD4EA1"/>
    <w:p w14:paraId="0A84F367" w14:textId="77777777" w:rsidR="00DB7466" w:rsidRDefault="00DB7466" w:rsidP="00AD4EA1"/>
    <w:p w14:paraId="297A5E48" w14:textId="77777777" w:rsidR="00DB7466" w:rsidRDefault="00DB7466" w:rsidP="00AD4EA1"/>
    <w:p w14:paraId="567FBBE8" w14:textId="77777777" w:rsidR="00DB7466" w:rsidRDefault="00DB7466" w:rsidP="00AD4EA1"/>
    <w:p w14:paraId="7D58A59E" w14:textId="77777777" w:rsidR="00DB7466" w:rsidRDefault="00DB7466" w:rsidP="00AD4EA1"/>
    <w:p w14:paraId="4CD6A5A5" w14:textId="77777777" w:rsidR="00DB7466" w:rsidRDefault="00DB7466" w:rsidP="00AD4EA1"/>
    <w:p w14:paraId="619D7F89" w14:textId="77777777" w:rsidR="00DB7466" w:rsidRDefault="00DB7466" w:rsidP="00AD4EA1"/>
    <w:p w14:paraId="72328761" w14:textId="77777777" w:rsidR="00DB7466" w:rsidRDefault="00DB7466" w:rsidP="00AD4EA1"/>
    <w:p w14:paraId="17808190" w14:textId="77777777" w:rsidR="00DB7466" w:rsidRDefault="00DB7466" w:rsidP="00AD4EA1"/>
    <w:p w14:paraId="37F72563" w14:textId="77777777" w:rsidR="00DB7466" w:rsidRDefault="00DB7466" w:rsidP="00AD4EA1"/>
    <w:p w14:paraId="1F622A06" w14:textId="77777777" w:rsidR="00DB7466" w:rsidRDefault="00DB7466" w:rsidP="00AD4EA1"/>
    <w:p w14:paraId="13F2E09B" w14:textId="77777777" w:rsidR="00DB7466" w:rsidRDefault="00DB7466" w:rsidP="00AD4EA1"/>
    <w:p w14:paraId="679F452A" w14:textId="77777777" w:rsidR="00DB7466" w:rsidRDefault="00DB7466" w:rsidP="00AD4EA1"/>
    <w:p w14:paraId="642D5890" w14:textId="77777777" w:rsidR="00DB7466" w:rsidRDefault="00DB7466" w:rsidP="00AD4EA1"/>
    <w:p w14:paraId="3AAB7344" w14:textId="77777777" w:rsidR="00DB7466" w:rsidRDefault="00DB7466" w:rsidP="00AD4EA1"/>
    <w:p w14:paraId="5E71C135" w14:textId="77777777" w:rsidR="00DB7466" w:rsidRDefault="00DB7466" w:rsidP="00AD4EA1"/>
    <w:p w14:paraId="4D0DEF5C" w14:textId="77777777" w:rsidR="00DB7466" w:rsidRDefault="00DB7466" w:rsidP="00AD4EA1"/>
    <w:p w14:paraId="2AA485D9" w14:textId="77777777" w:rsidR="00DB7466" w:rsidRDefault="00DB7466" w:rsidP="00AD4EA1"/>
    <w:p w14:paraId="04AF9F1E" w14:textId="77777777" w:rsidR="00DB7466" w:rsidRDefault="00DB7466" w:rsidP="00AD4EA1"/>
    <w:p w14:paraId="6077E7BC" w14:textId="77777777" w:rsidR="00DB7466" w:rsidRDefault="00DB7466" w:rsidP="00AD4EA1"/>
    <w:p w14:paraId="73020D15" w14:textId="77777777" w:rsidR="00DB7466" w:rsidRDefault="00DB7466" w:rsidP="00AD4EA1"/>
    <w:p w14:paraId="30BCCD26" w14:textId="77777777" w:rsidR="00DB7466" w:rsidRDefault="00DB7466" w:rsidP="00AD4EA1"/>
    <w:p w14:paraId="561701A5" w14:textId="77777777" w:rsidR="00DB7466" w:rsidRDefault="00DB7466" w:rsidP="00AD4EA1"/>
    <w:p w14:paraId="4BA704C9" w14:textId="77777777" w:rsidR="00DB7466" w:rsidRDefault="00DB7466" w:rsidP="00AD4EA1"/>
    <w:p w14:paraId="616F77CC" w14:textId="77777777" w:rsidR="00DB7466" w:rsidRDefault="00DB7466" w:rsidP="00CD4DEC"/>
    <w:p w14:paraId="0C53B2B7" w14:textId="77777777" w:rsidR="00DB7466" w:rsidRDefault="00DB7466" w:rsidP="002C583C"/>
    <w:p w14:paraId="01FBD5A6" w14:textId="77777777" w:rsidR="00DB7466" w:rsidRDefault="00DB7466" w:rsidP="002C583C"/>
    <w:p w14:paraId="353FF980" w14:textId="77777777" w:rsidR="00DB7466" w:rsidRDefault="00DB7466" w:rsidP="006208C5"/>
    <w:p w14:paraId="7253862E" w14:textId="77777777" w:rsidR="00DB7466" w:rsidRDefault="00DB7466" w:rsidP="006208C5"/>
    <w:p w14:paraId="094F8C06" w14:textId="77777777" w:rsidR="00DB7466" w:rsidRDefault="00DB7466" w:rsidP="003E60B3"/>
    <w:p w14:paraId="4BBB78A7" w14:textId="77777777" w:rsidR="00DB7466" w:rsidRDefault="00DB7466" w:rsidP="003E60B3"/>
    <w:p w14:paraId="72107A87" w14:textId="77777777" w:rsidR="00DB7466" w:rsidRDefault="00DB7466" w:rsidP="00C7542B"/>
    <w:p w14:paraId="7D398167" w14:textId="77777777" w:rsidR="00DB7466" w:rsidRDefault="00DB7466" w:rsidP="00C7542B"/>
    <w:p w14:paraId="22265012" w14:textId="77777777" w:rsidR="00DB7466" w:rsidRDefault="00DB7466" w:rsidP="00C7542B"/>
    <w:p w14:paraId="32DA7B90" w14:textId="77777777" w:rsidR="00DB7466" w:rsidRDefault="00DB7466" w:rsidP="00C7542B"/>
    <w:p w14:paraId="02C2FF8F" w14:textId="77777777" w:rsidR="00DB7466" w:rsidRDefault="00DB7466" w:rsidP="00C7542B"/>
    <w:p w14:paraId="0DD2C5ED" w14:textId="77777777" w:rsidR="00DB7466" w:rsidRDefault="00DB7466" w:rsidP="00C7542B"/>
    <w:p w14:paraId="69FFD8AF" w14:textId="77777777" w:rsidR="00DB7466" w:rsidRDefault="00DB7466" w:rsidP="00E668AB"/>
    <w:p w14:paraId="17289C46" w14:textId="77777777" w:rsidR="00DB7466" w:rsidRDefault="00DB7466" w:rsidP="002E2DD5"/>
    <w:p w14:paraId="0BFFF616" w14:textId="77777777" w:rsidR="00DB7466" w:rsidRDefault="00DB7466" w:rsidP="00F34FE7"/>
    <w:p w14:paraId="7590567F" w14:textId="77777777" w:rsidR="00DB7466" w:rsidRDefault="00DB7466" w:rsidP="00987D5A"/>
    <w:p w14:paraId="3D53424B" w14:textId="77777777" w:rsidR="00DB7466" w:rsidRDefault="00DB7466" w:rsidP="00987D5A"/>
    <w:p w14:paraId="3E231056" w14:textId="77777777" w:rsidR="00DB7466" w:rsidRDefault="00DB7466" w:rsidP="00DA3815"/>
    <w:p w14:paraId="62368BF5" w14:textId="77777777" w:rsidR="00DB7466" w:rsidRDefault="00DB7466" w:rsidP="00BE5921"/>
    <w:p w14:paraId="61A4123D" w14:textId="77777777" w:rsidR="00DB7466" w:rsidRDefault="00DB7466" w:rsidP="00BA65A1"/>
    <w:p w14:paraId="6E5C9F00" w14:textId="77777777" w:rsidR="00DB7466" w:rsidRDefault="00DB7466" w:rsidP="00BA65A1"/>
    <w:p w14:paraId="724CB1F7" w14:textId="77777777" w:rsidR="00DB7466" w:rsidRDefault="00DB7466" w:rsidP="00BA65A1"/>
    <w:p w14:paraId="03545163" w14:textId="77777777" w:rsidR="00DB7466" w:rsidRDefault="00DB7466" w:rsidP="00E972D0"/>
    <w:p w14:paraId="54C2F1CB" w14:textId="77777777" w:rsidR="00DB7466" w:rsidRDefault="00DB7466" w:rsidP="00EA4A6E"/>
    <w:p w14:paraId="55C2E6BE" w14:textId="77777777" w:rsidR="00DB7466" w:rsidRDefault="00DB7466" w:rsidP="00B206BE"/>
    <w:p w14:paraId="311AEA61" w14:textId="77777777" w:rsidR="00DB7466" w:rsidRDefault="00DB7466" w:rsidP="006D36B9"/>
    <w:p w14:paraId="709E5F88" w14:textId="77777777" w:rsidR="00DB7466" w:rsidRDefault="00DB7466" w:rsidP="006D36B9"/>
    <w:p w14:paraId="06C3CB83" w14:textId="77777777" w:rsidR="00DB7466" w:rsidRDefault="00DB7466" w:rsidP="006D36B9"/>
    <w:p w14:paraId="206311AC" w14:textId="77777777" w:rsidR="00DB7466" w:rsidRDefault="00DB7466" w:rsidP="006D36B9"/>
    <w:p w14:paraId="13A9A5FD" w14:textId="77777777" w:rsidR="00DB7466" w:rsidRDefault="00DB7466" w:rsidP="006D36B9"/>
    <w:p w14:paraId="6E519EB8" w14:textId="77777777" w:rsidR="00DB7466" w:rsidRDefault="00DB7466" w:rsidP="006D36B9"/>
    <w:p w14:paraId="4C42E171" w14:textId="77777777" w:rsidR="00DB7466" w:rsidRDefault="00DB7466" w:rsidP="00EA23F1"/>
    <w:p w14:paraId="3CCF9BC5" w14:textId="77777777" w:rsidR="00DB7466" w:rsidRDefault="00DB7466"/>
    <w:p w14:paraId="0397A7BE" w14:textId="77777777" w:rsidR="00DB7466" w:rsidRDefault="00DB7466" w:rsidP="00AC6278"/>
    <w:p w14:paraId="6C0AC8F6" w14:textId="77777777" w:rsidR="00DB7466" w:rsidRDefault="00DB7466" w:rsidP="000F7EB3"/>
    <w:p w14:paraId="74CC7442" w14:textId="77777777" w:rsidR="00DB7466" w:rsidRDefault="00DB7466" w:rsidP="00FB722B"/>
    <w:p w14:paraId="62950195" w14:textId="77777777" w:rsidR="00DB7466" w:rsidRDefault="00DB7466" w:rsidP="00FB722B"/>
    <w:p w14:paraId="096AA9D8" w14:textId="77777777" w:rsidR="00DB7466" w:rsidRDefault="00DB7466" w:rsidP="00760684"/>
    <w:p w14:paraId="5C02687B" w14:textId="77777777" w:rsidR="00DB7466" w:rsidRDefault="00DB7466"/>
    <w:p w14:paraId="636F2C8B" w14:textId="77777777" w:rsidR="00DB7466" w:rsidRDefault="00DB7466"/>
    <w:p w14:paraId="3B0CC5FC" w14:textId="77777777" w:rsidR="00DB7466" w:rsidRDefault="00DB7466"/>
    <w:p w14:paraId="74142731" w14:textId="77777777" w:rsidR="00DB7466" w:rsidRDefault="00DB7466" w:rsidP="00E97D21"/>
    <w:p w14:paraId="44306A0D" w14:textId="77777777" w:rsidR="00DB7466" w:rsidRDefault="00DB7466" w:rsidP="00A2303A"/>
    <w:p w14:paraId="10615A41" w14:textId="77777777" w:rsidR="00DB7466" w:rsidRDefault="00DB7466" w:rsidP="00A2303A"/>
    <w:p w14:paraId="01D027D0" w14:textId="77777777" w:rsidR="00DB7466" w:rsidRDefault="00DB7466" w:rsidP="00A2303A"/>
    <w:p w14:paraId="299412E2" w14:textId="77777777" w:rsidR="00DB7466" w:rsidRDefault="00DB7466"/>
    <w:p w14:paraId="30A5240C" w14:textId="77777777" w:rsidR="00DB7466" w:rsidRDefault="00DB7466" w:rsidP="004B37A9"/>
    <w:p w14:paraId="4A64B6D4" w14:textId="77777777" w:rsidR="00DB7466" w:rsidRDefault="00DB7466" w:rsidP="004B37A9"/>
    <w:p w14:paraId="14C6AE06" w14:textId="77777777" w:rsidR="00DB7466" w:rsidRDefault="00DB7466"/>
    <w:p w14:paraId="250EC8D7" w14:textId="77777777" w:rsidR="00DB7466" w:rsidRDefault="00DB7466" w:rsidP="00F2792F"/>
    <w:p w14:paraId="433B9D79" w14:textId="77777777" w:rsidR="00DB7466" w:rsidRDefault="00DB7466" w:rsidP="00F2792F"/>
    <w:p w14:paraId="6114FBBA" w14:textId="77777777" w:rsidR="00DB7466" w:rsidRDefault="00DB7466" w:rsidP="00F2792F"/>
    <w:p w14:paraId="7D0A076D" w14:textId="77777777" w:rsidR="00DB7466" w:rsidRDefault="00DB7466" w:rsidP="00F2792F"/>
    <w:p w14:paraId="04CBE048" w14:textId="77777777" w:rsidR="00DB7466" w:rsidRDefault="00DB7466" w:rsidP="003F470F"/>
    <w:p w14:paraId="1C67CB0D" w14:textId="77777777" w:rsidR="00DB7466" w:rsidRDefault="00DB7466" w:rsidP="00FE2957"/>
    <w:p w14:paraId="54E58198" w14:textId="77777777" w:rsidR="00DB7466" w:rsidRDefault="00DB7466" w:rsidP="00FE2957"/>
    <w:p w14:paraId="03A99630" w14:textId="77777777" w:rsidR="00DB7466" w:rsidRDefault="00DB7466" w:rsidP="00E02438"/>
    <w:p w14:paraId="1BF36D7B" w14:textId="77777777" w:rsidR="00DB7466" w:rsidRDefault="00DB7466" w:rsidP="008F70A3"/>
    <w:p w14:paraId="64BBCA71" w14:textId="77777777" w:rsidR="00DB7466" w:rsidRDefault="00DB7466" w:rsidP="00727452"/>
    <w:p w14:paraId="13524B30" w14:textId="77777777" w:rsidR="00DB7466" w:rsidRDefault="00DB7466" w:rsidP="00676913"/>
    <w:p w14:paraId="571B26C2" w14:textId="77777777" w:rsidR="00DB7466" w:rsidRDefault="00DB7466"/>
    <w:p w14:paraId="47AAD4C4" w14:textId="77777777" w:rsidR="00DB7466" w:rsidRDefault="00DB7466" w:rsidP="0088433B"/>
    <w:p w14:paraId="7FB13971" w14:textId="77777777" w:rsidR="00DB7466" w:rsidRDefault="00DB7466" w:rsidP="0088433B"/>
    <w:p w14:paraId="4CF5A6E0" w14:textId="77777777" w:rsidR="00DB7466" w:rsidRDefault="00DB7466" w:rsidP="00B005BD"/>
    <w:p w14:paraId="070FBEEA" w14:textId="77777777" w:rsidR="00DB7466" w:rsidRDefault="00DB7466" w:rsidP="00B005BD"/>
    <w:p w14:paraId="021BBAD4" w14:textId="77777777" w:rsidR="00DB7466" w:rsidRDefault="00DB7466" w:rsidP="00FE1B67"/>
    <w:p w14:paraId="7CDB03BF" w14:textId="77777777" w:rsidR="00DB7466" w:rsidRDefault="00DB7466" w:rsidP="00FE1B67"/>
    <w:p w14:paraId="792BA115" w14:textId="77777777" w:rsidR="00DB7466" w:rsidRDefault="00DB7466" w:rsidP="00FE1B67"/>
    <w:p w14:paraId="19CFACB9" w14:textId="77777777" w:rsidR="00DB7466" w:rsidRDefault="00DB7466"/>
    <w:p w14:paraId="4F22060E" w14:textId="77777777" w:rsidR="00DB7466" w:rsidRDefault="00DB7466"/>
    <w:p w14:paraId="674F208C" w14:textId="77777777" w:rsidR="00DB7466" w:rsidRDefault="00DB7466"/>
    <w:p w14:paraId="61A0966A" w14:textId="77777777" w:rsidR="00DB7466" w:rsidRDefault="00DB7466" w:rsidP="00A25F00"/>
    <w:p w14:paraId="68B74E80" w14:textId="77777777" w:rsidR="00DB7466" w:rsidRDefault="00DB7466"/>
    <w:p w14:paraId="5B4B7737" w14:textId="77777777" w:rsidR="00DB7466" w:rsidRDefault="00DB7466" w:rsidP="00C86149"/>
    <w:p w14:paraId="79295657" w14:textId="77777777" w:rsidR="00DB7466" w:rsidRDefault="00DB7466"/>
    <w:p w14:paraId="41E22DE2" w14:textId="77777777" w:rsidR="00DB7466" w:rsidRDefault="00DB7466" w:rsidP="00AE612D"/>
    <w:p w14:paraId="1D070EB2" w14:textId="77777777" w:rsidR="00DB7466" w:rsidRDefault="00DB7466" w:rsidP="008D16DA"/>
    <w:p w14:paraId="32CB831B" w14:textId="77777777" w:rsidR="00DB7466" w:rsidRDefault="00DB7466" w:rsidP="008D16DA"/>
    <w:p w14:paraId="44715E60" w14:textId="77777777" w:rsidR="00DB7466" w:rsidRDefault="00DB7466" w:rsidP="008D16DA"/>
    <w:p w14:paraId="4C3E7239" w14:textId="77777777" w:rsidR="00DB7466" w:rsidRDefault="00DB7466" w:rsidP="00221E03"/>
    <w:p w14:paraId="12B0DD63" w14:textId="77777777" w:rsidR="00DB7466" w:rsidRDefault="00DB7466"/>
    <w:p w14:paraId="2629C8ED" w14:textId="77777777" w:rsidR="00DB7466" w:rsidRDefault="00DB7466"/>
    <w:p w14:paraId="2C0DFB26" w14:textId="77777777" w:rsidR="00DB7466" w:rsidRDefault="00DB7466" w:rsidP="000B3880"/>
    <w:p w14:paraId="2F68AC7C" w14:textId="77777777" w:rsidR="00DB7466" w:rsidRDefault="00DB7466" w:rsidP="000B3880"/>
    <w:p w14:paraId="5DADD60E" w14:textId="77777777" w:rsidR="00DB7466" w:rsidRDefault="00DB7466" w:rsidP="000B3880"/>
    <w:p w14:paraId="70F9BC16" w14:textId="77777777" w:rsidR="00DB7466" w:rsidRDefault="00DB7466" w:rsidP="00C61011"/>
    <w:p w14:paraId="37B19280" w14:textId="77777777" w:rsidR="00DB7466" w:rsidRDefault="00DB7466"/>
    <w:p w14:paraId="324E11BE" w14:textId="77777777" w:rsidR="00DB7466" w:rsidRDefault="00DB7466" w:rsidP="00442E09"/>
    <w:p w14:paraId="780B664F" w14:textId="77777777" w:rsidR="00DB7466" w:rsidRDefault="00DB7466"/>
    <w:p w14:paraId="6860DF0E" w14:textId="77777777" w:rsidR="00DB7466" w:rsidRDefault="00DB7466" w:rsidP="002F2F0C"/>
    <w:p w14:paraId="675A0DC0" w14:textId="77777777" w:rsidR="00DB7466" w:rsidRDefault="00DB7466"/>
    <w:p w14:paraId="04CE6DA6" w14:textId="77777777" w:rsidR="00DB7466" w:rsidRDefault="00DB7466"/>
    <w:p w14:paraId="7E51262F" w14:textId="77777777" w:rsidR="00DB7466" w:rsidRDefault="00DB7466" w:rsidP="00FC0786"/>
    <w:p w14:paraId="0A32D1B6" w14:textId="77777777" w:rsidR="00DB7466" w:rsidRDefault="00DB7466" w:rsidP="00FC0786"/>
    <w:p w14:paraId="5AA3F7AD" w14:textId="77777777" w:rsidR="00DB7466" w:rsidRDefault="00DB7466" w:rsidP="00FC0786"/>
    <w:p w14:paraId="5F618967" w14:textId="77777777" w:rsidR="00DB7466" w:rsidRDefault="00DB7466" w:rsidP="00FC0786"/>
    <w:p w14:paraId="3BE1214A" w14:textId="77777777" w:rsidR="00DB7466" w:rsidRDefault="00DB7466" w:rsidP="00FC0786"/>
    <w:p w14:paraId="46C6EACD" w14:textId="77777777" w:rsidR="00DB7466" w:rsidRDefault="00DB7466" w:rsidP="00FC0786"/>
    <w:p w14:paraId="582A88EC" w14:textId="77777777" w:rsidR="00DB7466" w:rsidRDefault="00DB7466" w:rsidP="00FC0786"/>
    <w:p w14:paraId="72D3A664" w14:textId="77777777" w:rsidR="00DB7466" w:rsidRDefault="00DB7466" w:rsidP="00FC0786"/>
    <w:p w14:paraId="3CA3304E" w14:textId="77777777" w:rsidR="00DB7466" w:rsidRDefault="00DB7466" w:rsidP="00FC0786"/>
    <w:p w14:paraId="5B81026A" w14:textId="77777777" w:rsidR="00DB7466" w:rsidRDefault="00DB7466" w:rsidP="00FC0786"/>
    <w:p w14:paraId="7F4693CA" w14:textId="77777777" w:rsidR="00DB7466" w:rsidRDefault="00DB7466" w:rsidP="00FC0786"/>
    <w:p w14:paraId="51A0B32E" w14:textId="77777777" w:rsidR="00DB7466" w:rsidRDefault="00DB7466" w:rsidP="00FC0786"/>
    <w:p w14:paraId="1D06BCDC" w14:textId="77777777" w:rsidR="00DB7466" w:rsidRDefault="00DB7466" w:rsidP="00FC0786"/>
    <w:p w14:paraId="268812E6" w14:textId="77777777" w:rsidR="00DB7466" w:rsidRDefault="00DB7466" w:rsidP="00FC0786"/>
    <w:p w14:paraId="4D49C643" w14:textId="77777777" w:rsidR="00DB7466" w:rsidRDefault="00DB7466" w:rsidP="00FC0786"/>
    <w:p w14:paraId="2247E7D6" w14:textId="77777777" w:rsidR="00DB7466" w:rsidRDefault="00DB7466" w:rsidP="00FC0786"/>
    <w:p w14:paraId="3B95BB02" w14:textId="77777777" w:rsidR="00DB7466" w:rsidRDefault="00DB7466" w:rsidP="00884294"/>
    <w:p w14:paraId="7A341364" w14:textId="77777777" w:rsidR="00DB7466" w:rsidRDefault="00DB7466" w:rsidP="00115C61"/>
    <w:p w14:paraId="3AD8D119" w14:textId="77777777" w:rsidR="00DB7466" w:rsidRDefault="00DB7466" w:rsidP="00F21980"/>
    <w:p w14:paraId="2ADA89F8" w14:textId="77777777" w:rsidR="00DB7466" w:rsidRDefault="00DB7466"/>
    <w:p w14:paraId="1CEBB96D" w14:textId="77777777" w:rsidR="00DB7466" w:rsidRDefault="00DB7466" w:rsidP="004902EB"/>
    <w:p w14:paraId="1A354545" w14:textId="77777777" w:rsidR="00DB7466" w:rsidRDefault="00DB7466" w:rsidP="00C165D6"/>
    <w:p w14:paraId="08AF242A" w14:textId="77777777" w:rsidR="00DB7466" w:rsidRDefault="00DB7466" w:rsidP="00C165D6"/>
    <w:p w14:paraId="420B064C" w14:textId="77777777" w:rsidR="00DB7466" w:rsidRDefault="00DB7466" w:rsidP="00D1652A"/>
    <w:p w14:paraId="3BFD5D70" w14:textId="77777777" w:rsidR="00DB7466" w:rsidRDefault="00DB7466"/>
    <w:p w14:paraId="01F664A3" w14:textId="77777777" w:rsidR="00DB7466" w:rsidRDefault="00DB7466"/>
    <w:p w14:paraId="647F779C" w14:textId="77777777" w:rsidR="00DB7466" w:rsidRDefault="00DB7466" w:rsidP="00665E23"/>
    <w:p w14:paraId="091C96EF" w14:textId="77777777" w:rsidR="00DB7466" w:rsidRDefault="00DB7466" w:rsidP="00665E23"/>
    <w:p w14:paraId="28D71196" w14:textId="77777777" w:rsidR="00DB7466" w:rsidRDefault="00DB7466" w:rsidP="00665E23"/>
    <w:p w14:paraId="5DCA7B43" w14:textId="77777777" w:rsidR="00DB7466" w:rsidRDefault="00DB7466"/>
    <w:p w14:paraId="3BE79607" w14:textId="77777777" w:rsidR="00DB7466" w:rsidRDefault="00DB7466" w:rsidP="00FC625F"/>
    <w:p w14:paraId="3E735878" w14:textId="77777777" w:rsidR="00DB7466" w:rsidRDefault="00DB7466" w:rsidP="00CD26FF"/>
    <w:p w14:paraId="6A15C9D5" w14:textId="77777777" w:rsidR="00DB7466" w:rsidRDefault="00DB7466" w:rsidP="005C0894"/>
    <w:p w14:paraId="60ECF334" w14:textId="77777777" w:rsidR="00DB7466" w:rsidRDefault="00DB7466" w:rsidP="005C0894"/>
    <w:p w14:paraId="7D3AF145" w14:textId="77777777" w:rsidR="00DB7466" w:rsidRDefault="00DB7466" w:rsidP="005C0894"/>
    <w:p w14:paraId="5946ED09" w14:textId="77777777" w:rsidR="00DB7466" w:rsidRDefault="00DB7466" w:rsidP="005C0894"/>
    <w:p w14:paraId="11004D9C" w14:textId="77777777" w:rsidR="00DB7466" w:rsidRDefault="00DB7466" w:rsidP="005C0894"/>
    <w:p w14:paraId="53AE1D42" w14:textId="77777777" w:rsidR="00DB7466" w:rsidRDefault="00DB7466" w:rsidP="005C0894"/>
    <w:p w14:paraId="59A540AC" w14:textId="77777777" w:rsidR="00DB7466" w:rsidRDefault="00DB7466" w:rsidP="005C0894"/>
    <w:p w14:paraId="33AEDC34" w14:textId="77777777" w:rsidR="00DB7466" w:rsidRDefault="00DB7466" w:rsidP="005C0894"/>
    <w:p w14:paraId="564288F0" w14:textId="77777777" w:rsidR="00DB7466" w:rsidRDefault="00DB7466" w:rsidP="00EE7F1F"/>
    <w:p w14:paraId="518C350E" w14:textId="77777777" w:rsidR="00DB7466" w:rsidRDefault="00DB7466" w:rsidP="00C6037F"/>
    <w:p w14:paraId="0ADC3A13" w14:textId="77777777" w:rsidR="00DB7466" w:rsidRDefault="00DB7466" w:rsidP="00C6037F"/>
    <w:p w14:paraId="3DAC922A" w14:textId="77777777" w:rsidR="00DB7466" w:rsidRDefault="00DB7466" w:rsidP="00C6037F"/>
    <w:p w14:paraId="207035FE" w14:textId="77777777" w:rsidR="00DB7466" w:rsidRDefault="00DB7466" w:rsidP="00C6037F"/>
    <w:p w14:paraId="0BD417DC" w14:textId="77777777" w:rsidR="00DB7466" w:rsidRDefault="00DB7466" w:rsidP="00C6037F"/>
    <w:p w14:paraId="62A40A71" w14:textId="77777777" w:rsidR="00DB7466" w:rsidRDefault="00DB7466" w:rsidP="00B8778C"/>
    <w:p w14:paraId="4A3181BE" w14:textId="77777777" w:rsidR="00DB7466" w:rsidRDefault="00DB7466" w:rsidP="00B8778C"/>
    <w:p w14:paraId="684B370E" w14:textId="77777777" w:rsidR="00DB7466" w:rsidRDefault="00DB7466" w:rsidP="00B8778C"/>
    <w:p w14:paraId="288BF68B" w14:textId="77777777" w:rsidR="00DB7466" w:rsidRDefault="00DB7466" w:rsidP="00B8778C"/>
    <w:p w14:paraId="1C7DFFE6" w14:textId="77777777" w:rsidR="00DB7466" w:rsidRDefault="00DB7466" w:rsidP="00B8778C"/>
    <w:p w14:paraId="28CEE662" w14:textId="77777777" w:rsidR="00DB7466" w:rsidRDefault="00DB7466" w:rsidP="00B8778C"/>
    <w:p w14:paraId="2469108D" w14:textId="77777777" w:rsidR="00DB7466" w:rsidRDefault="00DB7466" w:rsidP="00B8778C"/>
    <w:p w14:paraId="6DACA79E" w14:textId="77777777" w:rsidR="00DB7466" w:rsidRDefault="00DB7466"/>
    <w:p w14:paraId="13A753A9" w14:textId="77777777" w:rsidR="00DB7466" w:rsidRDefault="00DB7466" w:rsidP="00054EA8"/>
    <w:p w14:paraId="1541263B" w14:textId="77777777" w:rsidR="00DB7466" w:rsidRDefault="00DB7466" w:rsidP="00054EA8"/>
    <w:p w14:paraId="7F6462DF" w14:textId="77777777" w:rsidR="00DB7466" w:rsidRDefault="00DB7466" w:rsidP="009A1FE6"/>
    <w:p w14:paraId="4932031E" w14:textId="77777777" w:rsidR="00DB7466" w:rsidRDefault="00DB7466" w:rsidP="008508D9"/>
    <w:p w14:paraId="1EAE645A" w14:textId="77777777" w:rsidR="00DB7466" w:rsidRDefault="00DB7466" w:rsidP="002E3F59"/>
    <w:p w14:paraId="234C8AFE" w14:textId="77777777" w:rsidR="00DB7466" w:rsidRDefault="00DB7466" w:rsidP="003347C9"/>
    <w:p w14:paraId="4A7CF1E3" w14:textId="77777777" w:rsidR="00DB7466" w:rsidRDefault="00DB7466" w:rsidP="00DB01F5"/>
    <w:p w14:paraId="36587379" w14:textId="77777777" w:rsidR="00DB7466" w:rsidRDefault="00DB7466" w:rsidP="00816B51"/>
    <w:p w14:paraId="7A52B2E8" w14:textId="77777777" w:rsidR="00DB7466" w:rsidRDefault="00DB7466"/>
    <w:p w14:paraId="51A67933" w14:textId="77777777" w:rsidR="00DB7466" w:rsidRDefault="00DB7466"/>
    <w:p w14:paraId="7A846A5F" w14:textId="77777777" w:rsidR="00DB7466" w:rsidRDefault="00DB7466" w:rsidP="00D26309"/>
    <w:p w14:paraId="44F1BE57" w14:textId="77777777" w:rsidR="00DB7466" w:rsidRDefault="00DB7466" w:rsidP="00C2442C"/>
    <w:p w14:paraId="091FE4F4" w14:textId="77777777" w:rsidR="00DB7466" w:rsidRDefault="00DB7466"/>
    <w:p w14:paraId="279F13D9" w14:textId="77777777" w:rsidR="00DB7466" w:rsidRDefault="00DB7466" w:rsidP="001361EB"/>
    <w:p w14:paraId="1CC92FF2" w14:textId="77777777" w:rsidR="00DB7466" w:rsidRDefault="00DB7466"/>
    <w:p w14:paraId="6D410EA9" w14:textId="77777777" w:rsidR="00DB7466" w:rsidRDefault="00DB7466" w:rsidP="003159DE"/>
    <w:p w14:paraId="73DC48A0" w14:textId="77777777" w:rsidR="00DB7466" w:rsidRDefault="00DB7466" w:rsidP="003159DE"/>
    <w:p w14:paraId="64DB1D3B" w14:textId="77777777" w:rsidR="00DB7466" w:rsidRDefault="00DB7466"/>
    <w:p w14:paraId="44FD4B0E" w14:textId="77777777" w:rsidR="00DB7466" w:rsidRDefault="00DB7466"/>
    <w:p w14:paraId="44354422" w14:textId="77777777" w:rsidR="00DB7466" w:rsidRDefault="00DB7466"/>
    <w:p w14:paraId="4A83A358" w14:textId="77777777" w:rsidR="00DB7466" w:rsidRDefault="00DB7466" w:rsidP="00071B02"/>
    <w:p w14:paraId="371E3C63" w14:textId="77777777" w:rsidR="00DB7466" w:rsidRDefault="00DB7466" w:rsidP="00071B02"/>
    <w:p w14:paraId="1DFF7E81" w14:textId="77777777" w:rsidR="00DB7466" w:rsidRDefault="00DB7466"/>
    <w:p w14:paraId="7727D3DF" w14:textId="77777777" w:rsidR="00ED71D7" w:rsidRDefault="00ED71D7"/>
    <w:p w14:paraId="46C39299" w14:textId="77777777" w:rsidR="00ED71D7" w:rsidRDefault="00ED71D7" w:rsidP="00D90A2B"/>
    <w:p w14:paraId="3585E74D" w14:textId="77777777" w:rsidR="009248A6" w:rsidRDefault="009248A6"/>
    <w:p w14:paraId="612F61CF" w14:textId="77777777" w:rsidR="009248A6" w:rsidRDefault="009248A6" w:rsidP="005A34FE"/>
    <w:p w14:paraId="31B7E706" w14:textId="77777777" w:rsidR="009248A6" w:rsidRDefault="009248A6" w:rsidP="005125FE"/>
    <w:p w14:paraId="4C59DC0E" w14:textId="77777777" w:rsidR="009248A6" w:rsidRDefault="009248A6" w:rsidP="007D2527"/>
    <w:p w14:paraId="6E3A52AF" w14:textId="77777777" w:rsidR="009248A6" w:rsidRDefault="009248A6" w:rsidP="00C6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liss 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1577271"/>
      <w:docPartObj>
        <w:docPartGallery w:val="Page Numbers (Bottom of Page)"/>
        <w:docPartUnique/>
      </w:docPartObj>
    </w:sdtPr>
    <w:sdtEndPr>
      <w:rPr>
        <w:rStyle w:val="PageNumber"/>
      </w:rPr>
    </w:sdtEndPr>
    <w:sdtContent>
      <w:p w14:paraId="48BED917" w14:textId="4646ED7C" w:rsidR="006240A9" w:rsidRDefault="006240A9" w:rsidP="008842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FD6956" w14:textId="77777777" w:rsidR="006240A9" w:rsidRDefault="006240A9" w:rsidP="00491BCA">
    <w:pPr>
      <w:pStyle w:val="Footer"/>
      <w:ind w:right="360"/>
    </w:pPr>
  </w:p>
  <w:p w14:paraId="5DE23AC5" w14:textId="77777777" w:rsidR="006240A9" w:rsidRDefault="006240A9"/>
  <w:p w14:paraId="1341B930" w14:textId="77777777" w:rsidR="006240A9" w:rsidRDefault="006240A9" w:rsidP="00884294"/>
  <w:p w14:paraId="48233404" w14:textId="77777777" w:rsidR="006240A9" w:rsidRDefault="006240A9" w:rsidP="00115C61"/>
  <w:p w14:paraId="55ADB82A" w14:textId="77777777" w:rsidR="006240A9" w:rsidRDefault="006240A9" w:rsidP="00F21980"/>
  <w:p w14:paraId="7F39F8BE" w14:textId="77777777" w:rsidR="006240A9" w:rsidRDefault="006240A9"/>
  <w:p w14:paraId="546E0B6C" w14:textId="77777777" w:rsidR="006240A9" w:rsidRDefault="006240A9" w:rsidP="004902EB"/>
  <w:p w14:paraId="6BE563B2" w14:textId="77777777" w:rsidR="006240A9" w:rsidRDefault="006240A9" w:rsidP="00C165D6"/>
  <w:p w14:paraId="4B1F0C77" w14:textId="77777777" w:rsidR="006240A9" w:rsidRDefault="006240A9" w:rsidP="00C165D6"/>
  <w:p w14:paraId="7A43B019" w14:textId="77777777" w:rsidR="006240A9" w:rsidRDefault="006240A9" w:rsidP="00D1652A"/>
  <w:p w14:paraId="1EE0F1E0" w14:textId="77777777" w:rsidR="006240A9" w:rsidRDefault="006240A9"/>
  <w:p w14:paraId="37EE3AC4" w14:textId="77777777" w:rsidR="006412C7" w:rsidRDefault="006412C7"/>
  <w:p w14:paraId="5FC46B53" w14:textId="77777777" w:rsidR="006412C7" w:rsidRDefault="006412C7" w:rsidP="00665E23"/>
  <w:p w14:paraId="7CCFB6D0" w14:textId="77777777" w:rsidR="006412C7" w:rsidRDefault="006412C7" w:rsidP="00665E23"/>
  <w:p w14:paraId="4AC06CCB" w14:textId="77777777" w:rsidR="006412C7" w:rsidRDefault="006412C7" w:rsidP="00665E23"/>
  <w:p w14:paraId="5C5DA677" w14:textId="77777777" w:rsidR="00FF18F5" w:rsidRDefault="00FF18F5"/>
  <w:p w14:paraId="75C822A4" w14:textId="77777777" w:rsidR="00FF18F5" w:rsidRDefault="00FF18F5" w:rsidP="00FC625F"/>
  <w:p w14:paraId="5F05D91C" w14:textId="77777777" w:rsidR="00FF18F5" w:rsidRDefault="00FF18F5" w:rsidP="00CD26FF"/>
  <w:p w14:paraId="1EEE2AD3" w14:textId="77777777" w:rsidR="00FF18F5" w:rsidRDefault="00FF18F5" w:rsidP="005C0894"/>
  <w:p w14:paraId="030601E9" w14:textId="77777777" w:rsidR="00FF18F5" w:rsidRDefault="00FF18F5" w:rsidP="005C0894"/>
  <w:p w14:paraId="566B663D" w14:textId="77777777" w:rsidR="00FF18F5" w:rsidRDefault="00FF18F5" w:rsidP="005C0894"/>
  <w:p w14:paraId="1F36D950" w14:textId="77777777" w:rsidR="00FF18F5" w:rsidRDefault="00FF18F5" w:rsidP="005C0894"/>
  <w:p w14:paraId="2FA0133B" w14:textId="77777777" w:rsidR="00FF18F5" w:rsidRDefault="00FF18F5" w:rsidP="005C0894"/>
  <w:p w14:paraId="0A020DA2" w14:textId="77777777" w:rsidR="00FF18F5" w:rsidRDefault="00FF18F5" w:rsidP="005C0894"/>
  <w:p w14:paraId="7B103C2C" w14:textId="77777777" w:rsidR="00FF18F5" w:rsidRDefault="00FF18F5" w:rsidP="005C0894"/>
  <w:p w14:paraId="28437011" w14:textId="77777777" w:rsidR="00FF18F5" w:rsidRDefault="00FF18F5" w:rsidP="005C0894"/>
  <w:p w14:paraId="0D1816EA" w14:textId="77777777" w:rsidR="00FF18F5" w:rsidRDefault="00FF18F5" w:rsidP="00EE7F1F"/>
  <w:p w14:paraId="7DC64D18" w14:textId="77777777" w:rsidR="00FF18F5" w:rsidRDefault="00FF18F5" w:rsidP="00C6037F"/>
  <w:p w14:paraId="5C8CCF37" w14:textId="77777777" w:rsidR="00FF18F5" w:rsidRDefault="00FF18F5" w:rsidP="00C6037F"/>
  <w:p w14:paraId="2FCA5567" w14:textId="77777777" w:rsidR="00FF18F5" w:rsidRDefault="00FF18F5" w:rsidP="00C6037F"/>
  <w:p w14:paraId="12320C48" w14:textId="77777777" w:rsidR="00FF18F5" w:rsidRDefault="00FF18F5" w:rsidP="00C6037F"/>
  <w:p w14:paraId="3EDF5C76" w14:textId="77777777" w:rsidR="00FF18F5" w:rsidRDefault="00FF18F5" w:rsidP="00C6037F"/>
  <w:p w14:paraId="5F1388E5" w14:textId="77777777" w:rsidR="00FF18F5" w:rsidRDefault="00FF18F5" w:rsidP="00B8778C"/>
  <w:p w14:paraId="41B12E11" w14:textId="77777777" w:rsidR="00FF18F5" w:rsidRDefault="00FF18F5" w:rsidP="00B8778C"/>
  <w:p w14:paraId="0D136F8E" w14:textId="77777777" w:rsidR="00FF18F5" w:rsidRDefault="00FF18F5" w:rsidP="00B8778C"/>
  <w:p w14:paraId="79B92FF8" w14:textId="77777777" w:rsidR="00FF18F5" w:rsidRDefault="00FF18F5" w:rsidP="00B8778C"/>
  <w:p w14:paraId="56FD58DF" w14:textId="77777777" w:rsidR="00FF18F5" w:rsidRDefault="00FF18F5" w:rsidP="00B8778C"/>
  <w:p w14:paraId="43A3F8B3" w14:textId="77777777" w:rsidR="00FF18F5" w:rsidRDefault="00FF18F5" w:rsidP="00B8778C"/>
  <w:p w14:paraId="627484C7" w14:textId="77777777" w:rsidR="00FF18F5" w:rsidRDefault="00FF18F5" w:rsidP="00B8778C"/>
  <w:p w14:paraId="74042C71" w14:textId="77777777" w:rsidR="004C642F" w:rsidRDefault="004C642F"/>
  <w:p w14:paraId="6D4F7299" w14:textId="77777777" w:rsidR="004C642F" w:rsidRDefault="004C642F" w:rsidP="00054EA8"/>
  <w:p w14:paraId="53148781" w14:textId="77777777" w:rsidR="004C642F" w:rsidRDefault="004C642F" w:rsidP="00054EA8"/>
  <w:p w14:paraId="7458E1C8" w14:textId="77777777" w:rsidR="004C642F" w:rsidRDefault="004C642F" w:rsidP="009A1FE6"/>
  <w:p w14:paraId="2428A77D" w14:textId="77777777" w:rsidR="004C642F" w:rsidRDefault="004C642F" w:rsidP="008508D9"/>
  <w:p w14:paraId="705C2403" w14:textId="77777777" w:rsidR="004C642F" w:rsidRDefault="004C642F" w:rsidP="002E3F59"/>
  <w:p w14:paraId="63A0D059" w14:textId="77777777" w:rsidR="004C642F" w:rsidRDefault="004C642F" w:rsidP="003347C9"/>
  <w:p w14:paraId="326B2A69" w14:textId="77777777" w:rsidR="004C642F" w:rsidRDefault="004C642F" w:rsidP="00DB01F5"/>
  <w:p w14:paraId="14CAE720" w14:textId="77777777" w:rsidR="004C642F" w:rsidRDefault="004C642F" w:rsidP="00816B51"/>
  <w:p w14:paraId="58A7772C" w14:textId="77777777" w:rsidR="00541A70" w:rsidRDefault="00541A70"/>
  <w:p w14:paraId="6981FBAD" w14:textId="77777777" w:rsidR="00757494" w:rsidRDefault="00757494"/>
  <w:p w14:paraId="1A8CCA1A" w14:textId="77777777" w:rsidR="00757494" w:rsidRDefault="00757494" w:rsidP="00D26309"/>
  <w:p w14:paraId="2541CC94" w14:textId="77777777" w:rsidR="00757494" w:rsidRDefault="00757494" w:rsidP="00C2442C"/>
  <w:p w14:paraId="6193A6A8" w14:textId="77777777" w:rsidR="00AF4161" w:rsidRDefault="00AF4161"/>
  <w:p w14:paraId="15DF3F86" w14:textId="77777777" w:rsidR="00AF4161" w:rsidRDefault="00AF4161" w:rsidP="001361EB"/>
  <w:p w14:paraId="0B3579CC" w14:textId="77777777" w:rsidR="00BA7268" w:rsidRDefault="00BA7268"/>
  <w:p w14:paraId="2D83CE75" w14:textId="77777777" w:rsidR="00BA7268" w:rsidRDefault="00BA7268" w:rsidP="003159DE"/>
  <w:p w14:paraId="4E733BFF" w14:textId="77777777" w:rsidR="00BA7268" w:rsidRDefault="00BA7268" w:rsidP="003159DE"/>
  <w:p w14:paraId="7F5E8069" w14:textId="77777777" w:rsidR="003427B4" w:rsidRDefault="003427B4"/>
  <w:p w14:paraId="3E14861D" w14:textId="77777777" w:rsidR="00EE2D0F" w:rsidRDefault="00EE2D0F"/>
  <w:p w14:paraId="55F49163" w14:textId="77777777" w:rsidR="00411195" w:rsidRDefault="00411195"/>
  <w:p w14:paraId="1249AE31" w14:textId="77777777" w:rsidR="00411195" w:rsidRDefault="00411195" w:rsidP="00071B02"/>
  <w:p w14:paraId="4F95FD48" w14:textId="77777777" w:rsidR="00411195" w:rsidRDefault="00411195" w:rsidP="00071B02"/>
  <w:p w14:paraId="7CB7ECD3" w14:textId="77777777" w:rsidR="0068389F" w:rsidRDefault="0068389F"/>
  <w:p w14:paraId="7690708B" w14:textId="77777777" w:rsidR="00ED71D7" w:rsidRDefault="00ED71D7"/>
  <w:p w14:paraId="12B9BC58" w14:textId="77777777" w:rsidR="00ED71D7" w:rsidRDefault="00ED71D7" w:rsidP="00D90A2B"/>
  <w:p w14:paraId="5B347638" w14:textId="77777777" w:rsidR="009248A6" w:rsidRDefault="009248A6"/>
  <w:p w14:paraId="1E7B2C23" w14:textId="77777777" w:rsidR="009248A6" w:rsidRDefault="009248A6" w:rsidP="005A34FE"/>
  <w:p w14:paraId="2EFB442A" w14:textId="77777777" w:rsidR="009248A6" w:rsidRDefault="009248A6" w:rsidP="005125FE"/>
  <w:p w14:paraId="782698EB" w14:textId="77777777" w:rsidR="009248A6" w:rsidRDefault="009248A6" w:rsidP="007D2527"/>
  <w:p w14:paraId="7BB6228D" w14:textId="77777777" w:rsidR="009248A6" w:rsidRDefault="009248A6" w:rsidP="00C61D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F9226B8" w14:paraId="6926B92B" w14:textId="77777777" w:rsidTr="5F9226B8">
      <w:trPr>
        <w:trHeight w:val="300"/>
      </w:trPr>
      <w:tc>
        <w:tcPr>
          <w:tcW w:w="3130" w:type="dxa"/>
        </w:tcPr>
        <w:p w14:paraId="147A0C22" w14:textId="61BC930D" w:rsidR="5F9226B8" w:rsidRDefault="5F9226B8" w:rsidP="5F9226B8">
          <w:pPr>
            <w:pStyle w:val="Header"/>
            <w:ind w:left="-115"/>
            <w:jc w:val="left"/>
          </w:pPr>
        </w:p>
      </w:tc>
      <w:tc>
        <w:tcPr>
          <w:tcW w:w="3130" w:type="dxa"/>
        </w:tcPr>
        <w:p w14:paraId="2B366914" w14:textId="3A16DBA5" w:rsidR="5F9226B8" w:rsidRDefault="5F9226B8" w:rsidP="5F9226B8">
          <w:pPr>
            <w:pStyle w:val="Header"/>
            <w:jc w:val="center"/>
          </w:pPr>
        </w:p>
      </w:tc>
      <w:tc>
        <w:tcPr>
          <w:tcW w:w="3130" w:type="dxa"/>
        </w:tcPr>
        <w:p w14:paraId="36B39EF2" w14:textId="4A7E3D13" w:rsidR="5F9226B8" w:rsidRDefault="5F9226B8" w:rsidP="5F9226B8">
          <w:pPr>
            <w:pStyle w:val="Header"/>
            <w:ind w:right="-115"/>
            <w:jc w:val="right"/>
          </w:pPr>
        </w:p>
      </w:tc>
    </w:tr>
  </w:tbl>
  <w:p w14:paraId="23178BCA" w14:textId="0251E45A" w:rsidR="009943BD" w:rsidRDefault="00994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F9226B8" w14:paraId="47E8E16D" w14:textId="77777777" w:rsidTr="5F9226B8">
      <w:trPr>
        <w:trHeight w:val="300"/>
      </w:trPr>
      <w:tc>
        <w:tcPr>
          <w:tcW w:w="3130" w:type="dxa"/>
        </w:tcPr>
        <w:p w14:paraId="355ABC95" w14:textId="1A357DD1" w:rsidR="5F9226B8" w:rsidRDefault="5F9226B8" w:rsidP="5F9226B8">
          <w:pPr>
            <w:pStyle w:val="Header"/>
            <w:ind w:left="-115"/>
            <w:jc w:val="left"/>
          </w:pPr>
        </w:p>
      </w:tc>
      <w:tc>
        <w:tcPr>
          <w:tcW w:w="3130" w:type="dxa"/>
        </w:tcPr>
        <w:p w14:paraId="07DD8C70" w14:textId="195E196A" w:rsidR="5F9226B8" w:rsidRDefault="5F9226B8" w:rsidP="5F9226B8">
          <w:pPr>
            <w:pStyle w:val="Header"/>
            <w:jc w:val="center"/>
          </w:pPr>
        </w:p>
      </w:tc>
      <w:tc>
        <w:tcPr>
          <w:tcW w:w="3130" w:type="dxa"/>
        </w:tcPr>
        <w:p w14:paraId="26E31C3B" w14:textId="2320894E" w:rsidR="5F9226B8" w:rsidRDefault="5F9226B8" w:rsidP="5F9226B8">
          <w:pPr>
            <w:pStyle w:val="Header"/>
            <w:ind w:right="-115"/>
            <w:jc w:val="right"/>
          </w:pPr>
        </w:p>
      </w:tc>
    </w:tr>
  </w:tbl>
  <w:p w14:paraId="1809214E" w14:textId="7636B1E4" w:rsidR="009943BD" w:rsidRDefault="00994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7269" w14:textId="77777777" w:rsidR="00DB7466" w:rsidRDefault="00DB7466" w:rsidP="00AD4EA1">
      <w:r>
        <w:separator/>
      </w:r>
    </w:p>
    <w:p w14:paraId="5CD1145D" w14:textId="77777777" w:rsidR="00DB7466" w:rsidRDefault="00DB7466" w:rsidP="00AD4EA1"/>
    <w:p w14:paraId="5C07150A" w14:textId="77777777" w:rsidR="00DB7466" w:rsidRDefault="00DB7466" w:rsidP="00AD4EA1"/>
    <w:p w14:paraId="16BF17FF" w14:textId="77777777" w:rsidR="00DB7466" w:rsidRDefault="00DB7466" w:rsidP="00AD4EA1"/>
    <w:p w14:paraId="3C0852AD" w14:textId="77777777" w:rsidR="00DB7466" w:rsidRDefault="00DB7466" w:rsidP="00AD4EA1"/>
    <w:p w14:paraId="265883CD" w14:textId="77777777" w:rsidR="00DB7466" w:rsidRDefault="00DB7466" w:rsidP="00AD4EA1"/>
    <w:p w14:paraId="2CC517DB" w14:textId="77777777" w:rsidR="00DB7466" w:rsidRDefault="00DB7466" w:rsidP="00AD4EA1"/>
    <w:p w14:paraId="2030F1DF" w14:textId="77777777" w:rsidR="00DB7466" w:rsidRDefault="00DB7466" w:rsidP="00AD4EA1"/>
    <w:p w14:paraId="10BBAC2A" w14:textId="77777777" w:rsidR="00DB7466" w:rsidRDefault="00DB7466" w:rsidP="00AD4EA1"/>
    <w:p w14:paraId="0AC88AEC" w14:textId="77777777" w:rsidR="00DB7466" w:rsidRDefault="00DB7466" w:rsidP="00AD4EA1"/>
    <w:p w14:paraId="4A863409" w14:textId="77777777" w:rsidR="00DB7466" w:rsidRDefault="00DB7466" w:rsidP="00AD4EA1"/>
    <w:p w14:paraId="19870EDE" w14:textId="77777777" w:rsidR="00DB7466" w:rsidRDefault="00DB7466" w:rsidP="00AD4EA1"/>
    <w:p w14:paraId="6D522D11" w14:textId="77777777" w:rsidR="00DB7466" w:rsidRDefault="00DB7466" w:rsidP="00AD4EA1"/>
    <w:p w14:paraId="0497DDE4" w14:textId="77777777" w:rsidR="00DB7466" w:rsidRDefault="00DB7466" w:rsidP="00AD4EA1"/>
    <w:p w14:paraId="512818EB" w14:textId="77777777" w:rsidR="00DB7466" w:rsidRDefault="00DB7466" w:rsidP="00AD4EA1"/>
    <w:p w14:paraId="0A50C5D8" w14:textId="77777777" w:rsidR="00DB7466" w:rsidRDefault="00DB7466" w:rsidP="00AD4EA1"/>
    <w:p w14:paraId="57C2941C" w14:textId="77777777" w:rsidR="00DB7466" w:rsidRDefault="00DB7466" w:rsidP="00AD4EA1"/>
    <w:p w14:paraId="5EB8C931" w14:textId="77777777" w:rsidR="00DB7466" w:rsidRDefault="00DB7466" w:rsidP="00AD4EA1"/>
    <w:p w14:paraId="720B4087" w14:textId="77777777" w:rsidR="00DB7466" w:rsidRDefault="00DB7466" w:rsidP="00AD4EA1"/>
    <w:p w14:paraId="34B7722E" w14:textId="77777777" w:rsidR="00DB7466" w:rsidRDefault="00DB7466" w:rsidP="00AD4EA1"/>
    <w:p w14:paraId="7CA4215A" w14:textId="77777777" w:rsidR="00DB7466" w:rsidRDefault="00DB7466" w:rsidP="00AD4EA1"/>
    <w:p w14:paraId="3FA0874F" w14:textId="77777777" w:rsidR="00DB7466" w:rsidRDefault="00DB7466" w:rsidP="00AD4EA1"/>
    <w:p w14:paraId="0C73C73B" w14:textId="77777777" w:rsidR="00DB7466" w:rsidRDefault="00DB7466" w:rsidP="00AD4EA1"/>
    <w:p w14:paraId="50AEDAA1" w14:textId="77777777" w:rsidR="00DB7466" w:rsidRDefault="00DB7466" w:rsidP="00AD4EA1"/>
    <w:p w14:paraId="5F06352B" w14:textId="77777777" w:rsidR="00DB7466" w:rsidRDefault="00DB7466" w:rsidP="00AD4EA1"/>
    <w:p w14:paraId="0C3294EE" w14:textId="77777777" w:rsidR="00DB7466" w:rsidRDefault="00DB7466" w:rsidP="00AD4EA1"/>
    <w:p w14:paraId="0B882DEE" w14:textId="77777777" w:rsidR="00DB7466" w:rsidRDefault="00DB7466" w:rsidP="00AD4EA1"/>
    <w:p w14:paraId="0256B12C" w14:textId="77777777" w:rsidR="00DB7466" w:rsidRDefault="00DB7466" w:rsidP="00AD4EA1"/>
    <w:p w14:paraId="52D790D1" w14:textId="77777777" w:rsidR="00DB7466" w:rsidRDefault="00DB7466" w:rsidP="00AD4EA1"/>
    <w:p w14:paraId="32DB85BC" w14:textId="77777777" w:rsidR="00DB7466" w:rsidRDefault="00DB7466" w:rsidP="00AD4EA1"/>
    <w:p w14:paraId="2AA645AE" w14:textId="77777777" w:rsidR="00DB7466" w:rsidRDefault="00DB7466" w:rsidP="00AD4EA1"/>
    <w:p w14:paraId="47CBE985" w14:textId="77777777" w:rsidR="00DB7466" w:rsidRDefault="00DB7466" w:rsidP="00AD4EA1"/>
    <w:p w14:paraId="74CA6DD4" w14:textId="77777777" w:rsidR="00DB7466" w:rsidRDefault="00DB7466" w:rsidP="00AD4EA1"/>
    <w:p w14:paraId="14E4480B" w14:textId="77777777" w:rsidR="00DB7466" w:rsidRDefault="00DB7466" w:rsidP="00AD4EA1"/>
    <w:p w14:paraId="14AC8260" w14:textId="77777777" w:rsidR="00DB7466" w:rsidRDefault="00DB7466" w:rsidP="00AD4EA1"/>
    <w:p w14:paraId="39124F14" w14:textId="77777777" w:rsidR="00DB7466" w:rsidRDefault="00DB7466" w:rsidP="00AD4EA1"/>
    <w:p w14:paraId="0E708092" w14:textId="77777777" w:rsidR="00DB7466" w:rsidRDefault="00DB7466" w:rsidP="00AD4EA1"/>
    <w:p w14:paraId="0D010D66" w14:textId="77777777" w:rsidR="00DB7466" w:rsidRDefault="00DB7466" w:rsidP="00AD4EA1"/>
    <w:p w14:paraId="7C6BC9E8" w14:textId="77777777" w:rsidR="00DB7466" w:rsidRDefault="00DB7466" w:rsidP="00AD4EA1"/>
    <w:p w14:paraId="4E2DD0E7" w14:textId="77777777" w:rsidR="00DB7466" w:rsidRDefault="00DB7466" w:rsidP="00AD4EA1"/>
    <w:p w14:paraId="4EB3FF11" w14:textId="77777777" w:rsidR="00DB7466" w:rsidRDefault="00DB7466" w:rsidP="00AD4EA1"/>
    <w:p w14:paraId="6A4CFE26" w14:textId="77777777" w:rsidR="00DB7466" w:rsidRDefault="00DB7466" w:rsidP="00AD4EA1"/>
    <w:p w14:paraId="26BEE2E1" w14:textId="77777777" w:rsidR="00DB7466" w:rsidRDefault="00DB7466" w:rsidP="00AD4EA1"/>
    <w:p w14:paraId="04129ADF" w14:textId="77777777" w:rsidR="00DB7466" w:rsidRDefault="00DB7466" w:rsidP="00AD4EA1"/>
    <w:p w14:paraId="58CC1B47" w14:textId="77777777" w:rsidR="00DB7466" w:rsidRDefault="00DB7466" w:rsidP="00AD4EA1"/>
    <w:p w14:paraId="293F4A76" w14:textId="77777777" w:rsidR="00DB7466" w:rsidRDefault="00DB7466" w:rsidP="00AD4EA1"/>
    <w:p w14:paraId="7C185845" w14:textId="77777777" w:rsidR="00DB7466" w:rsidRDefault="00DB7466" w:rsidP="00AD4EA1"/>
    <w:p w14:paraId="4CFF533D" w14:textId="77777777" w:rsidR="00DB7466" w:rsidRDefault="00DB7466" w:rsidP="00AD4EA1"/>
    <w:p w14:paraId="7A2934E1" w14:textId="77777777" w:rsidR="00DB7466" w:rsidRDefault="00DB7466" w:rsidP="00AD4EA1"/>
    <w:p w14:paraId="19DEA742" w14:textId="77777777" w:rsidR="00DB7466" w:rsidRDefault="00DB7466" w:rsidP="00AD4EA1"/>
    <w:p w14:paraId="0DC34AD9" w14:textId="77777777" w:rsidR="00DB7466" w:rsidRDefault="00DB7466" w:rsidP="00AD4EA1"/>
    <w:p w14:paraId="181B1F55" w14:textId="77777777" w:rsidR="00DB7466" w:rsidRDefault="00DB7466" w:rsidP="00AD4EA1"/>
    <w:p w14:paraId="638DB1B4" w14:textId="77777777" w:rsidR="00DB7466" w:rsidRDefault="00DB7466" w:rsidP="00AD4EA1"/>
    <w:p w14:paraId="4DE73E93" w14:textId="77777777" w:rsidR="00DB7466" w:rsidRDefault="00DB7466" w:rsidP="00AD4EA1"/>
    <w:p w14:paraId="3B5874BB" w14:textId="77777777" w:rsidR="00DB7466" w:rsidRDefault="00DB7466" w:rsidP="00AD4EA1"/>
    <w:p w14:paraId="4B82EFEB" w14:textId="77777777" w:rsidR="00DB7466" w:rsidRDefault="00DB7466" w:rsidP="00AD4EA1"/>
    <w:p w14:paraId="793AD6DF" w14:textId="77777777" w:rsidR="00DB7466" w:rsidRDefault="00DB7466" w:rsidP="00AD4EA1"/>
    <w:p w14:paraId="6152144F" w14:textId="77777777" w:rsidR="00DB7466" w:rsidRDefault="00DB7466" w:rsidP="00AD4EA1"/>
    <w:p w14:paraId="24E1F8BC" w14:textId="77777777" w:rsidR="00DB7466" w:rsidRDefault="00DB7466" w:rsidP="00AD4EA1"/>
    <w:p w14:paraId="0C101C91" w14:textId="77777777" w:rsidR="00DB7466" w:rsidRDefault="00DB7466" w:rsidP="00AD4EA1"/>
    <w:p w14:paraId="6124991A" w14:textId="77777777" w:rsidR="00DB7466" w:rsidRDefault="00DB7466" w:rsidP="00AD4EA1"/>
    <w:p w14:paraId="54125DA6" w14:textId="77777777" w:rsidR="00DB7466" w:rsidRDefault="00DB7466" w:rsidP="00AD4EA1"/>
    <w:p w14:paraId="5F9F9606" w14:textId="77777777" w:rsidR="00DB7466" w:rsidRDefault="00DB7466" w:rsidP="00AD4EA1"/>
    <w:p w14:paraId="084B5387" w14:textId="77777777" w:rsidR="00DB7466" w:rsidRDefault="00DB7466" w:rsidP="00AD4EA1"/>
    <w:p w14:paraId="4CD0125F" w14:textId="77777777" w:rsidR="00DB7466" w:rsidRDefault="00DB7466" w:rsidP="00AD4EA1"/>
    <w:p w14:paraId="655DA66B" w14:textId="77777777" w:rsidR="00DB7466" w:rsidRDefault="00DB7466" w:rsidP="00AD4EA1"/>
    <w:p w14:paraId="54C643E4" w14:textId="77777777" w:rsidR="00DB7466" w:rsidRDefault="00DB7466" w:rsidP="00AD4EA1"/>
    <w:p w14:paraId="552766AE" w14:textId="77777777" w:rsidR="00DB7466" w:rsidRDefault="00DB7466" w:rsidP="00AD4EA1"/>
    <w:p w14:paraId="639B0DC8" w14:textId="77777777" w:rsidR="00DB7466" w:rsidRDefault="00DB7466" w:rsidP="00AD4EA1"/>
    <w:p w14:paraId="4E6C9310" w14:textId="77777777" w:rsidR="00DB7466" w:rsidRDefault="00DB7466" w:rsidP="00AD4EA1"/>
    <w:p w14:paraId="3652ABBF" w14:textId="77777777" w:rsidR="00DB7466" w:rsidRDefault="00DB7466" w:rsidP="00AD4EA1"/>
    <w:p w14:paraId="1C939D8C" w14:textId="77777777" w:rsidR="00DB7466" w:rsidRDefault="00DB7466" w:rsidP="00AD4EA1"/>
    <w:p w14:paraId="660FD18F" w14:textId="77777777" w:rsidR="00DB7466" w:rsidRDefault="00DB7466" w:rsidP="00AD4EA1"/>
    <w:p w14:paraId="07E742A7" w14:textId="77777777" w:rsidR="00DB7466" w:rsidRDefault="00DB7466" w:rsidP="00AD4EA1"/>
    <w:p w14:paraId="4DF4C321" w14:textId="77777777" w:rsidR="00DB7466" w:rsidRDefault="00DB7466" w:rsidP="00AD4EA1"/>
    <w:p w14:paraId="41EEA740" w14:textId="77777777" w:rsidR="00DB7466" w:rsidRDefault="00DB7466" w:rsidP="00AD4EA1"/>
    <w:p w14:paraId="7B93090E" w14:textId="77777777" w:rsidR="00DB7466" w:rsidRDefault="00DB7466" w:rsidP="00AD4EA1"/>
    <w:p w14:paraId="52CF50E0" w14:textId="77777777" w:rsidR="00DB7466" w:rsidRDefault="00DB7466" w:rsidP="00AD4EA1"/>
    <w:p w14:paraId="765E85B3" w14:textId="77777777" w:rsidR="00DB7466" w:rsidRDefault="00DB7466" w:rsidP="00AD4EA1"/>
    <w:p w14:paraId="233C2C8C" w14:textId="77777777" w:rsidR="00DB7466" w:rsidRDefault="00DB7466" w:rsidP="00AD4EA1"/>
    <w:p w14:paraId="5685CEE6" w14:textId="77777777" w:rsidR="00DB7466" w:rsidRDefault="00DB7466" w:rsidP="00AD4EA1"/>
    <w:p w14:paraId="665F37CD" w14:textId="77777777" w:rsidR="00DB7466" w:rsidRDefault="00DB7466" w:rsidP="00AD4EA1"/>
    <w:p w14:paraId="6DECA30A" w14:textId="77777777" w:rsidR="00DB7466" w:rsidRDefault="00DB7466" w:rsidP="00AD4EA1"/>
    <w:p w14:paraId="2A37A23B" w14:textId="77777777" w:rsidR="00DB7466" w:rsidRDefault="00DB7466" w:rsidP="00AD4EA1"/>
    <w:p w14:paraId="335784FB" w14:textId="77777777" w:rsidR="00DB7466" w:rsidRDefault="00DB7466" w:rsidP="00AD4EA1"/>
    <w:p w14:paraId="3F9558F7" w14:textId="77777777" w:rsidR="00DB7466" w:rsidRDefault="00DB7466" w:rsidP="00AD4EA1"/>
    <w:p w14:paraId="5F82D604" w14:textId="77777777" w:rsidR="00DB7466" w:rsidRDefault="00DB7466" w:rsidP="00AD4EA1"/>
    <w:p w14:paraId="395952F0" w14:textId="77777777" w:rsidR="00DB7466" w:rsidRDefault="00DB7466" w:rsidP="00AD4EA1"/>
    <w:p w14:paraId="32CF81DA" w14:textId="77777777" w:rsidR="00DB7466" w:rsidRDefault="00DB7466" w:rsidP="00AD4EA1"/>
    <w:p w14:paraId="5DB558AB" w14:textId="77777777" w:rsidR="00DB7466" w:rsidRDefault="00DB7466" w:rsidP="00AD4EA1"/>
    <w:p w14:paraId="1117751C" w14:textId="77777777" w:rsidR="00DB7466" w:rsidRDefault="00DB7466" w:rsidP="00AD4EA1"/>
    <w:p w14:paraId="4BF4769B" w14:textId="77777777" w:rsidR="00DB7466" w:rsidRDefault="00DB7466" w:rsidP="00AD4EA1"/>
    <w:p w14:paraId="7C77046D" w14:textId="77777777" w:rsidR="00DB7466" w:rsidRDefault="00DB7466" w:rsidP="00AD4EA1"/>
    <w:p w14:paraId="7CF1CDEB" w14:textId="77777777" w:rsidR="00DB7466" w:rsidRDefault="00DB7466" w:rsidP="00AD4EA1"/>
    <w:p w14:paraId="6375A82E" w14:textId="77777777" w:rsidR="00DB7466" w:rsidRDefault="00DB7466" w:rsidP="00AD4EA1"/>
    <w:p w14:paraId="33C1D7A2" w14:textId="77777777" w:rsidR="00DB7466" w:rsidRDefault="00DB7466" w:rsidP="00AD4EA1"/>
    <w:p w14:paraId="2E7A4369" w14:textId="77777777" w:rsidR="00DB7466" w:rsidRDefault="00DB7466" w:rsidP="00AD4EA1"/>
    <w:p w14:paraId="2378D9A7" w14:textId="77777777" w:rsidR="00DB7466" w:rsidRDefault="00DB7466" w:rsidP="00AD4EA1"/>
    <w:p w14:paraId="6E42B295" w14:textId="77777777" w:rsidR="00DB7466" w:rsidRDefault="00DB7466" w:rsidP="00AD4EA1"/>
    <w:p w14:paraId="0FC9F2F2" w14:textId="77777777" w:rsidR="00DB7466" w:rsidRDefault="00DB7466" w:rsidP="00AD4EA1"/>
    <w:p w14:paraId="5179E848" w14:textId="77777777" w:rsidR="00DB7466" w:rsidRDefault="00DB7466" w:rsidP="00AD4EA1"/>
    <w:p w14:paraId="4CD0FF1A" w14:textId="77777777" w:rsidR="00DB7466" w:rsidRDefault="00DB7466" w:rsidP="00AD4EA1"/>
    <w:p w14:paraId="08D76656" w14:textId="77777777" w:rsidR="00DB7466" w:rsidRDefault="00DB7466" w:rsidP="00AD4EA1"/>
    <w:p w14:paraId="4A7D9535" w14:textId="77777777" w:rsidR="00DB7466" w:rsidRDefault="00DB7466" w:rsidP="00AD4EA1"/>
    <w:p w14:paraId="4ED1F349" w14:textId="77777777" w:rsidR="00DB7466" w:rsidRDefault="00DB7466" w:rsidP="00AD4EA1"/>
    <w:p w14:paraId="676F19F9" w14:textId="77777777" w:rsidR="00DB7466" w:rsidRDefault="00DB7466" w:rsidP="00AD4EA1"/>
    <w:p w14:paraId="2C445939" w14:textId="77777777" w:rsidR="00DB7466" w:rsidRDefault="00DB7466" w:rsidP="00AD4EA1"/>
    <w:p w14:paraId="551FAB89" w14:textId="77777777" w:rsidR="00DB7466" w:rsidRDefault="00DB7466" w:rsidP="00AD4EA1"/>
    <w:p w14:paraId="3B0479B7" w14:textId="77777777" w:rsidR="00DB7466" w:rsidRDefault="00DB7466" w:rsidP="00AD4EA1"/>
    <w:p w14:paraId="35BE3E3E" w14:textId="77777777" w:rsidR="00DB7466" w:rsidRDefault="00DB7466" w:rsidP="00AD4EA1"/>
    <w:p w14:paraId="5E66A56A" w14:textId="77777777" w:rsidR="00DB7466" w:rsidRDefault="00DB7466" w:rsidP="00AD4EA1"/>
    <w:p w14:paraId="22E4CBFF" w14:textId="77777777" w:rsidR="00DB7466" w:rsidRDefault="00DB7466" w:rsidP="00AD4EA1"/>
    <w:p w14:paraId="3E72AC1C" w14:textId="77777777" w:rsidR="00DB7466" w:rsidRDefault="00DB7466" w:rsidP="00AD4EA1"/>
    <w:p w14:paraId="50418A09" w14:textId="77777777" w:rsidR="00DB7466" w:rsidRDefault="00DB7466" w:rsidP="00AD4EA1"/>
    <w:p w14:paraId="7D594944" w14:textId="77777777" w:rsidR="00DB7466" w:rsidRDefault="00DB7466" w:rsidP="00AD4EA1"/>
    <w:p w14:paraId="655CB946" w14:textId="77777777" w:rsidR="00DB7466" w:rsidRDefault="00DB7466" w:rsidP="00AD4EA1"/>
    <w:p w14:paraId="313CB122" w14:textId="77777777" w:rsidR="00DB7466" w:rsidRDefault="00DB7466" w:rsidP="00AD4EA1"/>
    <w:p w14:paraId="0064451D" w14:textId="77777777" w:rsidR="00DB7466" w:rsidRDefault="00DB7466" w:rsidP="00AD4EA1"/>
    <w:p w14:paraId="21BC2242" w14:textId="77777777" w:rsidR="00DB7466" w:rsidRDefault="00DB7466" w:rsidP="00AD4EA1"/>
    <w:p w14:paraId="497B04B6" w14:textId="77777777" w:rsidR="00DB7466" w:rsidRDefault="00DB7466" w:rsidP="00AD4EA1"/>
    <w:p w14:paraId="0F708DF7" w14:textId="77777777" w:rsidR="00DB7466" w:rsidRDefault="00DB7466" w:rsidP="00AD4EA1"/>
    <w:p w14:paraId="6C02FA05" w14:textId="77777777" w:rsidR="00DB7466" w:rsidRDefault="00DB7466" w:rsidP="00AD4EA1"/>
    <w:p w14:paraId="493E81FC" w14:textId="77777777" w:rsidR="00DB7466" w:rsidRDefault="00DB7466" w:rsidP="00AD4EA1"/>
    <w:p w14:paraId="7E0D773C" w14:textId="77777777" w:rsidR="00DB7466" w:rsidRDefault="00DB7466" w:rsidP="00AD4EA1"/>
    <w:p w14:paraId="65A43F11" w14:textId="77777777" w:rsidR="00DB7466" w:rsidRDefault="00DB7466" w:rsidP="00AD4EA1"/>
    <w:p w14:paraId="69145C32" w14:textId="77777777" w:rsidR="00DB7466" w:rsidRDefault="00DB7466" w:rsidP="00AD4EA1"/>
    <w:p w14:paraId="4D21CF04" w14:textId="77777777" w:rsidR="00DB7466" w:rsidRDefault="00DB7466" w:rsidP="00AD4EA1"/>
    <w:p w14:paraId="250FB907" w14:textId="77777777" w:rsidR="00DB7466" w:rsidRDefault="00DB7466" w:rsidP="00AD4EA1"/>
    <w:p w14:paraId="6739FC96" w14:textId="77777777" w:rsidR="00DB7466" w:rsidRDefault="00DB7466" w:rsidP="00AD4EA1"/>
    <w:p w14:paraId="369BE56D" w14:textId="77777777" w:rsidR="00DB7466" w:rsidRDefault="00DB7466" w:rsidP="00AD4EA1"/>
    <w:p w14:paraId="15BD65C2" w14:textId="77777777" w:rsidR="00DB7466" w:rsidRDefault="00DB7466" w:rsidP="00AD4EA1"/>
    <w:p w14:paraId="1DF5912E" w14:textId="77777777" w:rsidR="00DB7466" w:rsidRDefault="00DB7466" w:rsidP="00AD4EA1"/>
    <w:p w14:paraId="70CF530C" w14:textId="77777777" w:rsidR="00DB7466" w:rsidRDefault="00DB7466" w:rsidP="00AD4EA1"/>
    <w:p w14:paraId="5CB1DC2F" w14:textId="77777777" w:rsidR="00DB7466" w:rsidRDefault="00DB7466" w:rsidP="00AD4EA1"/>
    <w:p w14:paraId="2E58D569" w14:textId="77777777" w:rsidR="00DB7466" w:rsidRDefault="00DB7466" w:rsidP="00AD4EA1"/>
    <w:p w14:paraId="20FFEAEC" w14:textId="77777777" w:rsidR="00DB7466" w:rsidRDefault="00DB7466" w:rsidP="00AD4EA1"/>
    <w:p w14:paraId="14E4280B" w14:textId="77777777" w:rsidR="00DB7466" w:rsidRDefault="00DB7466" w:rsidP="00AD4EA1"/>
    <w:p w14:paraId="0FE0EC57" w14:textId="77777777" w:rsidR="00DB7466" w:rsidRDefault="00DB7466" w:rsidP="00AD4EA1"/>
    <w:p w14:paraId="42D77DE0" w14:textId="77777777" w:rsidR="00DB7466" w:rsidRDefault="00DB7466" w:rsidP="00AD4EA1"/>
    <w:p w14:paraId="6004E406" w14:textId="77777777" w:rsidR="00DB7466" w:rsidRDefault="00DB7466" w:rsidP="00AD4EA1"/>
    <w:p w14:paraId="36AC985E" w14:textId="77777777" w:rsidR="00DB7466" w:rsidRDefault="00DB7466" w:rsidP="00AD4EA1"/>
    <w:p w14:paraId="165E0DFD" w14:textId="77777777" w:rsidR="00DB7466" w:rsidRDefault="00DB7466" w:rsidP="00AD4EA1"/>
    <w:p w14:paraId="314B7376" w14:textId="77777777" w:rsidR="00DB7466" w:rsidRDefault="00DB7466" w:rsidP="00AD4EA1"/>
    <w:p w14:paraId="36993376" w14:textId="77777777" w:rsidR="00DB7466" w:rsidRDefault="00DB7466" w:rsidP="00AD4EA1"/>
    <w:p w14:paraId="2E57F52F" w14:textId="77777777" w:rsidR="00DB7466" w:rsidRDefault="00DB7466" w:rsidP="00AD4EA1"/>
    <w:p w14:paraId="7F65D234" w14:textId="77777777" w:rsidR="00DB7466" w:rsidRDefault="00DB7466" w:rsidP="00AD4EA1"/>
    <w:p w14:paraId="003E15B2" w14:textId="77777777" w:rsidR="00DB7466" w:rsidRDefault="00DB7466" w:rsidP="00AD4EA1"/>
    <w:p w14:paraId="68D30A6E" w14:textId="77777777" w:rsidR="00DB7466" w:rsidRDefault="00DB7466" w:rsidP="00AD4EA1"/>
    <w:p w14:paraId="034403B8" w14:textId="77777777" w:rsidR="00DB7466" w:rsidRDefault="00DB7466" w:rsidP="00AD4EA1"/>
    <w:p w14:paraId="634F5EF7" w14:textId="77777777" w:rsidR="00DB7466" w:rsidRDefault="00DB7466" w:rsidP="00AD4EA1"/>
    <w:p w14:paraId="76FB219D" w14:textId="77777777" w:rsidR="00DB7466" w:rsidRDefault="00DB7466" w:rsidP="00AD4EA1"/>
    <w:p w14:paraId="1B458CDB" w14:textId="77777777" w:rsidR="00DB7466" w:rsidRDefault="00DB7466" w:rsidP="00AD4EA1"/>
    <w:p w14:paraId="56397B1C" w14:textId="77777777" w:rsidR="00DB7466" w:rsidRDefault="00DB7466" w:rsidP="00AD4EA1"/>
    <w:p w14:paraId="7634BAEF" w14:textId="77777777" w:rsidR="00DB7466" w:rsidRDefault="00DB7466" w:rsidP="00AD4EA1"/>
    <w:p w14:paraId="5FF453E4" w14:textId="77777777" w:rsidR="00DB7466" w:rsidRDefault="00DB7466" w:rsidP="00AD4EA1"/>
    <w:p w14:paraId="3B432F6A" w14:textId="77777777" w:rsidR="00DB7466" w:rsidRDefault="00DB7466" w:rsidP="00AD4EA1"/>
    <w:p w14:paraId="1B7ECA54" w14:textId="77777777" w:rsidR="00DB7466" w:rsidRDefault="00DB7466" w:rsidP="00AD4EA1"/>
    <w:p w14:paraId="6A24C3AB" w14:textId="77777777" w:rsidR="00DB7466" w:rsidRDefault="00DB7466" w:rsidP="00AD4EA1"/>
    <w:p w14:paraId="1F735815" w14:textId="77777777" w:rsidR="00DB7466" w:rsidRDefault="00DB7466" w:rsidP="00AD4EA1"/>
    <w:p w14:paraId="2706D2C1" w14:textId="77777777" w:rsidR="00DB7466" w:rsidRDefault="00DB7466" w:rsidP="00AD4EA1"/>
    <w:p w14:paraId="4BD007A3" w14:textId="77777777" w:rsidR="00DB7466" w:rsidRDefault="00DB7466" w:rsidP="00AD4EA1"/>
    <w:p w14:paraId="06C1C3AC" w14:textId="77777777" w:rsidR="00DB7466" w:rsidRDefault="00DB7466" w:rsidP="00AD4EA1"/>
    <w:p w14:paraId="527C4D96" w14:textId="77777777" w:rsidR="00DB7466" w:rsidRDefault="00DB7466" w:rsidP="00AD4EA1"/>
    <w:p w14:paraId="05B964DD" w14:textId="77777777" w:rsidR="00DB7466" w:rsidRDefault="00DB7466" w:rsidP="00AD4EA1"/>
    <w:p w14:paraId="345F1EF2" w14:textId="77777777" w:rsidR="00DB7466" w:rsidRDefault="00DB7466" w:rsidP="00AD4EA1"/>
    <w:p w14:paraId="4032E748" w14:textId="77777777" w:rsidR="00DB7466" w:rsidRDefault="00DB7466" w:rsidP="00AD4EA1"/>
    <w:p w14:paraId="7BDF85ED" w14:textId="77777777" w:rsidR="00DB7466" w:rsidRDefault="00DB7466" w:rsidP="00AD4EA1"/>
    <w:p w14:paraId="4921CDF5" w14:textId="77777777" w:rsidR="00DB7466" w:rsidRDefault="00DB7466" w:rsidP="00AD4EA1"/>
    <w:p w14:paraId="30E70965" w14:textId="77777777" w:rsidR="00DB7466" w:rsidRDefault="00DB7466" w:rsidP="00AD4EA1"/>
    <w:p w14:paraId="2A6035EB" w14:textId="77777777" w:rsidR="00DB7466" w:rsidRDefault="00DB7466" w:rsidP="00AD4EA1"/>
    <w:p w14:paraId="48014420" w14:textId="77777777" w:rsidR="00DB7466" w:rsidRDefault="00DB7466" w:rsidP="00AD4EA1"/>
    <w:p w14:paraId="739F4B99" w14:textId="77777777" w:rsidR="00DB7466" w:rsidRDefault="00DB7466" w:rsidP="00AD4EA1"/>
    <w:p w14:paraId="412433D4" w14:textId="77777777" w:rsidR="00DB7466" w:rsidRDefault="00DB7466" w:rsidP="00AD4EA1"/>
    <w:p w14:paraId="24E5209D" w14:textId="77777777" w:rsidR="00DB7466" w:rsidRDefault="00DB7466" w:rsidP="00AD4EA1"/>
    <w:p w14:paraId="0520DD4A" w14:textId="77777777" w:rsidR="00DB7466" w:rsidRDefault="00DB7466" w:rsidP="00AD4EA1"/>
    <w:p w14:paraId="58D6007A" w14:textId="77777777" w:rsidR="00DB7466" w:rsidRDefault="00DB7466" w:rsidP="00AD4EA1"/>
    <w:p w14:paraId="24DD22B0" w14:textId="77777777" w:rsidR="00DB7466" w:rsidRDefault="00DB7466" w:rsidP="00AD4EA1"/>
    <w:p w14:paraId="52886FA9" w14:textId="77777777" w:rsidR="00DB7466" w:rsidRDefault="00DB7466" w:rsidP="00AD4EA1"/>
    <w:p w14:paraId="5730894C" w14:textId="77777777" w:rsidR="00DB7466" w:rsidRDefault="00DB7466" w:rsidP="00AD4EA1"/>
    <w:p w14:paraId="7C101FD1" w14:textId="77777777" w:rsidR="00DB7466" w:rsidRDefault="00DB7466" w:rsidP="00AD4EA1"/>
    <w:p w14:paraId="11A194C2" w14:textId="77777777" w:rsidR="00DB7466" w:rsidRDefault="00DB7466" w:rsidP="00AD4EA1"/>
    <w:p w14:paraId="7ED48574" w14:textId="77777777" w:rsidR="00DB7466" w:rsidRDefault="00DB7466" w:rsidP="00AD4EA1"/>
    <w:p w14:paraId="3A10AF13" w14:textId="77777777" w:rsidR="00DB7466" w:rsidRDefault="00DB7466" w:rsidP="00AD4EA1"/>
    <w:p w14:paraId="2D19302A" w14:textId="77777777" w:rsidR="00DB7466" w:rsidRDefault="00DB7466" w:rsidP="00AD4EA1"/>
    <w:p w14:paraId="3A5980F1" w14:textId="77777777" w:rsidR="00DB7466" w:rsidRDefault="00DB7466" w:rsidP="00AD4EA1"/>
    <w:p w14:paraId="16B4748C" w14:textId="77777777" w:rsidR="00DB7466" w:rsidRDefault="00DB7466" w:rsidP="00AD4EA1"/>
    <w:p w14:paraId="23E7CDEB" w14:textId="77777777" w:rsidR="00DB7466" w:rsidRDefault="00DB7466" w:rsidP="00AD4EA1"/>
    <w:p w14:paraId="0ED3668C" w14:textId="77777777" w:rsidR="00DB7466" w:rsidRDefault="00DB7466" w:rsidP="00AD4EA1"/>
    <w:p w14:paraId="5F11C8D9" w14:textId="77777777" w:rsidR="00DB7466" w:rsidRDefault="00DB7466" w:rsidP="00AD4EA1"/>
    <w:p w14:paraId="48530B51" w14:textId="77777777" w:rsidR="00DB7466" w:rsidRDefault="00DB7466" w:rsidP="00AD4EA1"/>
    <w:p w14:paraId="34E5FE24" w14:textId="77777777" w:rsidR="00DB7466" w:rsidRDefault="00DB7466" w:rsidP="00AD4EA1"/>
    <w:p w14:paraId="76536B24" w14:textId="77777777" w:rsidR="00DB7466" w:rsidRDefault="00DB7466" w:rsidP="00AD4EA1"/>
    <w:p w14:paraId="79422987" w14:textId="77777777" w:rsidR="00DB7466" w:rsidRDefault="00DB7466" w:rsidP="00AD4EA1"/>
    <w:p w14:paraId="7A401E25" w14:textId="77777777" w:rsidR="00DB7466" w:rsidRDefault="00DB7466" w:rsidP="00AD4EA1"/>
    <w:p w14:paraId="08D16642" w14:textId="77777777" w:rsidR="00DB7466" w:rsidRDefault="00DB7466" w:rsidP="00AD4EA1"/>
    <w:p w14:paraId="644CAC58" w14:textId="77777777" w:rsidR="00DB7466" w:rsidRDefault="00DB7466" w:rsidP="00AD4EA1"/>
    <w:p w14:paraId="6C7C98E9" w14:textId="77777777" w:rsidR="00DB7466" w:rsidRDefault="00DB7466" w:rsidP="00AD4EA1"/>
    <w:p w14:paraId="030326E6" w14:textId="77777777" w:rsidR="00DB7466" w:rsidRDefault="00DB7466" w:rsidP="00AD4EA1"/>
    <w:p w14:paraId="2AF7E999" w14:textId="77777777" w:rsidR="00DB7466" w:rsidRDefault="00DB7466" w:rsidP="00AD4EA1"/>
    <w:p w14:paraId="03C9543A" w14:textId="77777777" w:rsidR="00DB7466" w:rsidRDefault="00DB7466" w:rsidP="00AD4EA1"/>
    <w:p w14:paraId="5DB0DDAE" w14:textId="77777777" w:rsidR="00DB7466" w:rsidRDefault="00DB7466" w:rsidP="00AD4EA1"/>
    <w:p w14:paraId="65354748" w14:textId="77777777" w:rsidR="00DB7466" w:rsidRDefault="00DB7466" w:rsidP="00AD4EA1"/>
    <w:p w14:paraId="47FC84A6" w14:textId="77777777" w:rsidR="00DB7466" w:rsidRDefault="00DB7466" w:rsidP="00AD4EA1"/>
    <w:p w14:paraId="3D79B8EF" w14:textId="77777777" w:rsidR="00DB7466" w:rsidRDefault="00DB7466" w:rsidP="00AD4EA1"/>
    <w:p w14:paraId="01B8807F" w14:textId="77777777" w:rsidR="00DB7466" w:rsidRDefault="00DB7466" w:rsidP="00AD4EA1"/>
    <w:p w14:paraId="1E26292F" w14:textId="77777777" w:rsidR="00DB7466" w:rsidRDefault="00DB7466" w:rsidP="00AD4EA1"/>
    <w:p w14:paraId="3906A786" w14:textId="77777777" w:rsidR="00DB7466" w:rsidRDefault="00DB7466" w:rsidP="00AD4EA1"/>
    <w:p w14:paraId="4F559A0B" w14:textId="77777777" w:rsidR="00DB7466" w:rsidRDefault="00DB7466" w:rsidP="00AD4EA1"/>
    <w:p w14:paraId="22037416" w14:textId="77777777" w:rsidR="00DB7466" w:rsidRDefault="00DB7466" w:rsidP="00AD4EA1"/>
    <w:p w14:paraId="79892C88" w14:textId="77777777" w:rsidR="00DB7466" w:rsidRDefault="00DB7466" w:rsidP="00AD4EA1"/>
    <w:p w14:paraId="1E7E549F" w14:textId="77777777" w:rsidR="00DB7466" w:rsidRDefault="00DB7466" w:rsidP="00AD4EA1"/>
    <w:p w14:paraId="6F810AEF" w14:textId="77777777" w:rsidR="00DB7466" w:rsidRDefault="00DB7466" w:rsidP="00AD4EA1"/>
    <w:p w14:paraId="448D7559" w14:textId="77777777" w:rsidR="00DB7466" w:rsidRDefault="00DB7466" w:rsidP="00AD4EA1"/>
    <w:p w14:paraId="01DBC15C" w14:textId="77777777" w:rsidR="00DB7466" w:rsidRDefault="00DB7466" w:rsidP="00AD4EA1"/>
    <w:p w14:paraId="66959AB8" w14:textId="77777777" w:rsidR="00DB7466" w:rsidRDefault="00DB7466" w:rsidP="00AD4EA1"/>
    <w:p w14:paraId="145D7CCF" w14:textId="77777777" w:rsidR="00DB7466" w:rsidRDefault="00DB7466" w:rsidP="00AD4EA1"/>
    <w:p w14:paraId="6189D442" w14:textId="77777777" w:rsidR="00DB7466" w:rsidRDefault="00DB7466" w:rsidP="00AD4EA1"/>
    <w:p w14:paraId="7FA0D79E" w14:textId="77777777" w:rsidR="00DB7466" w:rsidRDefault="00DB7466" w:rsidP="00AD4EA1"/>
    <w:p w14:paraId="587CBAF6" w14:textId="77777777" w:rsidR="00DB7466" w:rsidRDefault="00DB7466" w:rsidP="00AD4EA1"/>
    <w:p w14:paraId="441D653B" w14:textId="77777777" w:rsidR="00DB7466" w:rsidRDefault="00DB7466" w:rsidP="00AD4EA1"/>
    <w:p w14:paraId="36C1578F" w14:textId="77777777" w:rsidR="00DB7466" w:rsidRDefault="00DB7466" w:rsidP="00AD4EA1"/>
    <w:p w14:paraId="3248DB99" w14:textId="77777777" w:rsidR="00DB7466" w:rsidRDefault="00DB7466" w:rsidP="00AD4EA1"/>
    <w:p w14:paraId="301D3D79" w14:textId="77777777" w:rsidR="00DB7466" w:rsidRDefault="00DB7466" w:rsidP="00AD4EA1"/>
    <w:p w14:paraId="6CCC09F8" w14:textId="77777777" w:rsidR="00DB7466" w:rsidRDefault="00DB7466" w:rsidP="00AD4EA1"/>
    <w:p w14:paraId="6AA76614" w14:textId="77777777" w:rsidR="00DB7466" w:rsidRDefault="00DB7466" w:rsidP="00AD4EA1"/>
    <w:p w14:paraId="3303F830" w14:textId="77777777" w:rsidR="00DB7466" w:rsidRDefault="00DB7466" w:rsidP="00AD4EA1"/>
    <w:p w14:paraId="3A552AFF" w14:textId="77777777" w:rsidR="00DB7466" w:rsidRDefault="00DB7466" w:rsidP="00AD4EA1"/>
    <w:p w14:paraId="705F3F24" w14:textId="77777777" w:rsidR="00DB7466" w:rsidRDefault="00DB7466" w:rsidP="00AD4EA1"/>
    <w:p w14:paraId="1106455D" w14:textId="77777777" w:rsidR="00DB7466" w:rsidRDefault="00DB7466" w:rsidP="00AD4EA1"/>
    <w:p w14:paraId="389FA8DF" w14:textId="77777777" w:rsidR="00DB7466" w:rsidRDefault="00DB7466" w:rsidP="00AD4EA1"/>
    <w:p w14:paraId="601E53AB" w14:textId="77777777" w:rsidR="00DB7466" w:rsidRDefault="00DB7466" w:rsidP="00AD4EA1"/>
    <w:p w14:paraId="067CAD1A" w14:textId="77777777" w:rsidR="00DB7466" w:rsidRDefault="00DB7466" w:rsidP="00AD4EA1"/>
    <w:p w14:paraId="78097A16" w14:textId="77777777" w:rsidR="00DB7466" w:rsidRDefault="00DB7466" w:rsidP="00AD4EA1"/>
    <w:p w14:paraId="1E9D8E50" w14:textId="77777777" w:rsidR="00DB7466" w:rsidRDefault="00DB7466" w:rsidP="00AD4EA1"/>
    <w:p w14:paraId="1D695155" w14:textId="77777777" w:rsidR="00DB7466" w:rsidRDefault="00DB7466" w:rsidP="00AD4EA1"/>
    <w:p w14:paraId="6C61DB2E" w14:textId="77777777" w:rsidR="00DB7466" w:rsidRDefault="00DB7466" w:rsidP="00AD4EA1"/>
    <w:p w14:paraId="0122617C" w14:textId="77777777" w:rsidR="00DB7466" w:rsidRDefault="00DB7466" w:rsidP="00AD4EA1"/>
    <w:p w14:paraId="1F028992" w14:textId="77777777" w:rsidR="00DB7466" w:rsidRDefault="00DB7466" w:rsidP="00AD4EA1"/>
    <w:p w14:paraId="3F64705F" w14:textId="77777777" w:rsidR="00DB7466" w:rsidRDefault="00DB7466" w:rsidP="00AD4EA1"/>
    <w:p w14:paraId="0B37B2B0" w14:textId="77777777" w:rsidR="00DB7466" w:rsidRDefault="00DB7466" w:rsidP="00AD4EA1"/>
    <w:p w14:paraId="72CEAE5A" w14:textId="77777777" w:rsidR="00DB7466" w:rsidRDefault="00DB7466" w:rsidP="00AD4EA1"/>
    <w:p w14:paraId="7E03972C" w14:textId="77777777" w:rsidR="00DB7466" w:rsidRDefault="00DB7466" w:rsidP="00AD4EA1"/>
    <w:p w14:paraId="6ACB6326" w14:textId="77777777" w:rsidR="00DB7466" w:rsidRDefault="00DB7466" w:rsidP="00AD4EA1"/>
    <w:p w14:paraId="17A7A5DD" w14:textId="77777777" w:rsidR="00DB7466" w:rsidRDefault="00DB7466" w:rsidP="00AD4EA1"/>
    <w:p w14:paraId="1592C8E8" w14:textId="77777777" w:rsidR="00DB7466" w:rsidRDefault="00DB7466" w:rsidP="00AD4EA1"/>
    <w:p w14:paraId="3B3239E8" w14:textId="77777777" w:rsidR="00DB7466" w:rsidRDefault="00DB7466" w:rsidP="00AD4EA1"/>
    <w:p w14:paraId="10E45A04" w14:textId="77777777" w:rsidR="00DB7466" w:rsidRDefault="00DB7466" w:rsidP="00AD4EA1"/>
    <w:p w14:paraId="235E120A" w14:textId="77777777" w:rsidR="00DB7466" w:rsidRDefault="00DB7466" w:rsidP="00AD4EA1"/>
    <w:p w14:paraId="6AE6C127" w14:textId="77777777" w:rsidR="00DB7466" w:rsidRDefault="00DB7466" w:rsidP="00AD4EA1"/>
    <w:p w14:paraId="318CE5DC" w14:textId="77777777" w:rsidR="00DB7466" w:rsidRDefault="00DB7466" w:rsidP="00AD4EA1"/>
    <w:p w14:paraId="055B09F5" w14:textId="77777777" w:rsidR="00DB7466" w:rsidRDefault="00DB7466" w:rsidP="00AD4EA1"/>
    <w:p w14:paraId="1099B81A" w14:textId="77777777" w:rsidR="00DB7466" w:rsidRDefault="00DB7466" w:rsidP="00AD4EA1"/>
    <w:p w14:paraId="7438647B" w14:textId="77777777" w:rsidR="00DB7466" w:rsidRDefault="00DB7466" w:rsidP="00AD4EA1"/>
    <w:p w14:paraId="3273B4E0" w14:textId="77777777" w:rsidR="00DB7466" w:rsidRDefault="00DB7466" w:rsidP="00AD4EA1"/>
    <w:p w14:paraId="1BEEC853" w14:textId="77777777" w:rsidR="00DB7466" w:rsidRDefault="00DB7466" w:rsidP="00AD4EA1"/>
    <w:p w14:paraId="3287CE8D" w14:textId="77777777" w:rsidR="00DB7466" w:rsidRDefault="00DB7466" w:rsidP="00AD4EA1"/>
    <w:p w14:paraId="1F0BCC1E" w14:textId="77777777" w:rsidR="00DB7466" w:rsidRDefault="00DB7466" w:rsidP="00AD4EA1"/>
    <w:p w14:paraId="22A26D06" w14:textId="77777777" w:rsidR="00DB7466" w:rsidRDefault="00DB7466" w:rsidP="00AD4EA1"/>
    <w:p w14:paraId="4C3D35A7" w14:textId="77777777" w:rsidR="00DB7466" w:rsidRDefault="00DB7466" w:rsidP="00AD4EA1"/>
    <w:p w14:paraId="63402387" w14:textId="77777777" w:rsidR="00DB7466" w:rsidRDefault="00DB7466" w:rsidP="00AD4EA1"/>
    <w:p w14:paraId="2E9FE668" w14:textId="77777777" w:rsidR="00DB7466" w:rsidRDefault="00DB7466" w:rsidP="00AD4EA1"/>
    <w:p w14:paraId="475700FE" w14:textId="77777777" w:rsidR="00DB7466" w:rsidRDefault="00DB7466" w:rsidP="00AD4EA1"/>
    <w:p w14:paraId="6FCDE89C" w14:textId="77777777" w:rsidR="00DB7466" w:rsidRDefault="00DB7466" w:rsidP="00AD4EA1"/>
    <w:p w14:paraId="4961AECB" w14:textId="77777777" w:rsidR="00DB7466" w:rsidRDefault="00DB7466" w:rsidP="00AD4EA1"/>
    <w:p w14:paraId="437B80FB" w14:textId="77777777" w:rsidR="00DB7466" w:rsidRDefault="00DB7466" w:rsidP="00AD4EA1"/>
    <w:p w14:paraId="740FF1DA" w14:textId="77777777" w:rsidR="00DB7466" w:rsidRDefault="00DB7466" w:rsidP="00AD4EA1"/>
    <w:p w14:paraId="22BE1BC7" w14:textId="77777777" w:rsidR="00DB7466" w:rsidRDefault="00DB7466" w:rsidP="00AD4EA1"/>
    <w:p w14:paraId="723C6434" w14:textId="77777777" w:rsidR="00DB7466" w:rsidRDefault="00DB7466" w:rsidP="00AD4EA1"/>
    <w:p w14:paraId="11DD009A" w14:textId="77777777" w:rsidR="00DB7466" w:rsidRDefault="00DB7466" w:rsidP="00AD4EA1"/>
    <w:p w14:paraId="666CC206" w14:textId="77777777" w:rsidR="00DB7466" w:rsidRDefault="00DB7466" w:rsidP="00AD4EA1"/>
    <w:p w14:paraId="755C5537" w14:textId="77777777" w:rsidR="00DB7466" w:rsidRDefault="00DB7466" w:rsidP="00AD4EA1"/>
    <w:p w14:paraId="723E148A" w14:textId="77777777" w:rsidR="00DB7466" w:rsidRDefault="00DB7466" w:rsidP="00AD4EA1"/>
    <w:p w14:paraId="52A6F22F" w14:textId="77777777" w:rsidR="00DB7466" w:rsidRDefault="00DB7466" w:rsidP="00AD4EA1"/>
    <w:p w14:paraId="69A5DF3F" w14:textId="77777777" w:rsidR="00DB7466" w:rsidRDefault="00DB7466" w:rsidP="00AD4EA1"/>
    <w:p w14:paraId="1B725C7D" w14:textId="77777777" w:rsidR="00DB7466" w:rsidRDefault="00DB7466" w:rsidP="00AD4EA1"/>
    <w:p w14:paraId="0D52F0C5" w14:textId="77777777" w:rsidR="00DB7466" w:rsidRDefault="00DB7466" w:rsidP="00AD4EA1"/>
    <w:p w14:paraId="41EB6260" w14:textId="77777777" w:rsidR="00DB7466" w:rsidRDefault="00DB7466" w:rsidP="00AD4EA1"/>
    <w:p w14:paraId="7E29C82D" w14:textId="77777777" w:rsidR="00DB7466" w:rsidRDefault="00DB7466" w:rsidP="00AD4EA1"/>
    <w:p w14:paraId="23F1553E" w14:textId="77777777" w:rsidR="00DB7466" w:rsidRDefault="00DB7466" w:rsidP="00AD4EA1"/>
    <w:p w14:paraId="7C5FFEC4" w14:textId="77777777" w:rsidR="00DB7466" w:rsidRDefault="00DB7466" w:rsidP="00AD4EA1"/>
    <w:p w14:paraId="09BD9DD7" w14:textId="77777777" w:rsidR="00DB7466" w:rsidRDefault="00DB7466" w:rsidP="00AD4EA1"/>
    <w:p w14:paraId="4A5D05AA" w14:textId="77777777" w:rsidR="00DB7466" w:rsidRDefault="00DB7466" w:rsidP="00AD4EA1"/>
    <w:p w14:paraId="6DAF2C50" w14:textId="77777777" w:rsidR="00DB7466" w:rsidRDefault="00DB7466" w:rsidP="00AD4EA1"/>
    <w:p w14:paraId="7443E5EE" w14:textId="77777777" w:rsidR="00DB7466" w:rsidRDefault="00DB7466" w:rsidP="00AD4EA1"/>
    <w:p w14:paraId="6BD8D8D0" w14:textId="77777777" w:rsidR="00DB7466" w:rsidRDefault="00DB7466" w:rsidP="00AD4EA1"/>
    <w:p w14:paraId="79029F6A" w14:textId="77777777" w:rsidR="00DB7466" w:rsidRDefault="00DB7466" w:rsidP="00AD4EA1"/>
    <w:p w14:paraId="74AAAF73" w14:textId="77777777" w:rsidR="00DB7466" w:rsidRDefault="00DB7466" w:rsidP="00AD4EA1"/>
    <w:p w14:paraId="5319B80D" w14:textId="77777777" w:rsidR="00DB7466" w:rsidRDefault="00DB7466" w:rsidP="00AD4EA1"/>
    <w:p w14:paraId="1CB6AC82" w14:textId="77777777" w:rsidR="00DB7466" w:rsidRDefault="00DB7466" w:rsidP="00AD4EA1"/>
    <w:p w14:paraId="2704AC47" w14:textId="77777777" w:rsidR="00DB7466" w:rsidRDefault="00DB7466" w:rsidP="00AD4EA1"/>
    <w:p w14:paraId="7951EA58" w14:textId="77777777" w:rsidR="00DB7466" w:rsidRDefault="00DB7466" w:rsidP="00AD4EA1"/>
    <w:p w14:paraId="569827E8" w14:textId="77777777" w:rsidR="00DB7466" w:rsidRDefault="00DB7466" w:rsidP="00AD4EA1"/>
    <w:p w14:paraId="263FC587" w14:textId="77777777" w:rsidR="00DB7466" w:rsidRDefault="00DB7466" w:rsidP="00AD4EA1"/>
    <w:p w14:paraId="77898223" w14:textId="77777777" w:rsidR="00DB7466" w:rsidRDefault="00DB7466" w:rsidP="00AD4EA1"/>
    <w:p w14:paraId="71527E76" w14:textId="77777777" w:rsidR="00DB7466" w:rsidRDefault="00DB7466" w:rsidP="00AD4EA1"/>
    <w:p w14:paraId="04CA578D" w14:textId="77777777" w:rsidR="00DB7466" w:rsidRDefault="00DB7466" w:rsidP="00AD4EA1"/>
    <w:p w14:paraId="618D783D" w14:textId="77777777" w:rsidR="00DB7466" w:rsidRDefault="00DB7466" w:rsidP="00AD4EA1"/>
    <w:p w14:paraId="0B4AA8F6" w14:textId="77777777" w:rsidR="00DB7466" w:rsidRDefault="00DB7466" w:rsidP="00AD4EA1"/>
    <w:p w14:paraId="4A408EF4" w14:textId="77777777" w:rsidR="00DB7466" w:rsidRDefault="00DB7466" w:rsidP="00AD4EA1"/>
    <w:p w14:paraId="29B8F937" w14:textId="77777777" w:rsidR="00DB7466" w:rsidRDefault="00DB7466" w:rsidP="00AD4EA1"/>
    <w:p w14:paraId="383D6CE7" w14:textId="77777777" w:rsidR="00DB7466" w:rsidRDefault="00DB7466" w:rsidP="00AD4EA1"/>
    <w:p w14:paraId="27879D0E" w14:textId="77777777" w:rsidR="00DB7466" w:rsidRDefault="00DB7466" w:rsidP="00AD4EA1"/>
    <w:p w14:paraId="18A0F256" w14:textId="77777777" w:rsidR="00DB7466" w:rsidRDefault="00DB7466" w:rsidP="00AD4EA1"/>
    <w:p w14:paraId="717D9552" w14:textId="77777777" w:rsidR="00DB7466" w:rsidRDefault="00DB7466" w:rsidP="00AD4EA1"/>
    <w:p w14:paraId="79D660F3" w14:textId="77777777" w:rsidR="00DB7466" w:rsidRDefault="00DB7466" w:rsidP="00AD4EA1"/>
    <w:p w14:paraId="3052355A" w14:textId="77777777" w:rsidR="00DB7466" w:rsidRDefault="00DB7466" w:rsidP="00AD4EA1"/>
    <w:p w14:paraId="5CD586E6" w14:textId="77777777" w:rsidR="00DB7466" w:rsidRDefault="00DB7466" w:rsidP="00AD4EA1"/>
    <w:p w14:paraId="06A51128" w14:textId="77777777" w:rsidR="00DB7466" w:rsidRDefault="00DB7466" w:rsidP="00AD4EA1"/>
    <w:p w14:paraId="058FD8B8" w14:textId="77777777" w:rsidR="00DB7466" w:rsidRDefault="00DB7466" w:rsidP="00AD4EA1"/>
    <w:p w14:paraId="7A79AC42" w14:textId="77777777" w:rsidR="00DB7466" w:rsidRDefault="00DB7466" w:rsidP="00AD4EA1"/>
    <w:p w14:paraId="28D260A1" w14:textId="77777777" w:rsidR="00DB7466" w:rsidRDefault="00DB7466" w:rsidP="00AD4EA1"/>
    <w:p w14:paraId="29D1D5AF" w14:textId="77777777" w:rsidR="00DB7466" w:rsidRDefault="00DB7466" w:rsidP="00AD4EA1"/>
    <w:p w14:paraId="71FF6234" w14:textId="77777777" w:rsidR="00DB7466" w:rsidRDefault="00DB7466" w:rsidP="00AD4EA1"/>
    <w:p w14:paraId="6D67579A" w14:textId="77777777" w:rsidR="00DB7466" w:rsidRDefault="00DB7466" w:rsidP="00AD4EA1"/>
    <w:p w14:paraId="3098B2BF" w14:textId="77777777" w:rsidR="00DB7466" w:rsidRDefault="00DB7466" w:rsidP="00AD4EA1"/>
    <w:p w14:paraId="6D0E1057" w14:textId="77777777" w:rsidR="00DB7466" w:rsidRDefault="00DB7466" w:rsidP="00AD4EA1"/>
    <w:p w14:paraId="4F95DA55" w14:textId="77777777" w:rsidR="00DB7466" w:rsidRDefault="00DB7466" w:rsidP="00AD4EA1"/>
    <w:p w14:paraId="42E5CB1E" w14:textId="77777777" w:rsidR="00DB7466" w:rsidRDefault="00DB7466" w:rsidP="00AD4EA1"/>
    <w:p w14:paraId="04AE0862" w14:textId="77777777" w:rsidR="00DB7466" w:rsidRDefault="00DB7466" w:rsidP="00AD4EA1"/>
    <w:p w14:paraId="238439D9" w14:textId="77777777" w:rsidR="00DB7466" w:rsidRDefault="00DB7466" w:rsidP="00AD4EA1"/>
    <w:p w14:paraId="22ABEDAF" w14:textId="77777777" w:rsidR="00DB7466" w:rsidRDefault="00DB7466" w:rsidP="00AD4EA1"/>
    <w:p w14:paraId="38CA20BA" w14:textId="77777777" w:rsidR="00DB7466" w:rsidRDefault="00DB7466" w:rsidP="00AD4EA1"/>
    <w:p w14:paraId="3D56445B" w14:textId="77777777" w:rsidR="00DB7466" w:rsidRDefault="00DB7466" w:rsidP="00AD4EA1"/>
    <w:p w14:paraId="31892728" w14:textId="77777777" w:rsidR="00DB7466" w:rsidRDefault="00DB7466" w:rsidP="00AD4EA1"/>
    <w:p w14:paraId="75B00A09" w14:textId="77777777" w:rsidR="00DB7466" w:rsidRDefault="00DB7466" w:rsidP="00AD4EA1"/>
    <w:p w14:paraId="7D7DF9AC" w14:textId="77777777" w:rsidR="00DB7466" w:rsidRDefault="00DB7466" w:rsidP="00AD4EA1"/>
    <w:p w14:paraId="64E025CE" w14:textId="77777777" w:rsidR="00DB7466" w:rsidRDefault="00DB7466" w:rsidP="00AD4EA1"/>
    <w:p w14:paraId="06174674" w14:textId="77777777" w:rsidR="00DB7466" w:rsidRDefault="00DB7466" w:rsidP="00AD4EA1"/>
    <w:p w14:paraId="45F671DC" w14:textId="77777777" w:rsidR="00DB7466" w:rsidRDefault="00DB7466" w:rsidP="00AD4EA1"/>
    <w:p w14:paraId="1A7AD4B9" w14:textId="77777777" w:rsidR="00DB7466" w:rsidRDefault="00DB7466" w:rsidP="00AD4EA1"/>
    <w:p w14:paraId="753F81D7" w14:textId="77777777" w:rsidR="00DB7466" w:rsidRDefault="00DB7466" w:rsidP="00AD4EA1"/>
    <w:p w14:paraId="2064FDA2" w14:textId="77777777" w:rsidR="00DB7466" w:rsidRDefault="00DB7466" w:rsidP="00AD4EA1"/>
    <w:p w14:paraId="5D62F250" w14:textId="77777777" w:rsidR="00DB7466" w:rsidRDefault="00DB7466" w:rsidP="00AD4EA1"/>
    <w:p w14:paraId="37F6C553" w14:textId="77777777" w:rsidR="00DB7466" w:rsidRDefault="00DB7466" w:rsidP="00AD4EA1"/>
    <w:p w14:paraId="10FCC7F6" w14:textId="77777777" w:rsidR="00DB7466" w:rsidRDefault="00DB7466" w:rsidP="00AD4EA1"/>
    <w:p w14:paraId="4C8FF4CB" w14:textId="77777777" w:rsidR="00DB7466" w:rsidRDefault="00DB7466" w:rsidP="00AD4EA1"/>
    <w:p w14:paraId="49AEF413" w14:textId="77777777" w:rsidR="00DB7466" w:rsidRDefault="00DB7466" w:rsidP="00AD4EA1"/>
    <w:p w14:paraId="57D65F0F" w14:textId="77777777" w:rsidR="00DB7466" w:rsidRDefault="00DB7466" w:rsidP="00AD4EA1"/>
    <w:p w14:paraId="56099A57" w14:textId="77777777" w:rsidR="00DB7466" w:rsidRDefault="00DB7466" w:rsidP="00AD4EA1"/>
    <w:p w14:paraId="4972D7EB" w14:textId="77777777" w:rsidR="00DB7466" w:rsidRDefault="00DB7466" w:rsidP="00AD4EA1"/>
    <w:p w14:paraId="55D223D1" w14:textId="77777777" w:rsidR="00DB7466" w:rsidRDefault="00DB7466" w:rsidP="00AD4EA1"/>
    <w:p w14:paraId="79B4F3C5" w14:textId="77777777" w:rsidR="00DB7466" w:rsidRDefault="00DB7466" w:rsidP="00AD4EA1"/>
    <w:p w14:paraId="2DF8CD85" w14:textId="77777777" w:rsidR="00DB7466" w:rsidRDefault="00DB7466" w:rsidP="00AD4EA1"/>
    <w:p w14:paraId="3CF13205" w14:textId="77777777" w:rsidR="00DB7466" w:rsidRDefault="00DB7466" w:rsidP="00AD4EA1"/>
    <w:p w14:paraId="0C18C755" w14:textId="77777777" w:rsidR="00DB7466" w:rsidRDefault="00DB7466" w:rsidP="00AD4EA1"/>
    <w:p w14:paraId="2DA3AF5E" w14:textId="77777777" w:rsidR="00DB7466" w:rsidRDefault="00DB7466" w:rsidP="00AD4EA1"/>
    <w:p w14:paraId="7B8B786B" w14:textId="77777777" w:rsidR="00DB7466" w:rsidRDefault="00DB7466" w:rsidP="00AD4EA1"/>
    <w:p w14:paraId="3097A7D1" w14:textId="77777777" w:rsidR="00DB7466" w:rsidRDefault="00DB7466" w:rsidP="00AD4EA1"/>
    <w:p w14:paraId="450DDC03" w14:textId="77777777" w:rsidR="00DB7466" w:rsidRDefault="00DB7466" w:rsidP="00AD4EA1"/>
    <w:p w14:paraId="3FBE25D3" w14:textId="77777777" w:rsidR="00DB7466" w:rsidRDefault="00DB7466" w:rsidP="00AD4EA1"/>
    <w:p w14:paraId="7CBDD51C" w14:textId="77777777" w:rsidR="00DB7466" w:rsidRDefault="00DB7466" w:rsidP="00AD4EA1"/>
    <w:p w14:paraId="19A57BA0" w14:textId="77777777" w:rsidR="00DB7466" w:rsidRDefault="00DB7466" w:rsidP="00AD4EA1"/>
    <w:p w14:paraId="7C8464B1" w14:textId="77777777" w:rsidR="00DB7466" w:rsidRDefault="00DB7466" w:rsidP="00AD4EA1"/>
    <w:p w14:paraId="7E17C3A6" w14:textId="77777777" w:rsidR="00DB7466" w:rsidRDefault="00DB7466" w:rsidP="00AD4EA1"/>
    <w:p w14:paraId="70B9A020" w14:textId="77777777" w:rsidR="00DB7466" w:rsidRDefault="00DB7466" w:rsidP="00AD4EA1"/>
    <w:p w14:paraId="1C40F053" w14:textId="77777777" w:rsidR="00DB7466" w:rsidRDefault="00DB7466" w:rsidP="00AD4EA1"/>
    <w:p w14:paraId="02506E02" w14:textId="77777777" w:rsidR="00DB7466" w:rsidRDefault="00DB7466" w:rsidP="00AD4EA1"/>
    <w:p w14:paraId="6298EBA3" w14:textId="77777777" w:rsidR="00DB7466" w:rsidRDefault="00DB7466" w:rsidP="00AD4EA1"/>
    <w:p w14:paraId="1F94ACCD" w14:textId="77777777" w:rsidR="00DB7466" w:rsidRDefault="00DB7466" w:rsidP="00AD4EA1"/>
    <w:p w14:paraId="25B60420" w14:textId="77777777" w:rsidR="00DB7466" w:rsidRDefault="00DB7466" w:rsidP="00AD4EA1"/>
    <w:p w14:paraId="52C8F652" w14:textId="77777777" w:rsidR="00DB7466" w:rsidRDefault="00DB7466" w:rsidP="00AD4EA1"/>
    <w:p w14:paraId="029E988F" w14:textId="77777777" w:rsidR="00DB7466" w:rsidRDefault="00DB7466" w:rsidP="00AD4EA1"/>
    <w:p w14:paraId="194F6797" w14:textId="77777777" w:rsidR="00DB7466" w:rsidRDefault="00DB7466" w:rsidP="00AD4EA1"/>
    <w:p w14:paraId="1645C3D5" w14:textId="77777777" w:rsidR="00DB7466" w:rsidRDefault="00DB7466" w:rsidP="00AD4EA1"/>
    <w:p w14:paraId="0D7680CC" w14:textId="77777777" w:rsidR="00DB7466" w:rsidRDefault="00DB7466" w:rsidP="00AD4EA1"/>
    <w:p w14:paraId="1637D15A" w14:textId="77777777" w:rsidR="00DB7466" w:rsidRDefault="00DB7466" w:rsidP="00AD4EA1"/>
    <w:p w14:paraId="766728DB" w14:textId="77777777" w:rsidR="00DB7466" w:rsidRDefault="00DB7466" w:rsidP="00AD4EA1"/>
    <w:p w14:paraId="6E975E7B" w14:textId="77777777" w:rsidR="00DB7466" w:rsidRDefault="00DB7466" w:rsidP="00AD4EA1"/>
    <w:p w14:paraId="40107784" w14:textId="77777777" w:rsidR="00DB7466" w:rsidRDefault="00DB7466" w:rsidP="00AD4EA1"/>
    <w:p w14:paraId="52C5CCE8" w14:textId="77777777" w:rsidR="00DB7466" w:rsidRDefault="00DB7466" w:rsidP="00AD4EA1"/>
    <w:p w14:paraId="0952C4D7" w14:textId="77777777" w:rsidR="00DB7466" w:rsidRDefault="00DB7466" w:rsidP="00AD4EA1"/>
    <w:p w14:paraId="47561671" w14:textId="77777777" w:rsidR="00DB7466" w:rsidRDefault="00DB7466" w:rsidP="00AD4EA1"/>
    <w:p w14:paraId="4CA7B894" w14:textId="77777777" w:rsidR="00DB7466" w:rsidRDefault="00DB7466" w:rsidP="00AD4EA1"/>
    <w:p w14:paraId="5960E333" w14:textId="77777777" w:rsidR="00DB7466" w:rsidRDefault="00DB7466" w:rsidP="00AD4EA1"/>
    <w:p w14:paraId="74F908C5" w14:textId="77777777" w:rsidR="00DB7466" w:rsidRDefault="00DB7466" w:rsidP="00AD4EA1"/>
    <w:p w14:paraId="10D26754" w14:textId="77777777" w:rsidR="00DB7466" w:rsidRDefault="00DB7466" w:rsidP="00AD4EA1"/>
    <w:p w14:paraId="72D2BB6F" w14:textId="77777777" w:rsidR="00DB7466" w:rsidRDefault="00DB7466" w:rsidP="00AD4EA1"/>
    <w:p w14:paraId="196D7AD3" w14:textId="77777777" w:rsidR="00DB7466" w:rsidRDefault="00DB7466" w:rsidP="00AD4EA1"/>
    <w:p w14:paraId="180DC0E7" w14:textId="77777777" w:rsidR="00DB7466" w:rsidRDefault="00DB7466" w:rsidP="00AD4EA1"/>
    <w:p w14:paraId="62AE25FF" w14:textId="77777777" w:rsidR="00DB7466" w:rsidRDefault="00DB7466" w:rsidP="00AD4EA1"/>
    <w:p w14:paraId="4DF49DCC" w14:textId="77777777" w:rsidR="00DB7466" w:rsidRDefault="00DB7466" w:rsidP="00AD4EA1"/>
    <w:p w14:paraId="3C56861C" w14:textId="77777777" w:rsidR="00DB7466" w:rsidRDefault="00DB7466" w:rsidP="00AD4EA1"/>
    <w:p w14:paraId="5E63A255" w14:textId="77777777" w:rsidR="00DB7466" w:rsidRDefault="00DB7466" w:rsidP="00AD4EA1"/>
    <w:p w14:paraId="2F577FA1" w14:textId="77777777" w:rsidR="00DB7466" w:rsidRDefault="00DB7466" w:rsidP="00AD4EA1"/>
    <w:p w14:paraId="4AC81AC8" w14:textId="77777777" w:rsidR="00DB7466" w:rsidRDefault="00DB7466" w:rsidP="00AD4EA1"/>
    <w:p w14:paraId="79B83595" w14:textId="77777777" w:rsidR="00DB7466" w:rsidRDefault="00DB7466" w:rsidP="00AD4EA1"/>
    <w:p w14:paraId="2AEC878C" w14:textId="77777777" w:rsidR="00DB7466" w:rsidRDefault="00DB7466" w:rsidP="00AD4EA1"/>
    <w:p w14:paraId="4F18C76C" w14:textId="77777777" w:rsidR="00DB7466" w:rsidRDefault="00DB7466" w:rsidP="00AD4EA1"/>
    <w:p w14:paraId="04A7519B" w14:textId="77777777" w:rsidR="00DB7466" w:rsidRDefault="00DB7466" w:rsidP="00AD4EA1"/>
    <w:p w14:paraId="21F252D8" w14:textId="77777777" w:rsidR="00DB7466" w:rsidRDefault="00DB7466" w:rsidP="00AD4EA1"/>
    <w:p w14:paraId="6860F066" w14:textId="77777777" w:rsidR="00DB7466" w:rsidRDefault="00DB7466" w:rsidP="00AD4EA1"/>
    <w:p w14:paraId="69F36147" w14:textId="77777777" w:rsidR="00DB7466" w:rsidRDefault="00DB7466" w:rsidP="00AD4EA1"/>
    <w:p w14:paraId="38E7D409" w14:textId="77777777" w:rsidR="00DB7466" w:rsidRDefault="00DB7466" w:rsidP="00AD4EA1"/>
    <w:p w14:paraId="30BE1EAF" w14:textId="77777777" w:rsidR="00DB7466" w:rsidRDefault="00DB7466" w:rsidP="00AD4EA1"/>
    <w:p w14:paraId="08ABE902" w14:textId="77777777" w:rsidR="00DB7466" w:rsidRDefault="00DB7466" w:rsidP="00AD4EA1"/>
    <w:p w14:paraId="4616A581" w14:textId="77777777" w:rsidR="00DB7466" w:rsidRDefault="00DB7466" w:rsidP="00AD4EA1"/>
    <w:p w14:paraId="6DD80D0B" w14:textId="77777777" w:rsidR="00DB7466" w:rsidRDefault="00DB7466" w:rsidP="00AD4EA1"/>
    <w:p w14:paraId="14794E45" w14:textId="77777777" w:rsidR="00DB7466" w:rsidRDefault="00DB7466" w:rsidP="00AD4EA1"/>
    <w:p w14:paraId="0CBC5681" w14:textId="77777777" w:rsidR="00DB7466" w:rsidRDefault="00DB7466" w:rsidP="00AD4EA1"/>
    <w:p w14:paraId="304F5780" w14:textId="77777777" w:rsidR="00DB7466" w:rsidRDefault="00DB7466" w:rsidP="00AD4EA1"/>
    <w:p w14:paraId="6EDC8BA9" w14:textId="77777777" w:rsidR="00DB7466" w:rsidRDefault="00DB7466" w:rsidP="00AD4EA1"/>
    <w:p w14:paraId="1DE6BB26" w14:textId="77777777" w:rsidR="00DB7466" w:rsidRDefault="00DB7466" w:rsidP="00AD4EA1"/>
    <w:p w14:paraId="37A651E2" w14:textId="77777777" w:rsidR="00DB7466" w:rsidRDefault="00DB7466" w:rsidP="00AD4EA1"/>
    <w:p w14:paraId="02A023F8" w14:textId="77777777" w:rsidR="00DB7466" w:rsidRDefault="00DB7466" w:rsidP="00AD4EA1"/>
    <w:p w14:paraId="5490A4E7" w14:textId="77777777" w:rsidR="00DB7466" w:rsidRDefault="00DB7466" w:rsidP="00AD4EA1"/>
    <w:p w14:paraId="4C131A85" w14:textId="77777777" w:rsidR="00DB7466" w:rsidRDefault="00DB7466" w:rsidP="00AD4EA1"/>
    <w:p w14:paraId="13ED40AD" w14:textId="77777777" w:rsidR="00DB7466" w:rsidRDefault="00DB7466" w:rsidP="00AD4EA1"/>
    <w:p w14:paraId="0FD6F6F4" w14:textId="77777777" w:rsidR="00DB7466" w:rsidRDefault="00DB7466" w:rsidP="00AD4EA1"/>
    <w:p w14:paraId="44CCBAC5" w14:textId="77777777" w:rsidR="00DB7466" w:rsidRDefault="00DB7466" w:rsidP="00AD4EA1"/>
    <w:p w14:paraId="7D25E005" w14:textId="77777777" w:rsidR="00DB7466" w:rsidRDefault="00DB7466" w:rsidP="00AD4EA1"/>
    <w:p w14:paraId="31101275" w14:textId="77777777" w:rsidR="00DB7466" w:rsidRDefault="00DB7466" w:rsidP="00AD4EA1"/>
    <w:p w14:paraId="50A0E90C" w14:textId="77777777" w:rsidR="00DB7466" w:rsidRDefault="00DB7466" w:rsidP="00AD4EA1"/>
    <w:p w14:paraId="48194355" w14:textId="77777777" w:rsidR="00DB7466" w:rsidRDefault="00DB7466" w:rsidP="00AD4EA1"/>
    <w:p w14:paraId="0C38E2C8" w14:textId="77777777" w:rsidR="00DB7466" w:rsidRDefault="00DB7466" w:rsidP="00AD4EA1"/>
    <w:p w14:paraId="7D60D065" w14:textId="77777777" w:rsidR="00DB7466" w:rsidRDefault="00DB7466" w:rsidP="00AD4EA1"/>
    <w:p w14:paraId="0627A64F" w14:textId="77777777" w:rsidR="00DB7466" w:rsidRDefault="00DB7466" w:rsidP="00AD4EA1"/>
    <w:p w14:paraId="3A23E2AA" w14:textId="77777777" w:rsidR="00DB7466" w:rsidRDefault="00DB7466" w:rsidP="00AD4EA1"/>
    <w:p w14:paraId="0DBB75EB" w14:textId="77777777" w:rsidR="00DB7466" w:rsidRDefault="00DB7466" w:rsidP="00AD4EA1"/>
    <w:p w14:paraId="6BA769E5" w14:textId="77777777" w:rsidR="00DB7466" w:rsidRDefault="00DB7466" w:rsidP="00AD4EA1"/>
    <w:p w14:paraId="109678DF" w14:textId="77777777" w:rsidR="00DB7466" w:rsidRDefault="00DB7466" w:rsidP="00AD4EA1"/>
    <w:p w14:paraId="77A7AE18" w14:textId="77777777" w:rsidR="00DB7466" w:rsidRDefault="00DB7466" w:rsidP="00AD4EA1"/>
    <w:p w14:paraId="76CEB990" w14:textId="77777777" w:rsidR="00DB7466" w:rsidRDefault="00DB7466" w:rsidP="00AD4EA1"/>
    <w:p w14:paraId="73B1CA69" w14:textId="77777777" w:rsidR="00DB7466" w:rsidRDefault="00DB7466" w:rsidP="00AD4EA1"/>
    <w:p w14:paraId="06AF1D27" w14:textId="77777777" w:rsidR="00DB7466" w:rsidRDefault="00DB7466" w:rsidP="00AD4EA1"/>
    <w:p w14:paraId="06FE1027" w14:textId="77777777" w:rsidR="00DB7466" w:rsidRDefault="00DB7466" w:rsidP="00AD4EA1"/>
    <w:p w14:paraId="5BBE575F" w14:textId="77777777" w:rsidR="00DB7466" w:rsidRDefault="00DB7466" w:rsidP="00AD4EA1"/>
    <w:p w14:paraId="302AC1FC" w14:textId="77777777" w:rsidR="00DB7466" w:rsidRDefault="00DB7466" w:rsidP="00AD4EA1"/>
    <w:p w14:paraId="7360BEA7" w14:textId="77777777" w:rsidR="00DB7466" w:rsidRDefault="00DB7466" w:rsidP="00AD4EA1"/>
    <w:p w14:paraId="617F1243" w14:textId="77777777" w:rsidR="00DB7466" w:rsidRDefault="00DB7466" w:rsidP="00AD4EA1"/>
    <w:p w14:paraId="62EC8F72" w14:textId="77777777" w:rsidR="00DB7466" w:rsidRDefault="00DB7466" w:rsidP="00AD4EA1"/>
    <w:p w14:paraId="2847F2F7" w14:textId="77777777" w:rsidR="00DB7466" w:rsidRDefault="00DB7466" w:rsidP="00AD4EA1"/>
    <w:p w14:paraId="6B40AC71" w14:textId="77777777" w:rsidR="00DB7466" w:rsidRDefault="00DB7466" w:rsidP="00AD4EA1"/>
    <w:p w14:paraId="2B246C87" w14:textId="77777777" w:rsidR="00DB7466" w:rsidRDefault="00DB7466" w:rsidP="00AD4EA1"/>
    <w:p w14:paraId="2F644C17" w14:textId="77777777" w:rsidR="00DB7466" w:rsidRDefault="00DB7466" w:rsidP="00AD4EA1"/>
    <w:p w14:paraId="35C7C80D" w14:textId="77777777" w:rsidR="00DB7466" w:rsidRDefault="00DB7466" w:rsidP="00AD4EA1"/>
    <w:p w14:paraId="4C526F51" w14:textId="77777777" w:rsidR="00DB7466" w:rsidRDefault="00DB7466" w:rsidP="00AD4EA1"/>
    <w:p w14:paraId="1185530A" w14:textId="77777777" w:rsidR="00DB7466" w:rsidRDefault="00DB7466" w:rsidP="00AD4EA1"/>
    <w:p w14:paraId="42CF6D97" w14:textId="77777777" w:rsidR="00DB7466" w:rsidRDefault="00DB7466" w:rsidP="00AD4EA1"/>
    <w:p w14:paraId="2AAC1438" w14:textId="77777777" w:rsidR="00DB7466" w:rsidRDefault="00DB7466" w:rsidP="00AD4EA1"/>
    <w:p w14:paraId="2690846F" w14:textId="77777777" w:rsidR="00DB7466" w:rsidRDefault="00DB7466" w:rsidP="00AD4EA1"/>
    <w:p w14:paraId="113552DF" w14:textId="77777777" w:rsidR="00DB7466" w:rsidRDefault="00DB7466" w:rsidP="00AD4EA1"/>
    <w:p w14:paraId="45B8DF7F" w14:textId="77777777" w:rsidR="00DB7466" w:rsidRDefault="00DB7466" w:rsidP="00AD4EA1"/>
    <w:p w14:paraId="6062E499" w14:textId="77777777" w:rsidR="00DB7466" w:rsidRDefault="00DB7466" w:rsidP="00AD4EA1"/>
    <w:p w14:paraId="4CE8BD23" w14:textId="77777777" w:rsidR="00DB7466" w:rsidRDefault="00DB7466" w:rsidP="00AD4EA1"/>
    <w:p w14:paraId="17ACD5B6" w14:textId="77777777" w:rsidR="00DB7466" w:rsidRDefault="00DB7466" w:rsidP="00AD4EA1"/>
    <w:p w14:paraId="5C8F7378" w14:textId="77777777" w:rsidR="00DB7466" w:rsidRDefault="00DB7466" w:rsidP="00AD4EA1"/>
    <w:p w14:paraId="064D9FF5" w14:textId="77777777" w:rsidR="00DB7466" w:rsidRDefault="00DB7466" w:rsidP="00AD4EA1"/>
    <w:p w14:paraId="6AFE39EA" w14:textId="77777777" w:rsidR="00DB7466" w:rsidRDefault="00DB7466" w:rsidP="00AD4EA1"/>
    <w:p w14:paraId="3600C3E3" w14:textId="77777777" w:rsidR="00DB7466" w:rsidRDefault="00DB7466" w:rsidP="00AD4EA1"/>
    <w:p w14:paraId="5667BB4C" w14:textId="77777777" w:rsidR="00DB7466" w:rsidRDefault="00DB7466" w:rsidP="00AD4EA1"/>
    <w:p w14:paraId="648938A9" w14:textId="77777777" w:rsidR="00DB7466" w:rsidRDefault="00DB7466" w:rsidP="00AD4EA1"/>
    <w:p w14:paraId="7F4F945E" w14:textId="77777777" w:rsidR="00DB7466" w:rsidRDefault="00DB7466" w:rsidP="00AD4EA1"/>
    <w:p w14:paraId="2AFBC659" w14:textId="77777777" w:rsidR="00DB7466" w:rsidRDefault="00DB7466" w:rsidP="00AD4EA1"/>
    <w:p w14:paraId="17F502E6" w14:textId="77777777" w:rsidR="00DB7466" w:rsidRDefault="00DB7466" w:rsidP="00AD4EA1"/>
    <w:p w14:paraId="2D7CFEBB" w14:textId="77777777" w:rsidR="00DB7466" w:rsidRDefault="00DB7466" w:rsidP="00AD4EA1"/>
    <w:p w14:paraId="2F452938" w14:textId="77777777" w:rsidR="00DB7466" w:rsidRDefault="00DB7466" w:rsidP="00AD4EA1"/>
    <w:p w14:paraId="0B4B28A8" w14:textId="77777777" w:rsidR="00DB7466" w:rsidRDefault="00DB7466" w:rsidP="00AD4EA1"/>
    <w:p w14:paraId="5D636A4E" w14:textId="77777777" w:rsidR="00DB7466" w:rsidRDefault="00DB7466" w:rsidP="00AD4EA1"/>
    <w:p w14:paraId="49F211CB" w14:textId="77777777" w:rsidR="00DB7466" w:rsidRDefault="00DB7466" w:rsidP="00AD4EA1"/>
    <w:p w14:paraId="66A18251" w14:textId="77777777" w:rsidR="00DB7466" w:rsidRDefault="00DB7466" w:rsidP="00AD4EA1"/>
    <w:p w14:paraId="5D115B01" w14:textId="77777777" w:rsidR="00DB7466" w:rsidRDefault="00DB7466" w:rsidP="00AD4EA1"/>
    <w:p w14:paraId="7DDD1FAF" w14:textId="77777777" w:rsidR="00DB7466" w:rsidRDefault="00DB7466" w:rsidP="00AD4EA1"/>
    <w:p w14:paraId="2715731D" w14:textId="77777777" w:rsidR="00DB7466" w:rsidRDefault="00DB7466" w:rsidP="00AD4EA1"/>
    <w:p w14:paraId="7CEDE0CB" w14:textId="77777777" w:rsidR="00DB7466" w:rsidRDefault="00DB7466" w:rsidP="00AD4EA1"/>
    <w:p w14:paraId="4CD5D3F7" w14:textId="77777777" w:rsidR="00DB7466" w:rsidRDefault="00DB7466" w:rsidP="00AD4EA1"/>
    <w:p w14:paraId="42318D43" w14:textId="77777777" w:rsidR="00DB7466" w:rsidRDefault="00DB7466" w:rsidP="00AD4EA1"/>
    <w:p w14:paraId="020517B7" w14:textId="77777777" w:rsidR="00DB7466" w:rsidRDefault="00DB7466" w:rsidP="00AD4EA1"/>
    <w:p w14:paraId="186B68D4" w14:textId="77777777" w:rsidR="00DB7466" w:rsidRDefault="00DB7466" w:rsidP="00AD4EA1"/>
    <w:p w14:paraId="6BA139F9" w14:textId="77777777" w:rsidR="00DB7466" w:rsidRDefault="00DB7466" w:rsidP="00AD4EA1"/>
    <w:p w14:paraId="2339F5B4" w14:textId="77777777" w:rsidR="00DB7466" w:rsidRDefault="00DB7466" w:rsidP="00AD4EA1"/>
    <w:p w14:paraId="0193B1C4" w14:textId="77777777" w:rsidR="00DB7466" w:rsidRDefault="00DB7466" w:rsidP="00AD4EA1"/>
    <w:p w14:paraId="1A176899" w14:textId="77777777" w:rsidR="00DB7466" w:rsidRDefault="00DB7466" w:rsidP="00AD4EA1"/>
    <w:p w14:paraId="0F14787F" w14:textId="77777777" w:rsidR="00DB7466" w:rsidRDefault="00DB7466" w:rsidP="00AD4EA1"/>
    <w:p w14:paraId="1F5F66FC" w14:textId="77777777" w:rsidR="00DB7466" w:rsidRDefault="00DB7466" w:rsidP="00AD4EA1"/>
    <w:p w14:paraId="29FE8E47" w14:textId="77777777" w:rsidR="00DB7466" w:rsidRDefault="00DB7466" w:rsidP="00AD4EA1"/>
    <w:p w14:paraId="25A508E2" w14:textId="77777777" w:rsidR="00DB7466" w:rsidRDefault="00DB7466" w:rsidP="00AD4EA1"/>
    <w:p w14:paraId="47528215" w14:textId="77777777" w:rsidR="00DB7466" w:rsidRDefault="00DB7466" w:rsidP="00AD4EA1"/>
    <w:p w14:paraId="435535C2" w14:textId="77777777" w:rsidR="00DB7466" w:rsidRDefault="00DB7466" w:rsidP="00AD4EA1"/>
    <w:p w14:paraId="36FC38A1" w14:textId="77777777" w:rsidR="00DB7466" w:rsidRDefault="00DB7466" w:rsidP="00AD4EA1"/>
    <w:p w14:paraId="05155A93" w14:textId="77777777" w:rsidR="00DB7466" w:rsidRDefault="00DB7466" w:rsidP="00AD4EA1"/>
    <w:p w14:paraId="1F4063F7" w14:textId="77777777" w:rsidR="00DB7466" w:rsidRDefault="00DB7466" w:rsidP="00AD4EA1"/>
    <w:p w14:paraId="0447B4CE" w14:textId="77777777" w:rsidR="00DB7466" w:rsidRDefault="00DB7466" w:rsidP="00AD4EA1"/>
    <w:p w14:paraId="4DEFED8B" w14:textId="77777777" w:rsidR="00DB7466" w:rsidRDefault="00DB7466" w:rsidP="00AD4EA1"/>
    <w:p w14:paraId="0878DBDF" w14:textId="77777777" w:rsidR="00DB7466" w:rsidRDefault="00DB7466" w:rsidP="00AD4EA1"/>
    <w:p w14:paraId="1F979C7B" w14:textId="77777777" w:rsidR="00DB7466" w:rsidRDefault="00DB7466" w:rsidP="00AD4EA1"/>
    <w:p w14:paraId="165AE371" w14:textId="77777777" w:rsidR="00DB7466" w:rsidRDefault="00DB7466" w:rsidP="00AD4EA1"/>
    <w:p w14:paraId="37D427D7" w14:textId="77777777" w:rsidR="00DB7466" w:rsidRDefault="00DB7466" w:rsidP="00AD4EA1"/>
    <w:p w14:paraId="61092903" w14:textId="77777777" w:rsidR="00DB7466" w:rsidRDefault="00DB7466" w:rsidP="00AD4EA1"/>
    <w:p w14:paraId="377743FD" w14:textId="77777777" w:rsidR="00DB7466" w:rsidRDefault="00DB7466" w:rsidP="00AD4EA1"/>
    <w:p w14:paraId="757809F6" w14:textId="77777777" w:rsidR="00DB7466" w:rsidRDefault="00DB7466" w:rsidP="00AD4EA1"/>
    <w:p w14:paraId="19232665" w14:textId="77777777" w:rsidR="00DB7466" w:rsidRDefault="00DB7466" w:rsidP="00AD4EA1"/>
    <w:p w14:paraId="7484A643" w14:textId="77777777" w:rsidR="00DB7466" w:rsidRDefault="00DB7466" w:rsidP="00AD4EA1"/>
    <w:p w14:paraId="1FEB53AD" w14:textId="77777777" w:rsidR="00DB7466" w:rsidRDefault="00DB7466" w:rsidP="00AD4EA1"/>
    <w:p w14:paraId="21F5C6BA" w14:textId="77777777" w:rsidR="00DB7466" w:rsidRDefault="00DB7466" w:rsidP="00AD4EA1"/>
    <w:p w14:paraId="6CD58DDB" w14:textId="77777777" w:rsidR="00DB7466" w:rsidRDefault="00DB7466" w:rsidP="00AD4EA1"/>
    <w:p w14:paraId="57B004EA" w14:textId="77777777" w:rsidR="00DB7466" w:rsidRDefault="00DB7466" w:rsidP="00AD4EA1"/>
    <w:p w14:paraId="16B976AD" w14:textId="77777777" w:rsidR="00DB7466" w:rsidRDefault="00DB7466" w:rsidP="00AD4EA1"/>
    <w:p w14:paraId="640A9360" w14:textId="77777777" w:rsidR="00DB7466" w:rsidRDefault="00DB7466" w:rsidP="00AD4EA1"/>
    <w:p w14:paraId="04C4C37D" w14:textId="77777777" w:rsidR="00DB7466" w:rsidRDefault="00DB7466" w:rsidP="00AD4EA1"/>
    <w:p w14:paraId="0B8C3E52" w14:textId="77777777" w:rsidR="00DB7466" w:rsidRDefault="00DB7466" w:rsidP="00AD4EA1"/>
    <w:p w14:paraId="1E3F9433" w14:textId="77777777" w:rsidR="00DB7466" w:rsidRDefault="00DB7466" w:rsidP="00AD4EA1"/>
    <w:p w14:paraId="08253C27" w14:textId="77777777" w:rsidR="00DB7466" w:rsidRDefault="00DB7466" w:rsidP="00AD4EA1"/>
    <w:p w14:paraId="17814C8F" w14:textId="77777777" w:rsidR="00DB7466" w:rsidRDefault="00DB7466" w:rsidP="00AD4EA1"/>
    <w:p w14:paraId="5662B9C1" w14:textId="77777777" w:rsidR="00DB7466" w:rsidRDefault="00DB7466" w:rsidP="00AD4EA1"/>
    <w:p w14:paraId="247CF69C" w14:textId="77777777" w:rsidR="00DB7466" w:rsidRDefault="00DB7466" w:rsidP="00AD4EA1"/>
    <w:p w14:paraId="690D7BD0" w14:textId="77777777" w:rsidR="00DB7466" w:rsidRDefault="00DB7466" w:rsidP="00AD4EA1"/>
    <w:p w14:paraId="4553BCCB" w14:textId="77777777" w:rsidR="00DB7466" w:rsidRDefault="00DB7466" w:rsidP="00AD4EA1"/>
    <w:p w14:paraId="387E969B" w14:textId="77777777" w:rsidR="00DB7466" w:rsidRDefault="00DB7466" w:rsidP="00AD4EA1"/>
    <w:p w14:paraId="6B64907F" w14:textId="77777777" w:rsidR="00DB7466" w:rsidRDefault="00DB7466" w:rsidP="00AD4EA1"/>
    <w:p w14:paraId="0C085053" w14:textId="77777777" w:rsidR="00DB7466" w:rsidRDefault="00DB7466" w:rsidP="00AD4EA1"/>
    <w:p w14:paraId="35FE411E" w14:textId="77777777" w:rsidR="00DB7466" w:rsidRDefault="00DB7466" w:rsidP="00AD4EA1"/>
    <w:p w14:paraId="7614E1E1" w14:textId="77777777" w:rsidR="00DB7466" w:rsidRDefault="00DB7466" w:rsidP="00AD4EA1"/>
    <w:p w14:paraId="1A2A679B" w14:textId="77777777" w:rsidR="00DB7466" w:rsidRDefault="00DB7466" w:rsidP="00AD4EA1"/>
    <w:p w14:paraId="67D56A51" w14:textId="77777777" w:rsidR="00DB7466" w:rsidRDefault="00DB7466" w:rsidP="00AD4EA1"/>
    <w:p w14:paraId="015C8A6F" w14:textId="77777777" w:rsidR="00DB7466" w:rsidRDefault="00DB7466" w:rsidP="00AD4EA1"/>
    <w:p w14:paraId="5637721B" w14:textId="77777777" w:rsidR="00DB7466" w:rsidRDefault="00DB7466" w:rsidP="00AD4EA1"/>
    <w:p w14:paraId="28214EFA" w14:textId="77777777" w:rsidR="00DB7466" w:rsidRDefault="00DB7466" w:rsidP="00AD4EA1"/>
    <w:p w14:paraId="20DF919B" w14:textId="77777777" w:rsidR="00DB7466" w:rsidRDefault="00DB7466" w:rsidP="00AD4EA1"/>
    <w:p w14:paraId="3BE1B768" w14:textId="77777777" w:rsidR="00DB7466" w:rsidRDefault="00DB7466" w:rsidP="00AD4EA1"/>
    <w:p w14:paraId="5D45F14A" w14:textId="77777777" w:rsidR="00DB7466" w:rsidRDefault="00DB7466" w:rsidP="00AD4EA1"/>
    <w:p w14:paraId="5F467BEC" w14:textId="77777777" w:rsidR="00DB7466" w:rsidRDefault="00DB7466" w:rsidP="00AD4EA1"/>
    <w:p w14:paraId="2E0CF6FC" w14:textId="77777777" w:rsidR="00DB7466" w:rsidRDefault="00DB7466" w:rsidP="00AD4EA1"/>
    <w:p w14:paraId="426BEAC1" w14:textId="77777777" w:rsidR="00DB7466" w:rsidRDefault="00DB7466" w:rsidP="00AD4EA1"/>
    <w:p w14:paraId="4119B359" w14:textId="77777777" w:rsidR="00DB7466" w:rsidRDefault="00DB7466" w:rsidP="00AD4EA1"/>
    <w:p w14:paraId="120230E1" w14:textId="77777777" w:rsidR="00DB7466" w:rsidRDefault="00DB7466" w:rsidP="00AD4EA1"/>
    <w:p w14:paraId="7919EF84" w14:textId="77777777" w:rsidR="00DB7466" w:rsidRDefault="00DB7466" w:rsidP="00AD4EA1"/>
    <w:p w14:paraId="73069B9A" w14:textId="77777777" w:rsidR="00DB7466" w:rsidRDefault="00DB7466" w:rsidP="00AD4EA1"/>
    <w:p w14:paraId="5F8C5E80" w14:textId="77777777" w:rsidR="00DB7466" w:rsidRDefault="00DB7466" w:rsidP="00AD4EA1"/>
    <w:p w14:paraId="27124292" w14:textId="77777777" w:rsidR="00DB7466" w:rsidRDefault="00DB7466" w:rsidP="00AD4EA1"/>
    <w:p w14:paraId="0290AE5D" w14:textId="77777777" w:rsidR="00DB7466" w:rsidRDefault="00DB7466" w:rsidP="00AD4EA1"/>
    <w:p w14:paraId="037DD8AA" w14:textId="77777777" w:rsidR="00DB7466" w:rsidRDefault="00DB7466" w:rsidP="00AD4EA1"/>
    <w:p w14:paraId="0DEDB20D" w14:textId="77777777" w:rsidR="00DB7466" w:rsidRDefault="00DB7466" w:rsidP="00AD4EA1"/>
    <w:p w14:paraId="72D46158" w14:textId="77777777" w:rsidR="00DB7466" w:rsidRDefault="00DB7466" w:rsidP="00AD4EA1"/>
    <w:p w14:paraId="58A76C9C" w14:textId="77777777" w:rsidR="00DB7466" w:rsidRDefault="00DB7466" w:rsidP="00AD4EA1"/>
    <w:p w14:paraId="29FE73AA" w14:textId="77777777" w:rsidR="00DB7466" w:rsidRDefault="00DB7466" w:rsidP="00AD4EA1"/>
    <w:p w14:paraId="21A8162E" w14:textId="77777777" w:rsidR="00DB7466" w:rsidRDefault="00DB7466" w:rsidP="00AD4EA1"/>
    <w:p w14:paraId="486798E2" w14:textId="77777777" w:rsidR="00DB7466" w:rsidRDefault="00DB7466" w:rsidP="00AD4EA1"/>
    <w:p w14:paraId="4960FC74" w14:textId="77777777" w:rsidR="00DB7466" w:rsidRDefault="00DB7466" w:rsidP="00AD4EA1"/>
    <w:p w14:paraId="28C1CCA0" w14:textId="77777777" w:rsidR="00DB7466" w:rsidRDefault="00DB7466" w:rsidP="00AD4EA1"/>
    <w:p w14:paraId="2DD3F1D7" w14:textId="77777777" w:rsidR="00DB7466" w:rsidRDefault="00DB7466" w:rsidP="00AD4EA1"/>
    <w:p w14:paraId="36F1852C" w14:textId="77777777" w:rsidR="00DB7466" w:rsidRDefault="00DB7466" w:rsidP="00AD4EA1"/>
    <w:p w14:paraId="6A8EA812" w14:textId="77777777" w:rsidR="00DB7466" w:rsidRDefault="00DB7466" w:rsidP="00AD4EA1"/>
    <w:p w14:paraId="7DD2B87D" w14:textId="77777777" w:rsidR="00DB7466" w:rsidRDefault="00DB7466" w:rsidP="00AD4EA1"/>
    <w:p w14:paraId="17FCA094" w14:textId="77777777" w:rsidR="00DB7466" w:rsidRDefault="00DB7466" w:rsidP="00AD4EA1"/>
    <w:p w14:paraId="51A90955" w14:textId="77777777" w:rsidR="00DB7466" w:rsidRDefault="00DB7466" w:rsidP="00AD4EA1"/>
    <w:p w14:paraId="5CD7EB3A" w14:textId="77777777" w:rsidR="00DB7466" w:rsidRDefault="00DB7466" w:rsidP="00AD4EA1"/>
    <w:p w14:paraId="6267F8BE" w14:textId="77777777" w:rsidR="00DB7466" w:rsidRDefault="00DB7466" w:rsidP="00AD4EA1"/>
    <w:p w14:paraId="49BE87B6" w14:textId="77777777" w:rsidR="00DB7466" w:rsidRDefault="00DB7466" w:rsidP="00AD4EA1"/>
    <w:p w14:paraId="2D69202B" w14:textId="77777777" w:rsidR="00DB7466" w:rsidRDefault="00DB7466" w:rsidP="00AD4EA1"/>
    <w:p w14:paraId="3503DD4D" w14:textId="77777777" w:rsidR="00DB7466" w:rsidRDefault="00DB7466" w:rsidP="00AD4EA1"/>
    <w:p w14:paraId="704D97FB" w14:textId="77777777" w:rsidR="00DB7466" w:rsidRDefault="00DB7466" w:rsidP="00AD4EA1"/>
    <w:p w14:paraId="6BCC5D2F" w14:textId="77777777" w:rsidR="00DB7466" w:rsidRDefault="00DB7466" w:rsidP="00AD4EA1"/>
    <w:p w14:paraId="1A1FCE96" w14:textId="77777777" w:rsidR="00DB7466" w:rsidRDefault="00DB7466" w:rsidP="00AD4EA1"/>
    <w:p w14:paraId="5145035E" w14:textId="77777777" w:rsidR="00DB7466" w:rsidRDefault="00DB7466" w:rsidP="00AD4EA1"/>
    <w:p w14:paraId="5F9F13CC" w14:textId="77777777" w:rsidR="00DB7466" w:rsidRDefault="00DB7466" w:rsidP="00AD4EA1"/>
    <w:p w14:paraId="74C77377" w14:textId="77777777" w:rsidR="00DB7466" w:rsidRDefault="00DB7466" w:rsidP="00AD4EA1"/>
    <w:p w14:paraId="22A58DD3" w14:textId="77777777" w:rsidR="00DB7466" w:rsidRDefault="00DB7466" w:rsidP="00AD4EA1"/>
    <w:p w14:paraId="443E9937" w14:textId="77777777" w:rsidR="00DB7466" w:rsidRDefault="00DB7466" w:rsidP="00AD4EA1"/>
    <w:p w14:paraId="3088AA59" w14:textId="77777777" w:rsidR="00DB7466" w:rsidRDefault="00DB7466" w:rsidP="00AD4EA1"/>
    <w:p w14:paraId="05FBEA3C" w14:textId="77777777" w:rsidR="00DB7466" w:rsidRDefault="00DB7466" w:rsidP="00AD4EA1"/>
    <w:p w14:paraId="2C55A15E" w14:textId="77777777" w:rsidR="00DB7466" w:rsidRDefault="00DB7466" w:rsidP="00AD4EA1"/>
    <w:p w14:paraId="6C1C5502" w14:textId="77777777" w:rsidR="00DB7466" w:rsidRDefault="00DB7466" w:rsidP="00AD4EA1"/>
    <w:p w14:paraId="15F620F8" w14:textId="77777777" w:rsidR="00DB7466" w:rsidRDefault="00DB7466" w:rsidP="00AD4EA1"/>
    <w:p w14:paraId="1E5B8BA9" w14:textId="77777777" w:rsidR="00DB7466" w:rsidRDefault="00DB7466" w:rsidP="00AD4EA1"/>
    <w:p w14:paraId="39098366" w14:textId="77777777" w:rsidR="00DB7466" w:rsidRDefault="00DB7466" w:rsidP="00AD4EA1"/>
    <w:p w14:paraId="3D02B1F4" w14:textId="77777777" w:rsidR="00DB7466" w:rsidRDefault="00DB7466" w:rsidP="00AD4EA1"/>
    <w:p w14:paraId="2B71A593" w14:textId="77777777" w:rsidR="00DB7466" w:rsidRDefault="00DB7466" w:rsidP="00AD4EA1"/>
    <w:p w14:paraId="41E9BA44" w14:textId="77777777" w:rsidR="00DB7466" w:rsidRDefault="00DB7466" w:rsidP="00AD4EA1"/>
    <w:p w14:paraId="3E9B8F94" w14:textId="77777777" w:rsidR="00DB7466" w:rsidRDefault="00DB7466" w:rsidP="00AD4EA1"/>
    <w:p w14:paraId="70E0088A" w14:textId="77777777" w:rsidR="00DB7466" w:rsidRDefault="00DB7466" w:rsidP="00AD4EA1"/>
    <w:p w14:paraId="5DB485ED" w14:textId="77777777" w:rsidR="00DB7466" w:rsidRDefault="00DB7466" w:rsidP="00AD4EA1"/>
    <w:p w14:paraId="7182AF3C" w14:textId="77777777" w:rsidR="00DB7466" w:rsidRDefault="00DB7466" w:rsidP="00AD4EA1"/>
    <w:p w14:paraId="3D897E58" w14:textId="77777777" w:rsidR="00DB7466" w:rsidRDefault="00DB7466" w:rsidP="00AD4EA1"/>
    <w:p w14:paraId="5EC0BF06" w14:textId="77777777" w:rsidR="00DB7466" w:rsidRDefault="00DB7466" w:rsidP="00AD4EA1"/>
    <w:p w14:paraId="236D26D8" w14:textId="77777777" w:rsidR="00DB7466" w:rsidRDefault="00DB7466" w:rsidP="00AD4EA1"/>
    <w:p w14:paraId="2D77E1E5" w14:textId="77777777" w:rsidR="00DB7466" w:rsidRDefault="00DB7466" w:rsidP="00AD4EA1"/>
    <w:p w14:paraId="6B21D539" w14:textId="77777777" w:rsidR="00DB7466" w:rsidRDefault="00DB7466" w:rsidP="00AD4EA1"/>
    <w:p w14:paraId="0BFDCD0B" w14:textId="77777777" w:rsidR="00DB7466" w:rsidRDefault="00DB7466" w:rsidP="00AD4EA1"/>
    <w:p w14:paraId="22AFD0AD" w14:textId="77777777" w:rsidR="00DB7466" w:rsidRDefault="00DB7466" w:rsidP="00AD4EA1"/>
    <w:p w14:paraId="4DE540BB" w14:textId="77777777" w:rsidR="00DB7466" w:rsidRDefault="00DB7466" w:rsidP="00AD4EA1"/>
    <w:p w14:paraId="6EF13580" w14:textId="77777777" w:rsidR="00DB7466" w:rsidRDefault="00DB7466" w:rsidP="00AD4EA1"/>
    <w:p w14:paraId="369E5B19" w14:textId="77777777" w:rsidR="00DB7466" w:rsidRDefault="00DB7466" w:rsidP="00AD4EA1"/>
    <w:p w14:paraId="7419A1A0" w14:textId="77777777" w:rsidR="00DB7466" w:rsidRDefault="00DB7466" w:rsidP="00AD4EA1"/>
    <w:p w14:paraId="165A6546" w14:textId="77777777" w:rsidR="00DB7466" w:rsidRDefault="00DB7466" w:rsidP="00AD4EA1"/>
    <w:p w14:paraId="24EBE282" w14:textId="77777777" w:rsidR="00DB7466" w:rsidRDefault="00DB7466" w:rsidP="00AD4EA1"/>
    <w:p w14:paraId="085D51EC" w14:textId="77777777" w:rsidR="00DB7466" w:rsidRDefault="00DB7466" w:rsidP="00AD4EA1"/>
    <w:p w14:paraId="7F1C8327" w14:textId="77777777" w:rsidR="00DB7466" w:rsidRDefault="00DB7466" w:rsidP="00AD4EA1"/>
    <w:p w14:paraId="03E066C2" w14:textId="77777777" w:rsidR="00DB7466" w:rsidRDefault="00DB7466" w:rsidP="00AD4EA1"/>
    <w:p w14:paraId="52D2D00E" w14:textId="77777777" w:rsidR="00DB7466" w:rsidRDefault="00DB7466" w:rsidP="00AD4EA1"/>
    <w:p w14:paraId="7C849009" w14:textId="77777777" w:rsidR="00DB7466" w:rsidRDefault="00DB7466" w:rsidP="00AD4EA1"/>
    <w:p w14:paraId="04969924" w14:textId="77777777" w:rsidR="00DB7466" w:rsidRDefault="00DB7466" w:rsidP="00AD4EA1"/>
    <w:p w14:paraId="207DB4E6" w14:textId="77777777" w:rsidR="00DB7466" w:rsidRDefault="00DB7466" w:rsidP="00AD4EA1"/>
    <w:p w14:paraId="1191A596" w14:textId="77777777" w:rsidR="00DB7466" w:rsidRDefault="00DB7466" w:rsidP="00AD4EA1"/>
    <w:p w14:paraId="1B8A30A7" w14:textId="77777777" w:rsidR="00DB7466" w:rsidRDefault="00DB7466" w:rsidP="00AD4EA1"/>
    <w:p w14:paraId="1F79433F" w14:textId="77777777" w:rsidR="00DB7466" w:rsidRDefault="00DB7466" w:rsidP="00AD4EA1"/>
    <w:p w14:paraId="0A1593CB" w14:textId="77777777" w:rsidR="00DB7466" w:rsidRDefault="00DB7466" w:rsidP="00AD4EA1"/>
    <w:p w14:paraId="78D3864B" w14:textId="77777777" w:rsidR="00DB7466" w:rsidRDefault="00DB7466" w:rsidP="00AD4EA1"/>
    <w:p w14:paraId="65D3EA3F" w14:textId="77777777" w:rsidR="00DB7466" w:rsidRDefault="00DB7466" w:rsidP="00AD4EA1"/>
    <w:p w14:paraId="0DCE6E99" w14:textId="77777777" w:rsidR="00DB7466" w:rsidRDefault="00DB7466" w:rsidP="00AD4EA1"/>
    <w:p w14:paraId="437592C9" w14:textId="77777777" w:rsidR="00DB7466" w:rsidRDefault="00DB7466" w:rsidP="00AD4EA1"/>
    <w:p w14:paraId="108D137F" w14:textId="77777777" w:rsidR="00DB7466" w:rsidRDefault="00DB7466" w:rsidP="00AD4EA1"/>
    <w:p w14:paraId="0F31A6E3" w14:textId="77777777" w:rsidR="00DB7466" w:rsidRDefault="00DB7466" w:rsidP="00AD4EA1"/>
    <w:p w14:paraId="7EDC0B55" w14:textId="77777777" w:rsidR="00DB7466" w:rsidRDefault="00DB7466" w:rsidP="00AD4EA1"/>
    <w:p w14:paraId="5AABB6E9" w14:textId="77777777" w:rsidR="00DB7466" w:rsidRDefault="00DB7466" w:rsidP="00AD4EA1"/>
    <w:p w14:paraId="0894EC61" w14:textId="77777777" w:rsidR="00DB7466" w:rsidRDefault="00DB7466" w:rsidP="00AD4EA1"/>
    <w:p w14:paraId="543CEFA6" w14:textId="77777777" w:rsidR="00DB7466" w:rsidRDefault="00DB7466" w:rsidP="00AD4EA1"/>
    <w:p w14:paraId="40C285CD" w14:textId="77777777" w:rsidR="00DB7466" w:rsidRDefault="00DB7466" w:rsidP="00AD4EA1"/>
    <w:p w14:paraId="0193E2CB" w14:textId="77777777" w:rsidR="00DB7466" w:rsidRDefault="00DB7466" w:rsidP="00AD4EA1"/>
    <w:p w14:paraId="217026A4" w14:textId="77777777" w:rsidR="00DB7466" w:rsidRDefault="00DB7466" w:rsidP="00AD4EA1"/>
    <w:p w14:paraId="66873173" w14:textId="77777777" w:rsidR="00DB7466" w:rsidRDefault="00DB7466" w:rsidP="00AD4EA1"/>
    <w:p w14:paraId="6B81063E" w14:textId="77777777" w:rsidR="00DB7466" w:rsidRDefault="00DB7466" w:rsidP="00AD4EA1"/>
    <w:p w14:paraId="4FD96B9D" w14:textId="77777777" w:rsidR="00DB7466" w:rsidRDefault="00DB7466" w:rsidP="00AD4EA1"/>
    <w:p w14:paraId="63023FDF" w14:textId="77777777" w:rsidR="00DB7466" w:rsidRDefault="00DB7466" w:rsidP="00AD4EA1"/>
    <w:p w14:paraId="6859460B" w14:textId="77777777" w:rsidR="00DB7466" w:rsidRDefault="00DB7466" w:rsidP="00AD4EA1"/>
    <w:p w14:paraId="43E113C0" w14:textId="77777777" w:rsidR="00DB7466" w:rsidRDefault="00DB7466" w:rsidP="00AD4EA1"/>
    <w:p w14:paraId="2CBF7AFA" w14:textId="77777777" w:rsidR="00DB7466" w:rsidRDefault="00DB7466" w:rsidP="00AD4EA1"/>
    <w:p w14:paraId="48DD9493" w14:textId="77777777" w:rsidR="00DB7466" w:rsidRDefault="00DB7466" w:rsidP="00AD4EA1"/>
    <w:p w14:paraId="77999760" w14:textId="77777777" w:rsidR="00DB7466" w:rsidRDefault="00DB7466" w:rsidP="00AD4EA1"/>
    <w:p w14:paraId="5A51451F" w14:textId="77777777" w:rsidR="00DB7466" w:rsidRDefault="00DB7466" w:rsidP="00AD4EA1"/>
    <w:p w14:paraId="7AD58ADA" w14:textId="77777777" w:rsidR="00DB7466" w:rsidRDefault="00DB7466" w:rsidP="00AD4EA1"/>
    <w:p w14:paraId="6D3CD02B" w14:textId="77777777" w:rsidR="00DB7466" w:rsidRDefault="00DB7466" w:rsidP="00AD4EA1"/>
    <w:p w14:paraId="510AEEF1" w14:textId="77777777" w:rsidR="00DB7466" w:rsidRDefault="00DB7466" w:rsidP="00AD4EA1"/>
    <w:p w14:paraId="2B7D6DFE" w14:textId="77777777" w:rsidR="00DB7466" w:rsidRDefault="00DB7466" w:rsidP="00AD4EA1"/>
    <w:p w14:paraId="05F165F8" w14:textId="77777777" w:rsidR="00DB7466" w:rsidRDefault="00DB7466" w:rsidP="00AD4EA1"/>
    <w:p w14:paraId="18E19384" w14:textId="77777777" w:rsidR="00DB7466" w:rsidRDefault="00DB7466" w:rsidP="00AD4EA1"/>
    <w:p w14:paraId="20E5002D" w14:textId="77777777" w:rsidR="00DB7466" w:rsidRDefault="00DB7466" w:rsidP="00AD4EA1"/>
    <w:p w14:paraId="0C44944B" w14:textId="77777777" w:rsidR="00DB7466" w:rsidRDefault="00DB7466" w:rsidP="00AD4EA1"/>
    <w:p w14:paraId="3DF9C1D6" w14:textId="77777777" w:rsidR="00DB7466" w:rsidRDefault="00DB7466" w:rsidP="00AD4EA1"/>
    <w:p w14:paraId="318DF840" w14:textId="77777777" w:rsidR="00DB7466" w:rsidRDefault="00DB7466" w:rsidP="00AD4EA1"/>
    <w:p w14:paraId="2E7969FF" w14:textId="77777777" w:rsidR="00DB7466" w:rsidRDefault="00DB7466" w:rsidP="00AD4EA1"/>
    <w:p w14:paraId="02E41EB4" w14:textId="77777777" w:rsidR="00DB7466" w:rsidRDefault="00DB7466" w:rsidP="00AD4EA1"/>
    <w:p w14:paraId="047A8250" w14:textId="77777777" w:rsidR="00DB7466" w:rsidRDefault="00DB7466" w:rsidP="00AD4EA1"/>
    <w:p w14:paraId="6AE5DCE7" w14:textId="77777777" w:rsidR="00DB7466" w:rsidRDefault="00DB7466" w:rsidP="00AD4EA1"/>
    <w:p w14:paraId="0F587057" w14:textId="77777777" w:rsidR="00DB7466" w:rsidRDefault="00DB7466" w:rsidP="00AD4EA1"/>
    <w:p w14:paraId="4EDA697C" w14:textId="77777777" w:rsidR="00DB7466" w:rsidRDefault="00DB7466" w:rsidP="00AD4EA1"/>
    <w:p w14:paraId="2C0D9683" w14:textId="77777777" w:rsidR="00DB7466" w:rsidRDefault="00DB7466" w:rsidP="00AD4EA1"/>
    <w:p w14:paraId="2053D89D" w14:textId="77777777" w:rsidR="00DB7466" w:rsidRDefault="00DB7466" w:rsidP="00AD4EA1"/>
    <w:p w14:paraId="4BA9BB47" w14:textId="77777777" w:rsidR="00DB7466" w:rsidRDefault="00DB7466" w:rsidP="00AD4EA1"/>
    <w:p w14:paraId="49826E21" w14:textId="77777777" w:rsidR="00DB7466" w:rsidRDefault="00DB7466" w:rsidP="00AD4EA1"/>
    <w:p w14:paraId="2BC7D1F0" w14:textId="77777777" w:rsidR="00DB7466" w:rsidRDefault="00DB7466" w:rsidP="00AD4EA1"/>
    <w:p w14:paraId="2BCDB7E2" w14:textId="77777777" w:rsidR="00DB7466" w:rsidRDefault="00DB7466" w:rsidP="00AD4EA1"/>
    <w:p w14:paraId="0E142ED3" w14:textId="77777777" w:rsidR="00DB7466" w:rsidRDefault="00DB7466" w:rsidP="00AD4EA1"/>
    <w:p w14:paraId="37550056" w14:textId="77777777" w:rsidR="00DB7466" w:rsidRDefault="00DB7466" w:rsidP="00AD4EA1"/>
    <w:p w14:paraId="52FAB91C" w14:textId="77777777" w:rsidR="00DB7466" w:rsidRDefault="00DB7466" w:rsidP="00AD4EA1"/>
    <w:p w14:paraId="779C4727" w14:textId="77777777" w:rsidR="00DB7466" w:rsidRDefault="00DB7466" w:rsidP="00AD4EA1"/>
    <w:p w14:paraId="41629728" w14:textId="77777777" w:rsidR="00DB7466" w:rsidRDefault="00DB7466" w:rsidP="00AD4EA1"/>
    <w:p w14:paraId="7E4DBA43" w14:textId="77777777" w:rsidR="00DB7466" w:rsidRDefault="00DB7466" w:rsidP="00AD4EA1"/>
    <w:p w14:paraId="06EF894A" w14:textId="77777777" w:rsidR="00DB7466" w:rsidRDefault="00DB7466" w:rsidP="00AD4EA1"/>
    <w:p w14:paraId="2E72938E" w14:textId="77777777" w:rsidR="00DB7466" w:rsidRDefault="00DB7466" w:rsidP="00AD4EA1"/>
    <w:p w14:paraId="7C9386D9" w14:textId="77777777" w:rsidR="00DB7466" w:rsidRDefault="00DB7466" w:rsidP="00AD4EA1"/>
    <w:p w14:paraId="42A931FC" w14:textId="77777777" w:rsidR="00DB7466" w:rsidRDefault="00DB7466" w:rsidP="00AD4EA1"/>
    <w:p w14:paraId="6FEF73D3" w14:textId="77777777" w:rsidR="00DB7466" w:rsidRDefault="00DB7466" w:rsidP="00AD4EA1"/>
    <w:p w14:paraId="503B5957" w14:textId="77777777" w:rsidR="00DB7466" w:rsidRDefault="00DB7466" w:rsidP="00AD4EA1"/>
    <w:p w14:paraId="0FDF49D5" w14:textId="77777777" w:rsidR="00DB7466" w:rsidRDefault="00DB7466" w:rsidP="00AD4EA1"/>
    <w:p w14:paraId="04202116" w14:textId="77777777" w:rsidR="00DB7466" w:rsidRDefault="00DB7466" w:rsidP="00AD4EA1"/>
    <w:p w14:paraId="5FA1FF04" w14:textId="77777777" w:rsidR="00DB7466" w:rsidRDefault="00DB7466" w:rsidP="00AD4EA1"/>
    <w:p w14:paraId="64C114DE" w14:textId="77777777" w:rsidR="00DB7466" w:rsidRDefault="00DB7466" w:rsidP="00AD4EA1"/>
    <w:p w14:paraId="5E4A6F60" w14:textId="77777777" w:rsidR="00DB7466" w:rsidRDefault="00DB7466" w:rsidP="00AD4EA1"/>
    <w:p w14:paraId="689F90D6" w14:textId="77777777" w:rsidR="00DB7466" w:rsidRDefault="00DB7466" w:rsidP="00AD4EA1"/>
    <w:p w14:paraId="4C844F36" w14:textId="77777777" w:rsidR="00DB7466" w:rsidRDefault="00DB7466" w:rsidP="00AD4EA1"/>
    <w:p w14:paraId="0ADFB2EC" w14:textId="77777777" w:rsidR="00DB7466" w:rsidRDefault="00DB7466" w:rsidP="00AD4EA1"/>
    <w:p w14:paraId="42DFB537" w14:textId="77777777" w:rsidR="00DB7466" w:rsidRDefault="00DB7466" w:rsidP="00AD4EA1"/>
    <w:p w14:paraId="1B37E2A3" w14:textId="77777777" w:rsidR="00DB7466" w:rsidRDefault="00DB7466" w:rsidP="00AD4EA1"/>
    <w:p w14:paraId="49FE5105" w14:textId="77777777" w:rsidR="00DB7466" w:rsidRDefault="00DB7466" w:rsidP="00AD4EA1"/>
    <w:p w14:paraId="3C77036F" w14:textId="77777777" w:rsidR="00DB7466" w:rsidRDefault="00DB7466" w:rsidP="00AD4EA1"/>
    <w:p w14:paraId="3CCB9244" w14:textId="77777777" w:rsidR="00DB7466" w:rsidRDefault="00DB7466" w:rsidP="00AD4EA1"/>
    <w:p w14:paraId="68B7057B" w14:textId="77777777" w:rsidR="00DB7466" w:rsidRDefault="00DB7466" w:rsidP="00AD4EA1"/>
    <w:p w14:paraId="505A2429" w14:textId="77777777" w:rsidR="00DB7466" w:rsidRDefault="00DB7466" w:rsidP="00AD4EA1"/>
    <w:p w14:paraId="2D2A28FD" w14:textId="77777777" w:rsidR="00DB7466" w:rsidRDefault="00DB7466" w:rsidP="00AD4EA1"/>
    <w:p w14:paraId="4573418F" w14:textId="77777777" w:rsidR="00DB7466" w:rsidRDefault="00DB7466" w:rsidP="00AD4EA1"/>
    <w:p w14:paraId="71A6E802" w14:textId="77777777" w:rsidR="00DB7466" w:rsidRDefault="00DB7466" w:rsidP="00AD4EA1"/>
    <w:p w14:paraId="2B1F857F" w14:textId="77777777" w:rsidR="00DB7466" w:rsidRDefault="00DB7466" w:rsidP="00AD4EA1"/>
    <w:p w14:paraId="73511AD9" w14:textId="77777777" w:rsidR="00DB7466" w:rsidRDefault="00DB7466" w:rsidP="00AD4EA1"/>
    <w:p w14:paraId="097FDC24" w14:textId="77777777" w:rsidR="00DB7466" w:rsidRDefault="00DB7466" w:rsidP="00AD4EA1"/>
    <w:p w14:paraId="092CF45F" w14:textId="77777777" w:rsidR="00DB7466" w:rsidRDefault="00DB7466" w:rsidP="00AD4EA1"/>
    <w:p w14:paraId="1CA7A932" w14:textId="77777777" w:rsidR="00DB7466" w:rsidRDefault="00DB7466" w:rsidP="00AD4EA1"/>
    <w:p w14:paraId="67129DFB" w14:textId="77777777" w:rsidR="00DB7466" w:rsidRDefault="00DB7466" w:rsidP="00AD4EA1"/>
    <w:p w14:paraId="50439693" w14:textId="77777777" w:rsidR="00DB7466" w:rsidRDefault="00DB7466" w:rsidP="00AD4EA1"/>
    <w:p w14:paraId="4BF470ED" w14:textId="77777777" w:rsidR="00DB7466" w:rsidRDefault="00DB7466" w:rsidP="00AD4EA1"/>
    <w:p w14:paraId="7B9D00AC" w14:textId="77777777" w:rsidR="00DB7466" w:rsidRDefault="00DB7466" w:rsidP="00AD4EA1"/>
    <w:p w14:paraId="512FB8C0" w14:textId="77777777" w:rsidR="00DB7466" w:rsidRDefault="00DB7466" w:rsidP="00AD4EA1"/>
    <w:p w14:paraId="2ECF77BE" w14:textId="77777777" w:rsidR="00DB7466" w:rsidRDefault="00DB7466" w:rsidP="00AD4EA1"/>
    <w:p w14:paraId="68316D44" w14:textId="77777777" w:rsidR="00DB7466" w:rsidRDefault="00DB7466" w:rsidP="00AD4EA1"/>
    <w:p w14:paraId="4B39C137" w14:textId="77777777" w:rsidR="00DB7466" w:rsidRDefault="00DB7466" w:rsidP="00AD4EA1"/>
    <w:p w14:paraId="01B629F6" w14:textId="77777777" w:rsidR="00DB7466" w:rsidRDefault="00DB7466" w:rsidP="00AD4EA1"/>
    <w:p w14:paraId="447460B7" w14:textId="77777777" w:rsidR="00DB7466" w:rsidRDefault="00DB7466" w:rsidP="00AD4EA1"/>
    <w:p w14:paraId="3FAF159D" w14:textId="77777777" w:rsidR="00DB7466" w:rsidRDefault="00DB7466" w:rsidP="00AD4EA1"/>
    <w:p w14:paraId="3ADCFD4E" w14:textId="77777777" w:rsidR="00DB7466" w:rsidRDefault="00DB7466" w:rsidP="00AD4EA1"/>
    <w:p w14:paraId="4AEE67EF" w14:textId="77777777" w:rsidR="00DB7466" w:rsidRDefault="00DB7466" w:rsidP="00AD4EA1"/>
    <w:p w14:paraId="37162A6B" w14:textId="77777777" w:rsidR="00DB7466" w:rsidRDefault="00DB7466" w:rsidP="00AD4EA1"/>
    <w:p w14:paraId="6866289B" w14:textId="77777777" w:rsidR="00DB7466" w:rsidRDefault="00DB7466" w:rsidP="00AD4EA1"/>
    <w:p w14:paraId="3230A511" w14:textId="77777777" w:rsidR="00DB7466" w:rsidRDefault="00DB7466" w:rsidP="00AD4EA1"/>
    <w:p w14:paraId="0F394017" w14:textId="77777777" w:rsidR="00DB7466" w:rsidRDefault="00DB7466" w:rsidP="00AD4EA1"/>
    <w:p w14:paraId="225C6DB3" w14:textId="77777777" w:rsidR="00DB7466" w:rsidRDefault="00DB7466" w:rsidP="00AD4EA1"/>
    <w:p w14:paraId="4EE94079" w14:textId="77777777" w:rsidR="00DB7466" w:rsidRDefault="00DB7466" w:rsidP="00AD4EA1"/>
    <w:p w14:paraId="655B30A1" w14:textId="77777777" w:rsidR="00DB7466" w:rsidRDefault="00DB7466" w:rsidP="00AD4EA1"/>
    <w:p w14:paraId="7665860C" w14:textId="77777777" w:rsidR="00DB7466" w:rsidRDefault="00DB7466" w:rsidP="00AD4EA1"/>
    <w:p w14:paraId="2FD47A57" w14:textId="77777777" w:rsidR="00DB7466" w:rsidRDefault="00DB7466" w:rsidP="00AD4EA1"/>
    <w:p w14:paraId="05661860" w14:textId="77777777" w:rsidR="00DB7466" w:rsidRDefault="00DB7466" w:rsidP="00AD4EA1"/>
    <w:p w14:paraId="38C1DA44" w14:textId="77777777" w:rsidR="00DB7466" w:rsidRDefault="00DB7466" w:rsidP="00AD4EA1"/>
    <w:p w14:paraId="7FDF2FCD" w14:textId="77777777" w:rsidR="00DB7466" w:rsidRDefault="00DB7466" w:rsidP="00AD4EA1"/>
    <w:p w14:paraId="3039C828" w14:textId="77777777" w:rsidR="00DB7466" w:rsidRDefault="00DB7466" w:rsidP="00AD4EA1"/>
    <w:p w14:paraId="33C06399" w14:textId="77777777" w:rsidR="00DB7466" w:rsidRDefault="00DB7466" w:rsidP="00AD4EA1"/>
    <w:p w14:paraId="76B9BFD7" w14:textId="77777777" w:rsidR="00DB7466" w:rsidRDefault="00DB7466" w:rsidP="00AD4EA1"/>
    <w:p w14:paraId="4F01A473" w14:textId="77777777" w:rsidR="00DB7466" w:rsidRDefault="00DB7466" w:rsidP="00AD4EA1"/>
    <w:p w14:paraId="0D0EA7AC" w14:textId="77777777" w:rsidR="00DB7466" w:rsidRDefault="00DB7466" w:rsidP="00AD4EA1"/>
    <w:p w14:paraId="06432770" w14:textId="77777777" w:rsidR="00DB7466" w:rsidRDefault="00DB7466" w:rsidP="00AD4EA1"/>
    <w:p w14:paraId="594C9EC5" w14:textId="77777777" w:rsidR="00DB7466" w:rsidRDefault="00DB7466" w:rsidP="00AD4EA1"/>
    <w:p w14:paraId="6B73D669" w14:textId="77777777" w:rsidR="00DB7466" w:rsidRDefault="00DB7466" w:rsidP="00AD4EA1"/>
    <w:p w14:paraId="55F57B18" w14:textId="77777777" w:rsidR="00DB7466" w:rsidRDefault="00DB7466" w:rsidP="00AD4EA1"/>
    <w:p w14:paraId="458038C9" w14:textId="77777777" w:rsidR="00DB7466" w:rsidRDefault="00DB7466" w:rsidP="00AD4EA1"/>
    <w:p w14:paraId="630F5487" w14:textId="77777777" w:rsidR="00DB7466" w:rsidRDefault="00DB7466" w:rsidP="00AD4EA1"/>
    <w:p w14:paraId="5E2AB341" w14:textId="77777777" w:rsidR="00DB7466" w:rsidRDefault="00DB7466" w:rsidP="00AD4EA1"/>
    <w:p w14:paraId="272BBA41" w14:textId="77777777" w:rsidR="00DB7466" w:rsidRDefault="00DB7466" w:rsidP="00AD4EA1"/>
    <w:p w14:paraId="539509D5" w14:textId="77777777" w:rsidR="00DB7466" w:rsidRDefault="00DB7466" w:rsidP="00AD4EA1"/>
    <w:p w14:paraId="17A70F64" w14:textId="77777777" w:rsidR="00DB7466" w:rsidRDefault="00DB7466" w:rsidP="00AD4EA1"/>
    <w:p w14:paraId="7F062F17" w14:textId="77777777" w:rsidR="00DB7466" w:rsidRDefault="00DB7466" w:rsidP="00AD4EA1"/>
    <w:p w14:paraId="2B49754D" w14:textId="77777777" w:rsidR="00DB7466" w:rsidRDefault="00DB7466" w:rsidP="00AD4EA1"/>
    <w:p w14:paraId="3C25CCD6" w14:textId="77777777" w:rsidR="00DB7466" w:rsidRDefault="00DB7466" w:rsidP="00AD4EA1"/>
    <w:p w14:paraId="112FFA9F" w14:textId="77777777" w:rsidR="00DB7466" w:rsidRDefault="00DB7466" w:rsidP="00AD4EA1"/>
    <w:p w14:paraId="78AE672C" w14:textId="77777777" w:rsidR="00DB7466" w:rsidRDefault="00DB7466" w:rsidP="00AD4EA1"/>
    <w:p w14:paraId="55B8F2C7" w14:textId="77777777" w:rsidR="00DB7466" w:rsidRDefault="00DB7466" w:rsidP="00AD4EA1"/>
    <w:p w14:paraId="3346966F" w14:textId="77777777" w:rsidR="00DB7466" w:rsidRDefault="00DB7466" w:rsidP="00AD4EA1"/>
    <w:p w14:paraId="3605E782" w14:textId="77777777" w:rsidR="00DB7466" w:rsidRDefault="00DB7466" w:rsidP="00AD4EA1"/>
    <w:p w14:paraId="1B8F2F22" w14:textId="77777777" w:rsidR="00DB7466" w:rsidRDefault="00DB7466" w:rsidP="00AD4EA1"/>
    <w:p w14:paraId="5F0FFB13" w14:textId="77777777" w:rsidR="00DB7466" w:rsidRDefault="00DB7466" w:rsidP="00AD4EA1"/>
    <w:p w14:paraId="031FEBF0" w14:textId="77777777" w:rsidR="00DB7466" w:rsidRDefault="00DB7466" w:rsidP="00AD4EA1"/>
    <w:p w14:paraId="7AAAF61B" w14:textId="77777777" w:rsidR="00DB7466" w:rsidRDefault="00DB7466" w:rsidP="00AD4EA1"/>
    <w:p w14:paraId="0BB05231" w14:textId="77777777" w:rsidR="00DB7466" w:rsidRDefault="00DB7466" w:rsidP="00AD4EA1"/>
    <w:p w14:paraId="064DC6E5" w14:textId="77777777" w:rsidR="00DB7466" w:rsidRDefault="00DB7466" w:rsidP="00AD4EA1"/>
    <w:p w14:paraId="70D3EF4B" w14:textId="77777777" w:rsidR="00DB7466" w:rsidRDefault="00DB7466" w:rsidP="00AD4EA1"/>
    <w:p w14:paraId="0D90019E" w14:textId="77777777" w:rsidR="00DB7466" w:rsidRDefault="00DB7466" w:rsidP="00AD4EA1"/>
    <w:p w14:paraId="689AB721" w14:textId="77777777" w:rsidR="00DB7466" w:rsidRDefault="00DB7466" w:rsidP="00AD4EA1"/>
    <w:p w14:paraId="127057B0" w14:textId="77777777" w:rsidR="00DB7466" w:rsidRDefault="00DB7466" w:rsidP="00AD4EA1"/>
    <w:p w14:paraId="7AE0C796" w14:textId="77777777" w:rsidR="00DB7466" w:rsidRDefault="00DB7466" w:rsidP="00AD4EA1"/>
    <w:p w14:paraId="1C55BEBB" w14:textId="77777777" w:rsidR="00DB7466" w:rsidRDefault="00DB7466" w:rsidP="00AD4EA1"/>
    <w:p w14:paraId="2082BB84" w14:textId="77777777" w:rsidR="00DB7466" w:rsidRDefault="00DB7466" w:rsidP="00AD4EA1"/>
    <w:p w14:paraId="5260778A" w14:textId="77777777" w:rsidR="00DB7466" w:rsidRDefault="00DB7466" w:rsidP="00AD4EA1"/>
    <w:p w14:paraId="59D6D900" w14:textId="77777777" w:rsidR="00DB7466" w:rsidRDefault="00DB7466" w:rsidP="00AD4EA1"/>
    <w:p w14:paraId="224FB61C" w14:textId="77777777" w:rsidR="00DB7466" w:rsidRDefault="00DB7466" w:rsidP="00AD4EA1"/>
    <w:p w14:paraId="670A133B" w14:textId="77777777" w:rsidR="00DB7466" w:rsidRDefault="00DB7466" w:rsidP="00AD4EA1"/>
    <w:p w14:paraId="0890AE15" w14:textId="77777777" w:rsidR="00DB7466" w:rsidRDefault="00DB7466" w:rsidP="00AD4EA1"/>
    <w:p w14:paraId="31730178" w14:textId="77777777" w:rsidR="00DB7466" w:rsidRDefault="00DB7466" w:rsidP="00AD4EA1"/>
    <w:p w14:paraId="240C2805" w14:textId="77777777" w:rsidR="00DB7466" w:rsidRDefault="00DB7466" w:rsidP="00AD4EA1"/>
    <w:p w14:paraId="01680FFA" w14:textId="77777777" w:rsidR="00DB7466" w:rsidRDefault="00DB7466" w:rsidP="00AD4EA1"/>
    <w:p w14:paraId="10399A3A" w14:textId="77777777" w:rsidR="00DB7466" w:rsidRDefault="00DB7466" w:rsidP="00AD4EA1"/>
    <w:p w14:paraId="0CDE6397" w14:textId="77777777" w:rsidR="00DB7466" w:rsidRDefault="00DB7466" w:rsidP="00AD4EA1"/>
    <w:p w14:paraId="4A9F3F88" w14:textId="77777777" w:rsidR="00DB7466" w:rsidRDefault="00DB7466" w:rsidP="00AD4EA1"/>
    <w:p w14:paraId="5A5511EB" w14:textId="77777777" w:rsidR="00DB7466" w:rsidRDefault="00DB7466" w:rsidP="00AD4EA1"/>
    <w:p w14:paraId="0C9D4DE0" w14:textId="77777777" w:rsidR="00DB7466" w:rsidRDefault="00DB7466" w:rsidP="00AD4EA1"/>
    <w:p w14:paraId="09C13443" w14:textId="77777777" w:rsidR="00DB7466" w:rsidRDefault="00DB7466" w:rsidP="00AD4EA1"/>
    <w:p w14:paraId="53FEB66C" w14:textId="77777777" w:rsidR="00DB7466" w:rsidRDefault="00DB7466" w:rsidP="00AD4EA1"/>
    <w:p w14:paraId="6DA91D08" w14:textId="77777777" w:rsidR="00DB7466" w:rsidRDefault="00DB7466" w:rsidP="00AD4EA1"/>
    <w:p w14:paraId="0BCBA6E8" w14:textId="77777777" w:rsidR="00DB7466" w:rsidRDefault="00DB7466" w:rsidP="00AD4EA1"/>
    <w:p w14:paraId="1ECED472" w14:textId="77777777" w:rsidR="00DB7466" w:rsidRDefault="00DB7466" w:rsidP="00AD4EA1"/>
    <w:p w14:paraId="7FB8DBCC" w14:textId="77777777" w:rsidR="00DB7466" w:rsidRDefault="00DB7466" w:rsidP="00AD4EA1"/>
    <w:p w14:paraId="71D51EC3" w14:textId="77777777" w:rsidR="00DB7466" w:rsidRDefault="00DB7466" w:rsidP="00AD4EA1"/>
    <w:p w14:paraId="180A1036" w14:textId="77777777" w:rsidR="00DB7466" w:rsidRDefault="00DB7466" w:rsidP="00AD4EA1"/>
    <w:p w14:paraId="551C9459" w14:textId="77777777" w:rsidR="00DB7466" w:rsidRDefault="00DB7466" w:rsidP="00AD4EA1"/>
    <w:p w14:paraId="44740508" w14:textId="77777777" w:rsidR="00DB7466" w:rsidRDefault="00DB7466" w:rsidP="00AD4EA1"/>
    <w:p w14:paraId="31F1D08F" w14:textId="77777777" w:rsidR="00DB7466" w:rsidRDefault="00DB7466" w:rsidP="00AD4EA1"/>
    <w:p w14:paraId="24DAD0D2" w14:textId="77777777" w:rsidR="00DB7466" w:rsidRDefault="00DB7466" w:rsidP="00AD4EA1"/>
    <w:p w14:paraId="7989DE14" w14:textId="77777777" w:rsidR="00DB7466" w:rsidRDefault="00DB7466" w:rsidP="00AD4EA1"/>
    <w:p w14:paraId="3919A4A5" w14:textId="77777777" w:rsidR="00DB7466" w:rsidRDefault="00DB7466" w:rsidP="00AD4EA1"/>
    <w:p w14:paraId="27CE1FB1" w14:textId="77777777" w:rsidR="00DB7466" w:rsidRDefault="00DB7466" w:rsidP="00AD4EA1"/>
    <w:p w14:paraId="29A2834C" w14:textId="77777777" w:rsidR="00DB7466" w:rsidRDefault="00DB7466" w:rsidP="00AD4EA1"/>
    <w:p w14:paraId="5A93C4B6" w14:textId="77777777" w:rsidR="00DB7466" w:rsidRDefault="00DB7466" w:rsidP="00AD4EA1"/>
    <w:p w14:paraId="71EE6C9B" w14:textId="77777777" w:rsidR="00DB7466" w:rsidRDefault="00DB7466" w:rsidP="00AD4EA1"/>
    <w:p w14:paraId="62C96520" w14:textId="77777777" w:rsidR="00DB7466" w:rsidRDefault="00DB7466" w:rsidP="00AD4EA1"/>
    <w:p w14:paraId="63396F57" w14:textId="77777777" w:rsidR="00DB7466" w:rsidRDefault="00DB7466" w:rsidP="00AD4EA1"/>
    <w:p w14:paraId="2D7139F8" w14:textId="77777777" w:rsidR="00DB7466" w:rsidRDefault="00DB7466" w:rsidP="00AD4EA1"/>
    <w:p w14:paraId="6BC99F01" w14:textId="77777777" w:rsidR="00DB7466" w:rsidRDefault="00DB7466" w:rsidP="00AD4EA1"/>
    <w:p w14:paraId="30E5E73E" w14:textId="77777777" w:rsidR="00DB7466" w:rsidRDefault="00DB7466" w:rsidP="00AD4EA1"/>
    <w:p w14:paraId="7EE5155A" w14:textId="77777777" w:rsidR="00DB7466" w:rsidRDefault="00DB7466" w:rsidP="00AD4EA1"/>
    <w:p w14:paraId="35712A1D" w14:textId="77777777" w:rsidR="00DB7466" w:rsidRDefault="00DB7466" w:rsidP="00AD4EA1"/>
    <w:p w14:paraId="51695D4C" w14:textId="77777777" w:rsidR="00DB7466" w:rsidRDefault="00DB7466" w:rsidP="00AD4EA1"/>
    <w:p w14:paraId="522D0061" w14:textId="77777777" w:rsidR="00DB7466" w:rsidRDefault="00DB7466" w:rsidP="00AD4EA1"/>
    <w:p w14:paraId="237465ED" w14:textId="77777777" w:rsidR="00DB7466" w:rsidRDefault="00DB7466" w:rsidP="00AD4EA1"/>
    <w:p w14:paraId="43770306" w14:textId="77777777" w:rsidR="00DB7466" w:rsidRDefault="00DB7466" w:rsidP="00AD4EA1"/>
    <w:p w14:paraId="47BBD36C" w14:textId="77777777" w:rsidR="00DB7466" w:rsidRDefault="00DB7466" w:rsidP="00AD4EA1"/>
    <w:p w14:paraId="0BAAB2B3" w14:textId="77777777" w:rsidR="00DB7466" w:rsidRDefault="00DB7466" w:rsidP="00AD4EA1"/>
    <w:p w14:paraId="2E96360D" w14:textId="77777777" w:rsidR="00DB7466" w:rsidRDefault="00DB7466" w:rsidP="00AD4EA1"/>
    <w:p w14:paraId="53A44CF7" w14:textId="77777777" w:rsidR="00DB7466" w:rsidRDefault="00DB7466" w:rsidP="00AD4EA1"/>
    <w:p w14:paraId="61297B11" w14:textId="77777777" w:rsidR="00DB7466" w:rsidRDefault="00DB7466" w:rsidP="00AD4EA1"/>
    <w:p w14:paraId="0F632521" w14:textId="77777777" w:rsidR="00DB7466" w:rsidRDefault="00DB7466" w:rsidP="00AD4EA1"/>
    <w:p w14:paraId="69941051" w14:textId="77777777" w:rsidR="00DB7466" w:rsidRDefault="00DB7466" w:rsidP="00AD4EA1"/>
    <w:p w14:paraId="7042EF81" w14:textId="77777777" w:rsidR="00DB7466" w:rsidRDefault="00DB7466" w:rsidP="00AD4EA1"/>
    <w:p w14:paraId="52EB2046" w14:textId="77777777" w:rsidR="00DB7466" w:rsidRDefault="00DB7466" w:rsidP="00AD4EA1"/>
    <w:p w14:paraId="2141F360" w14:textId="77777777" w:rsidR="00DB7466" w:rsidRDefault="00DB7466" w:rsidP="00AD4EA1"/>
    <w:p w14:paraId="7A226A76" w14:textId="77777777" w:rsidR="00DB7466" w:rsidRDefault="00DB7466" w:rsidP="00AD4EA1"/>
    <w:p w14:paraId="155B20BD" w14:textId="77777777" w:rsidR="00DB7466" w:rsidRDefault="00DB7466" w:rsidP="00AD4EA1"/>
    <w:p w14:paraId="6403AD7A" w14:textId="77777777" w:rsidR="00DB7466" w:rsidRDefault="00DB7466" w:rsidP="00AD4EA1"/>
    <w:p w14:paraId="7C2311B6" w14:textId="77777777" w:rsidR="00DB7466" w:rsidRDefault="00DB7466" w:rsidP="00AD4EA1"/>
    <w:p w14:paraId="686B5EA3" w14:textId="77777777" w:rsidR="00DB7466" w:rsidRDefault="00DB7466" w:rsidP="00AD4EA1"/>
    <w:p w14:paraId="7A1A863A" w14:textId="77777777" w:rsidR="00DB7466" w:rsidRDefault="00DB7466" w:rsidP="00AD4EA1"/>
    <w:p w14:paraId="669C584D" w14:textId="77777777" w:rsidR="00DB7466" w:rsidRDefault="00DB7466" w:rsidP="00AD4EA1"/>
    <w:p w14:paraId="16F47E48" w14:textId="77777777" w:rsidR="00DB7466" w:rsidRDefault="00DB7466" w:rsidP="00AD4EA1"/>
    <w:p w14:paraId="3C9D50BF" w14:textId="77777777" w:rsidR="00DB7466" w:rsidRDefault="00DB7466" w:rsidP="00AD4EA1"/>
    <w:p w14:paraId="7A2F78E3" w14:textId="77777777" w:rsidR="00DB7466" w:rsidRDefault="00DB7466" w:rsidP="00AD4EA1"/>
    <w:p w14:paraId="0A3DA3F0" w14:textId="77777777" w:rsidR="00DB7466" w:rsidRDefault="00DB7466" w:rsidP="00AD4EA1"/>
    <w:p w14:paraId="79C6F13F" w14:textId="77777777" w:rsidR="00DB7466" w:rsidRDefault="00DB7466" w:rsidP="00AD4EA1"/>
    <w:p w14:paraId="6021ED87" w14:textId="77777777" w:rsidR="00DB7466" w:rsidRDefault="00DB7466" w:rsidP="00AD4EA1"/>
    <w:p w14:paraId="10A246C3" w14:textId="77777777" w:rsidR="00DB7466" w:rsidRDefault="00DB7466" w:rsidP="00AD4EA1"/>
    <w:p w14:paraId="3C815DD6" w14:textId="77777777" w:rsidR="00DB7466" w:rsidRDefault="00DB7466" w:rsidP="00AD4EA1"/>
    <w:p w14:paraId="49F9C105" w14:textId="77777777" w:rsidR="00DB7466" w:rsidRDefault="00DB7466" w:rsidP="00AD4EA1"/>
    <w:p w14:paraId="0D6EB456" w14:textId="77777777" w:rsidR="00DB7466" w:rsidRDefault="00DB7466" w:rsidP="00AD4EA1"/>
    <w:p w14:paraId="6B0900B6" w14:textId="77777777" w:rsidR="00DB7466" w:rsidRDefault="00DB7466" w:rsidP="00AD4EA1"/>
    <w:p w14:paraId="536D2C2B" w14:textId="77777777" w:rsidR="00DB7466" w:rsidRDefault="00DB7466" w:rsidP="00AD4EA1"/>
    <w:p w14:paraId="1E4456BF" w14:textId="77777777" w:rsidR="00DB7466" w:rsidRDefault="00DB7466" w:rsidP="00AD4EA1"/>
    <w:p w14:paraId="3EC0B128" w14:textId="77777777" w:rsidR="00DB7466" w:rsidRDefault="00DB7466" w:rsidP="00AD4EA1"/>
    <w:p w14:paraId="01592839" w14:textId="77777777" w:rsidR="00DB7466" w:rsidRDefault="00DB7466" w:rsidP="00AD4EA1"/>
    <w:p w14:paraId="5468BA45" w14:textId="77777777" w:rsidR="00DB7466" w:rsidRDefault="00DB7466" w:rsidP="00AD4EA1"/>
    <w:p w14:paraId="50BEBF4F" w14:textId="77777777" w:rsidR="00DB7466" w:rsidRDefault="00DB7466" w:rsidP="00AD4EA1"/>
    <w:p w14:paraId="40BE21A0" w14:textId="77777777" w:rsidR="00DB7466" w:rsidRDefault="00DB7466" w:rsidP="00AD4EA1"/>
    <w:p w14:paraId="591CCE7D" w14:textId="77777777" w:rsidR="00DB7466" w:rsidRDefault="00DB7466" w:rsidP="00AD4EA1"/>
    <w:p w14:paraId="412A89AC" w14:textId="77777777" w:rsidR="00DB7466" w:rsidRDefault="00DB7466" w:rsidP="00AD4EA1"/>
    <w:p w14:paraId="17F0536B" w14:textId="77777777" w:rsidR="00DB7466" w:rsidRDefault="00DB7466" w:rsidP="00AD4EA1"/>
    <w:p w14:paraId="79BCF1BB" w14:textId="77777777" w:rsidR="00DB7466" w:rsidRDefault="00DB7466" w:rsidP="00AD4EA1"/>
    <w:p w14:paraId="6092862C" w14:textId="77777777" w:rsidR="00DB7466" w:rsidRDefault="00DB7466" w:rsidP="00AD4EA1"/>
    <w:p w14:paraId="70322DE8" w14:textId="77777777" w:rsidR="00DB7466" w:rsidRDefault="00DB7466" w:rsidP="00AD4EA1"/>
    <w:p w14:paraId="50181B03" w14:textId="77777777" w:rsidR="00DB7466" w:rsidRDefault="00DB7466" w:rsidP="00AD4EA1"/>
    <w:p w14:paraId="47D11423" w14:textId="77777777" w:rsidR="00DB7466" w:rsidRDefault="00DB7466" w:rsidP="00AD4EA1"/>
    <w:p w14:paraId="3AFE5895" w14:textId="77777777" w:rsidR="00DB7466" w:rsidRDefault="00DB7466" w:rsidP="00AD4EA1"/>
    <w:p w14:paraId="4A992C1D" w14:textId="77777777" w:rsidR="00DB7466" w:rsidRDefault="00DB7466" w:rsidP="00AD4EA1"/>
    <w:p w14:paraId="713E2228" w14:textId="77777777" w:rsidR="00DB7466" w:rsidRDefault="00DB7466" w:rsidP="00AD4EA1"/>
    <w:p w14:paraId="77B15FA0" w14:textId="77777777" w:rsidR="00DB7466" w:rsidRDefault="00DB7466" w:rsidP="00AD4EA1"/>
    <w:p w14:paraId="6AAE6A25" w14:textId="77777777" w:rsidR="00DB7466" w:rsidRDefault="00DB7466" w:rsidP="00AD4EA1"/>
    <w:p w14:paraId="402AF25F" w14:textId="77777777" w:rsidR="00DB7466" w:rsidRDefault="00DB7466" w:rsidP="00AD4EA1"/>
    <w:p w14:paraId="4AA0F3B0" w14:textId="77777777" w:rsidR="00DB7466" w:rsidRDefault="00DB7466" w:rsidP="00AD4EA1"/>
    <w:p w14:paraId="1BB1843A" w14:textId="77777777" w:rsidR="00DB7466" w:rsidRDefault="00DB7466" w:rsidP="00AD4EA1"/>
    <w:p w14:paraId="042A5E05" w14:textId="77777777" w:rsidR="00DB7466" w:rsidRDefault="00DB7466" w:rsidP="00AD4EA1"/>
    <w:p w14:paraId="68659B17" w14:textId="77777777" w:rsidR="00DB7466" w:rsidRDefault="00DB7466" w:rsidP="00AD4EA1"/>
    <w:p w14:paraId="1CFBA0D1" w14:textId="77777777" w:rsidR="00DB7466" w:rsidRDefault="00DB7466" w:rsidP="00AD4EA1"/>
    <w:p w14:paraId="7C553522" w14:textId="77777777" w:rsidR="00DB7466" w:rsidRDefault="00DB7466" w:rsidP="00AD4EA1"/>
    <w:p w14:paraId="6BE456EE" w14:textId="77777777" w:rsidR="00DB7466" w:rsidRDefault="00DB7466" w:rsidP="00AD4EA1"/>
    <w:p w14:paraId="31E7D2C9" w14:textId="77777777" w:rsidR="00DB7466" w:rsidRDefault="00DB7466" w:rsidP="00AD4EA1"/>
    <w:p w14:paraId="258E3945" w14:textId="77777777" w:rsidR="00DB7466" w:rsidRDefault="00DB7466" w:rsidP="00AD4EA1"/>
    <w:p w14:paraId="5C37D425" w14:textId="77777777" w:rsidR="00DB7466" w:rsidRDefault="00DB7466" w:rsidP="00AD4EA1"/>
    <w:p w14:paraId="64D2859A" w14:textId="77777777" w:rsidR="00DB7466" w:rsidRDefault="00DB7466" w:rsidP="00AD4EA1"/>
    <w:p w14:paraId="7B5C4FF1" w14:textId="77777777" w:rsidR="00DB7466" w:rsidRDefault="00DB7466" w:rsidP="00AD4EA1"/>
    <w:p w14:paraId="1F73B914" w14:textId="77777777" w:rsidR="00DB7466" w:rsidRDefault="00DB7466" w:rsidP="00AD4EA1"/>
    <w:p w14:paraId="358FF6BA" w14:textId="77777777" w:rsidR="00DB7466" w:rsidRDefault="00DB7466" w:rsidP="00AD4EA1"/>
    <w:p w14:paraId="6EF91BD4" w14:textId="77777777" w:rsidR="00DB7466" w:rsidRDefault="00DB7466" w:rsidP="00AD4EA1"/>
    <w:p w14:paraId="65AD812F" w14:textId="77777777" w:rsidR="00DB7466" w:rsidRDefault="00DB7466" w:rsidP="00AD4EA1"/>
    <w:p w14:paraId="4C41DAF0" w14:textId="77777777" w:rsidR="00DB7466" w:rsidRDefault="00DB7466" w:rsidP="00AD4EA1"/>
    <w:p w14:paraId="1579147D" w14:textId="77777777" w:rsidR="00DB7466" w:rsidRDefault="00DB7466" w:rsidP="00AD4EA1"/>
    <w:p w14:paraId="6113B715" w14:textId="77777777" w:rsidR="00DB7466" w:rsidRDefault="00DB7466" w:rsidP="00AD4EA1"/>
    <w:p w14:paraId="4C6378E5" w14:textId="77777777" w:rsidR="00DB7466" w:rsidRDefault="00DB7466" w:rsidP="00AD4EA1"/>
    <w:p w14:paraId="1F21C1FC" w14:textId="77777777" w:rsidR="00DB7466" w:rsidRDefault="00DB7466" w:rsidP="00AD4EA1"/>
    <w:p w14:paraId="6D1B9D63" w14:textId="77777777" w:rsidR="00DB7466" w:rsidRDefault="00DB7466" w:rsidP="00AD4EA1"/>
    <w:p w14:paraId="5771CBAF" w14:textId="77777777" w:rsidR="00DB7466" w:rsidRDefault="00DB7466" w:rsidP="00AD4EA1"/>
    <w:p w14:paraId="439FE7FE" w14:textId="77777777" w:rsidR="00DB7466" w:rsidRDefault="00DB7466" w:rsidP="00AD4EA1"/>
    <w:p w14:paraId="6893D8EF" w14:textId="77777777" w:rsidR="00DB7466" w:rsidRDefault="00DB7466" w:rsidP="00AD4EA1"/>
    <w:p w14:paraId="0AF6249D" w14:textId="77777777" w:rsidR="00DB7466" w:rsidRDefault="00DB7466" w:rsidP="00AD4EA1"/>
    <w:p w14:paraId="1FE76212" w14:textId="77777777" w:rsidR="00DB7466" w:rsidRDefault="00DB7466" w:rsidP="00AD4EA1"/>
    <w:p w14:paraId="0AAA0783" w14:textId="77777777" w:rsidR="00DB7466" w:rsidRDefault="00DB7466" w:rsidP="00AD4EA1"/>
    <w:p w14:paraId="37EEDE31" w14:textId="77777777" w:rsidR="00DB7466" w:rsidRDefault="00DB7466" w:rsidP="00AD4EA1"/>
    <w:p w14:paraId="61CEE114" w14:textId="77777777" w:rsidR="00DB7466" w:rsidRDefault="00DB7466" w:rsidP="00AD4EA1"/>
    <w:p w14:paraId="589DAFF4" w14:textId="77777777" w:rsidR="00DB7466" w:rsidRDefault="00DB7466" w:rsidP="00AD4EA1"/>
    <w:p w14:paraId="34740EDD" w14:textId="77777777" w:rsidR="00DB7466" w:rsidRDefault="00DB7466" w:rsidP="00AD4EA1"/>
    <w:p w14:paraId="636B0B5A" w14:textId="77777777" w:rsidR="00DB7466" w:rsidRDefault="00DB7466" w:rsidP="00AD4EA1"/>
    <w:p w14:paraId="1C9F5816" w14:textId="77777777" w:rsidR="00DB7466" w:rsidRDefault="00DB7466" w:rsidP="00AD4EA1"/>
    <w:p w14:paraId="2802F60C" w14:textId="77777777" w:rsidR="00DB7466" w:rsidRDefault="00DB7466" w:rsidP="00AD4EA1"/>
    <w:p w14:paraId="14A5EABA" w14:textId="77777777" w:rsidR="00DB7466" w:rsidRDefault="00DB7466" w:rsidP="00AD4EA1"/>
    <w:p w14:paraId="3C2A962C" w14:textId="77777777" w:rsidR="00DB7466" w:rsidRDefault="00DB7466" w:rsidP="00AD4EA1"/>
    <w:p w14:paraId="48CFDD17" w14:textId="77777777" w:rsidR="00DB7466" w:rsidRDefault="00DB7466" w:rsidP="00AD4EA1"/>
    <w:p w14:paraId="6961A3A7" w14:textId="77777777" w:rsidR="00DB7466" w:rsidRDefault="00DB7466" w:rsidP="00AD4EA1"/>
    <w:p w14:paraId="61D037E0" w14:textId="77777777" w:rsidR="00DB7466" w:rsidRDefault="00DB7466" w:rsidP="00AD4EA1"/>
    <w:p w14:paraId="0BFC7008" w14:textId="77777777" w:rsidR="00DB7466" w:rsidRDefault="00DB7466" w:rsidP="00AD4EA1"/>
    <w:p w14:paraId="6E62ACB5" w14:textId="77777777" w:rsidR="00DB7466" w:rsidRDefault="00DB7466" w:rsidP="00AD4EA1"/>
    <w:p w14:paraId="5A8898BC" w14:textId="77777777" w:rsidR="00DB7466" w:rsidRDefault="00DB7466" w:rsidP="00AD4EA1"/>
    <w:p w14:paraId="45583D3D" w14:textId="77777777" w:rsidR="00DB7466" w:rsidRDefault="00DB7466" w:rsidP="00AD4EA1"/>
    <w:p w14:paraId="653217F0" w14:textId="77777777" w:rsidR="00DB7466" w:rsidRDefault="00DB7466" w:rsidP="00AD4EA1"/>
    <w:p w14:paraId="4DCD36AA" w14:textId="77777777" w:rsidR="00DB7466" w:rsidRDefault="00DB7466" w:rsidP="00AD4EA1"/>
    <w:p w14:paraId="54B707D9" w14:textId="77777777" w:rsidR="00DB7466" w:rsidRDefault="00DB7466" w:rsidP="00AD4EA1"/>
    <w:p w14:paraId="0CB505D9" w14:textId="77777777" w:rsidR="00DB7466" w:rsidRDefault="00DB7466" w:rsidP="00AD4EA1"/>
    <w:p w14:paraId="17AE0C88" w14:textId="77777777" w:rsidR="00DB7466" w:rsidRDefault="00DB7466" w:rsidP="00AD4EA1"/>
    <w:p w14:paraId="0B2387D0" w14:textId="77777777" w:rsidR="00DB7466" w:rsidRDefault="00DB7466" w:rsidP="00AD4EA1"/>
    <w:p w14:paraId="6D1DF832" w14:textId="77777777" w:rsidR="00DB7466" w:rsidRDefault="00DB7466" w:rsidP="00AD4EA1"/>
    <w:p w14:paraId="31C79ADD" w14:textId="77777777" w:rsidR="00DB7466" w:rsidRDefault="00DB7466" w:rsidP="00AD4EA1"/>
    <w:p w14:paraId="518CDE23" w14:textId="77777777" w:rsidR="00DB7466" w:rsidRDefault="00DB7466" w:rsidP="00AD4EA1"/>
    <w:p w14:paraId="2432B3FE" w14:textId="77777777" w:rsidR="00DB7466" w:rsidRDefault="00DB7466" w:rsidP="00AD4EA1"/>
    <w:p w14:paraId="482FD17E" w14:textId="77777777" w:rsidR="00DB7466" w:rsidRDefault="00DB7466" w:rsidP="00AD4EA1"/>
    <w:p w14:paraId="6D84ADC8" w14:textId="77777777" w:rsidR="00DB7466" w:rsidRDefault="00DB7466" w:rsidP="00AD4EA1"/>
    <w:p w14:paraId="160BB7C9" w14:textId="77777777" w:rsidR="00DB7466" w:rsidRDefault="00DB7466" w:rsidP="00AD4EA1"/>
    <w:p w14:paraId="5A9663AC" w14:textId="77777777" w:rsidR="00DB7466" w:rsidRDefault="00DB7466" w:rsidP="00AD4EA1"/>
    <w:p w14:paraId="567AAC87" w14:textId="77777777" w:rsidR="00DB7466" w:rsidRDefault="00DB7466" w:rsidP="00AD4EA1"/>
    <w:p w14:paraId="3B39983A" w14:textId="77777777" w:rsidR="00DB7466" w:rsidRDefault="00DB7466" w:rsidP="00AD4EA1"/>
    <w:p w14:paraId="2B91B31A" w14:textId="77777777" w:rsidR="00DB7466" w:rsidRDefault="00DB7466" w:rsidP="00AD4EA1"/>
    <w:p w14:paraId="0F90B19B" w14:textId="77777777" w:rsidR="00DB7466" w:rsidRDefault="00DB7466" w:rsidP="00AD4EA1"/>
    <w:p w14:paraId="3CFA53E3" w14:textId="77777777" w:rsidR="00DB7466" w:rsidRDefault="00DB7466" w:rsidP="00AD4EA1"/>
    <w:p w14:paraId="6A70F75D" w14:textId="77777777" w:rsidR="00DB7466" w:rsidRDefault="00DB7466" w:rsidP="00AD4EA1"/>
    <w:p w14:paraId="0ACEAB11" w14:textId="77777777" w:rsidR="00DB7466" w:rsidRDefault="00DB7466" w:rsidP="00AD4EA1"/>
    <w:p w14:paraId="35855D74" w14:textId="77777777" w:rsidR="00DB7466" w:rsidRDefault="00DB7466" w:rsidP="00AD4EA1"/>
    <w:p w14:paraId="585F0068" w14:textId="77777777" w:rsidR="00DB7466" w:rsidRDefault="00DB7466" w:rsidP="00AD4EA1"/>
    <w:p w14:paraId="4F9F8ABE" w14:textId="77777777" w:rsidR="00DB7466" w:rsidRDefault="00DB7466" w:rsidP="00AD4EA1"/>
    <w:p w14:paraId="369A899E" w14:textId="77777777" w:rsidR="00DB7466" w:rsidRDefault="00DB7466" w:rsidP="00AD4EA1"/>
    <w:p w14:paraId="619E5022" w14:textId="77777777" w:rsidR="00DB7466" w:rsidRDefault="00DB7466" w:rsidP="00AD4EA1"/>
    <w:p w14:paraId="11750B1C" w14:textId="77777777" w:rsidR="00DB7466" w:rsidRDefault="00DB7466" w:rsidP="00AD4EA1"/>
    <w:p w14:paraId="5237F415" w14:textId="77777777" w:rsidR="00DB7466" w:rsidRDefault="00DB7466" w:rsidP="00AD4EA1"/>
    <w:p w14:paraId="479BAB56" w14:textId="77777777" w:rsidR="00DB7466" w:rsidRDefault="00DB7466" w:rsidP="00AD4EA1"/>
    <w:p w14:paraId="3A08D6B0" w14:textId="77777777" w:rsidR="00DB7466" w:rsidRDefault="00DB7466" w:rsidP="00AD4EA1"/>
    <w:p w14:paraId="0020EC9E" w14:textId="77777777" w:rsidR="00DB7466" w:rsidRDefault="00DB7466" w:rsidP="00AD4EA1"/>
    <w:p w14:paraId="0A22123D" w14:textId="77777777" w:rsidR="00DB7466" w:rsidRDefault="00DB7466" w:rsidP="00AD4EA1"/>
    <w:p w14:paraId="58226169" w14:textId="77777777" w:rsidR="00DB7466" w:rsidRDefault="00DB7466" w:rsidP="00AD4EA1"/>
    <w:p w14:paraId="39FFEAA7" w14:textId="77777777" w:rsidR="00DB7466" w:rsidRDefault="00DB7466" w:rsidP="00AD4EA1"/>
    <w:p w14:paraId="29D9DA57" w14:textId="77777777" w:rsidR="00DB7466" w:rsidRDefault="00DB7466" w:rsidP="00AD4EA1"/>
    <w:p w14:paraId="259A14FF" w14:textId="77777777" w:rsidR="00DB7466" w:rsidRDefault="00DB7466" w:rsidP="00AD4EA1"/>
    <w:p w14:paraId="232448DD" w14:textId="77777777" w:rsidR="00DB7466" w:rsidRDefault="00DB7466" w:rsidP="00AD4EA1"/>
    <w:p w14:paraId="420C120A" w14:textId="77777777" w:rsidR="00DB7466" w:rsidRDefault="00DB7466" w:rsidP="00AD4EA1"/>
    <w:p w14:paraId="641CD59C" w14:textId="77777777" w:rsidR="00DB7466" w:rsidRDefault="00DB7466" w:rsidP="00AD4EA1"/>
    <w:p w14:paraId="413BA28E" w14:textId="77777777" w:rsidR="00DB7466" w:rsidRDefault="00DB7466" w:rsidP="00AD4EA1"/>
    <w:p w14:paraId="27D7F61B" w14:textId="77777777" w:rsidR="00DB7466" w:rsidRDefault="00DB7466" w:rsidP="00AD4EA1"/>
    <w:p w14:paraId="23093F74" w14:textId="77777777" w:rsidR="00DB7466" w:rsidRDefault="00DB7466" w:rsidP="00AD4EA1"/>
    <w:p w14:paraId="34D41038" w14:textId="77777777" w:rsidR="00DB7466" w:rsidRDefault="00DB7466" w:rsidP="00AD4EA1"/>
    <w:p w14:paraId="467F0E55" w14:textId="77777777" w:rsidR="00DB7466" w:rsidRDefault="00DB7466" w:rsidP="00AD4EA1"/>
    <w:p w14:paraId="1355B27E" w14:textId="77777777" w:rsidR="00DB7466" w:rsidRDefault="00DB7466" w:rsidP="00AD4EA1"/>
    <w:p w14:paraId="59AD368E" w14:textId="77777777" w:rsidR="00DB7466" w:rsidRDefault="00DB7466" w:rsidP="00AD4EA1"/>
    <w:p w14:paraId="6512DAEC" w14:textId="77777777" w:rsidR="00DB7466" w:rsidRDefault="00DB7466" w:rsidP="00AD4EA1"/>
    <w:p w14:paraId="1F657ACF" w14:textId="77777777" w:rsidR="00DB7466" w:rsidRDefault="00DB7466" w:rsidP="00AD4EA1"/>
    <w:p w14:paraId="13252055" w14:textId="77777777" w:rsidR="00DB7466" w:rsidRDefault="00DB7466" w:rsidP="00AD4EA1"/>
    <w:p w14:paraId="12561B26" w14:textId="77777777" w:rsidR="00DB7466" w:rsidRDefault="00DB7466" w:rsidP="00AD4EA1"/>
    <w:p w14:paraId="0C5C321C" w14:textId="77777777" w:rsidR="00DB7466" w:rsidRDefault="00DB7466" w:rsidP="00AD4EA1"/>
    <w:p w14:paraId="47FB2394" w14:textId="77777777" w:rsidR="00DB7466" w:rsidRDefault="00DB7466" w:rsidP="00AD4EA1"/>
    <w:p w14:paraId="0890C294" w14:textId="77777777" w:rsidR="00DB7466" w:rsidRDefault="00DB7466" w:rsidP="00AD4EA1"/>
    <w:p w14:paraId="34856B21" w14:textId="77777777" w:rsidR="00DB7466" w:rsidRDefault="00DB7466" w:rsidP="00AD4EA1"/>
    <w:p w14:paraId="7D6B8FC6" w14:textId="77777777" w:rsidR="00DB7466" w:rsidRDefault="00DB7466" w:rsidP="00AD4EA1"/>
    <w:p w14:paraId="2277A760" w14:textId="77777777" w:rsidR="00DB7466" w:rsidRDefault="00DB7466" w:rsidP="00AD4EA1"/>
    <w:p w14:paraId="635CDEDF" w14:textId="77777777" w:rsidR="00DB7466" w:rsidRDefault="00DB7466" w:rsidP="00AD4EA1"/>
    <w:p w14:paraId="7CDEF869" w14:textId="77777777" w:rsidR="00DB7466" w:rsidRDefault="00DB7466" w:rsidP="00AD4EA1"/>
    <w:p w14:paraId="10ECC776" w14:textId="77777777" w:rsidR="00DB7466" w:rsidRDefault="00DB7466" w:rsidP="00AD4EA1"/>
    <w:p w14:paraId="66ACC252" w14:textId="77777777" w:rsidR="00DB7466" w:rsidRDefault="00DB7466" w:rsidP="00AD4EA1"/>
    <w:p w14:paraId="0CA7B66F" w14:textId="77777777" w:rsidR="00DB7466" w:rsidRDefault="00DB7466" w:rsidP="00AD4EA1"/>
    <w:p w14:paraId="190E705B" w14:textId="77777777" w:rsidR="00DB7466" w:rsidRDefault="00DB7466" w:rsidP="00AD4EA1"/>
    <w:p w14:paraId="59F91718" w14:textId="77777777" w:rsidR="00DB7466" w:rsidRDefault="00DB7466" w:rsidP="00AD4EA1"/>
    <w:p w14:paraId="43F7CADC" w14:textId="77777777" w:rsidR="00DB7466" w:rsidRDefault="00DB7466" w:rsidP="00AD4EA1"/>
    <w:p w14:paraId="142E3D48" w14:textId="77777777" w:rsidR="00DB7466" w:rsidRDefault="00DB7466" w:rsidP="00AD4EA1"/>
    <w:p w14:paraId="4CF1A116" w14:textId="77777777" w:rsidR="00DB7466" w:rsidRDefault="00DB7466" w:rsidP="00AD4EA1"/>
    <w:p w14:paraId="6CBDB017" w14:textId="77777777" w:rsidR="00DB7466" w:rsidRDefault="00DB7466" w:rsidP="00AD4EA1"/>
    <w:p w14:paraId="44196029" w14:textId="77777777" w:rsidR="00DB7466" w:rsidRDefault="00DB7466" w:rsidP="00AD4EA1"/>
    <w:p w14:paraId="1C8ADDD6" w14:textId="77777777" w:rsidR="00DB7466" w:rsidRDefault="00DB7466" w:rsidP="00AD4EA1"/>
    <w:p w14:paraId="166D2586" w14:textId="77777777" w:rsidR="00DB7466" w:rsidRDefault="00DB7466" w:rsidP="00AD4EA1"/>
    <w:p w14:paraId="744543CB" w14:textId="77777777" w:rsidR="00DB7466" w:rsidRDefault="00DB7466" w:rsidP="00AD4EA1"/>
    <w:p w14:paraId="2046B2D7" w14:textId="77777777" w:rsidR="00DB7466" w:rsidRDefault="00DB7466" w:rsidP="00AD4EA1"/>
    <w:p w14:paraId="5347B1C1" w14:textId="77777777" w:rsidR="00DB7466" w:rsidRDefault="00DB7466" w:rsidP="00AD4EA1"/>
    <w:p w14:paraId="007B162E" w14:textId="77777777" w:rsidR="00DB7466" w:rsidRDefault="00DB7466" w:rsidP="00AD4EA1"/>
    <w:p w14:paraId="0D0E86C1" w14:textId="77777777" w:rsidR="00DB7466" w:rsidRDefault="00DB7466" w:rsidP="00AD4EA1"/>
    <w:p w14:paraId="01545BC1" w14:textId="77777777" w:rsidR="00DB7466" w:rsidRDefault="00DB7466" w:rsidP="00AD4EA1"/>
    <w:p w14:paraId="1C50BE97" w14:textId="77777777" w:rsidR="00DB7466" w:rsidRDefault="00DB7466" w:rsidP="00AD4EA1"/>
    <w:p w14:paraId="60AC5CEA" w14:textId="77777777" w:rsidR="00DB7466" w:rsidRDefault="00DB7466" w:rsidP="00AD4EA1"/>
    <w:p w14:paraId="4F757797" w14:textId="77777777" w:rsidR="00DB7466" w:rsidRDefault="00DB7466" w:rsidP="00AD4EA1"/>
    <w:p w14:paraId="6879BBFC" w14:textId="77777777" w:rsidR="00DB7466" w:rsidRDefault="00DB7466" w:rsidP="00AD4EA1"/>
    <w:p w14:paraId="212DB47A" w14:textId="77777777" w:rsidR="00DB7466" w:rsidRDefault="00DB7466" w:rsidP="00AD4EA1"/>
    <w:p w14:paraId="71715E72" w14:textId="77777777" w:rsidR="00DB7466" w:rsidRDefault="00DB7466" w:rsidP="00AD4EA1"/>
    <w:p w14:paraId="2541291C" w14:textId="77777777" w:rsidR="00DB7466" w:rsidRDefault="00DB7466" w:rsidP="00AD4EA1"/>
    <w:p w14:paraId="4FD2EE03" w14:textId="77777777" w:rsidR="00DB7466" w:rsidRDefault="00DB7466" w:rsidP="00AD4EA1"/>
    <w:p w14:paraId="6A01D6EF" w14:textId="77777777" w:rsidR="00DB7466" w:rsidRDefault="00DB7466" w:rsidP="00AD4EA1"/>
    <w:p w14:paraId="639F739A" w14:textId="77777777" w:rsidR="00DB7466" w:rsidRDefault="00DB7466" w:rsidP="00AD4EA1"/>
    <w:p w14:paraId="7722C08C" w14:textId="77777777" w:rsidR="00DB7466" w:rsidRDefault="00DB7466" w:rsidP="00AD4EA1"/>
    <w:p w14:paraId="0B41A064" w14:textId="77777777" w:rsidR="00DB7466" w:rsidRDefault="00DB7466" w:rsidP="00AD4EA1"/>
    <w:p w14:paraId="6FB2D499" w14:textId="77777777" w:rsidR="00DB7466" w:rsidRDefault="00DB7466" w:rsidP="00AD4EA1"/>
    <w:p w14:paraId="3A92DB3B" w14:textId="77777777" w:rsidR="00DB7466" w:rsidRDefault="00DB7466" w:rsidP="00AD4EA1"/>
    <w:p w14:paraId="2EF144C5" w14:textId="77777777" w:rsidR="00DB7466" w:rsidRDefault="00DB7466" w:rsidP="00AD4EA1"/>
    <w:p w14:paraId="78E80757" w14:textId="77777777" w:rsidR="00DB7466" w:rsidRDefault="00DB7466" w:rsidP="00AD4EA1"/>
    <w:p w14:paraId="786E8345" w14:textId="77777777" w:rsidR="00DB7466" w:rsidRDefault="00DB7466" w:rsidP="00AD4EA1"/>
    <w:p w14:paraId="42AEF935" w14:textId="77777777" w:rsidR="00DB7466" w:rsidRDefault="00DB7466" w:rsidP="00AD4EA1"/>
    <w:p w14:paraId="4D9B4BEE" w14:textId="77777777" w:rsidR="00DB7466" w:rsidRDefault="00DB7466" w:rsidP="00AD4EA1"/>
    <w:p w14:paraId="59BCD5F5" w14:textId="77777777" w:rsidR="00DB7466" w:rsidRDefault="00DB7466" w:rsidP="00AD4EA1"/>
    <w:p w14:paraId="3C68F271" w14:textId="77777777" w:rsidR="00DB7466" w:rsidRDefault="00DB7466" w:rsidP="00AD4EA1"/>
    <w:p w14:paraId="2129BC1C" w14:textId="77777777" w:rsidR="00DB7466" w:rsidRDefault="00DB7466" w:rsidP="00AD4EA1"/>
    <w:p w14:paraId="59223697" w14:textId="77777777" w:rsidR="00DB7466" w:rsidRDefault="00DB7466" w:rsidP="00AD4EA1"/>
    <w:p w14:paraId="10953672" w14:textId="77777777" w:rsidR="00DB7466" w:rsidRDefault="00DB7466" w:rsidP="00AD4EA1"/>
    <w:p w14:paraId="475662FE" w14:textId="77777777" w:rsidR="00DB7466" w:rsidRDefault="00DB7466" w:rsidP="00AD4EA1"/>
    <w:p w14:paraId="58209139" w14:textId="77777777" w:rsidR="00DB7466" w:rsidRDefault="00DB7466" w:rsidP="00AD4EA1"/>
    <w:p w14:paraId="74702792" w14:textId="77777777" w:rsidR="00DB7466" w:rsidRDefault="00DB7466" w:rsidP="00AD4EA1"/>
    <w:p w14:paraId="0DAB1383" w14:textId="77777777" w:rsidR="00DB7466" w:rsidRDefault="00DB7466" w:rsidP="00AD4EA1"/>
    <w:p w14:paraId="77184BA6" w14:textId="77777777" w:rsidR="00DB7466" w:rsidRDefault="00DB7466" w:rsidP="00AD4EA1"/>
    <w:p w14:paraId="7A1B0EF2" w14:textId="77777777" w:rsidR="00DB7466" w:rsidRDefault="00DB7466" w:rsidP="00AD4EA1"/>
    <w:p w14:paraId="7B194CA0" w14:textId="77777777" w:rsidR="00DB7466" w:rsidRDefault="00DB7466" w:rsidP="00AD4EA1"/>
    <w:p w14:paraId="149D99ED" w14:textId="77777777" w:rsidR="00DB7466" w:rsidRDefault="00DB7466" w:rsidP="00AD4EA1"/>
    <w:p w14:paraId="7D26E00D" w14:textId="77777777" w:rsidR="00DB7466" w:rsidRDefault="00DB7466" w:rsidP="00AD4EA1"/>
    <w:p w14:paraId="576E5373" w14:textId="77777777" w:rsidR="00DB7466" w:rsidRDefault="00DB7466" w:rsidP="00AD4EA1"/>
    <w:p w14:paraId="3E843F04" w14:textId="77777777" w:rsidR="00DB7466" w:rsidRDefault="00DB7466" w:rsidP="00AD4EA1"/>
    <w:p w14:paraId="727246EE" w14:textId="77777777" w:rsidR="00DB7466" w:rsidRDefault="00DB7466" w:rsidP="00AD4EA1"/>
    <w:p w14:paraId="2518076F" w14:textId="77777777" w:rsidR="00DB7466" w:rsidRDefault="00DB7466" w:rsidP="00AD4EA1"/>
    <w:p w14:paraId="25E1E140" w14:textId="77777777" w:rsidR="00DB7466" w:rsidRDefault="00DB7466" w:rsidP="00AD4EA1"/>
    <w:p w14:paraId="658B295E" w14:textId="77777777" w:rsidR="00DB7466" w:rsidRDefault="00DB7466" w:rsidP="00AD4EA1"/>
    <w:p w14:paraId="26BEE22D" w14:textId="77777777" w:rsidR="00DB7466" w:rsidRDefault="00DB7466" w:rsidP="00AD4EA1"/>
    <w:p w14:paraId="03F7A8D3" w14:textId="77777777" w:rsidR="00DB7466" w:rsidRDefault="00DB7466" w:rsidP="00AD4EA1"/>
    <w:p w14:paraId="4F145D46" w14:textId="77777777" w:rsidR="00DB7466" w:rsidRDefault="00DB7466" w:rsidP="00AD4EA1"/>
    <w:p w14:paraId="5B4B303A" w14:textId="77777777" w:rsidR="00DB7466" w:rsidRDefault="00DB7466" w:rsidP="00AD4EA1"/>
    <w:p w14:paraId="6E860D30" w14:textId="77777777" w:rsidR="00DB7466" w:rsidRDefault="00DB7466" w:rsidP="00AD4EA1"/>
    <w:p w14:paraId="27B4EEC3" w14:textId="77777777" w:rsidR="00DB7466" w:rsidRDefault="00DB7466" w:rsidP="00AD4EA1"/>
    <w:p w14:paraId="63388049" w14:textId="77777777" w:rsidR="00DB7466" w:rsidRDefault="00DB7466" w:rsidP="00AD4EA1"/>
    <w:p w14:paraId="099E5B5F" w14:textId="77777777" w:rsidR="00DB7466" w:rsidRDefault="00DB7466" w:rsidP="00AD4EA1"/>
    <w:p w14:paraId="1B23FFBD" w14:textId="77777777" w:rsidR="00DB7466" w:rsidRDefault="00DB7466" w:rsidP="00AD4EA1"/>
    <w:p w14:paraId="4F16C04A" w14:textId="77777777" w:rsidR="00DB7466" w:rsidRDefault="00DB7466" w:rsidP="00AD4EA1"/>
    <w:p w14:paraId="36DBAD6D" w14:textId="77777777" w:rsidR="00DB7466" w:rsidRDefault="00DB7466" w:rsidP="00AD4EA1"/>
    <w:p w14:paraId="24990092" w14:textId="77777777" w:rsidR="00DB7466" w:rsidRDefault="00DB7466" w:rsidP="00AD4EA1"/>
    <w:p w14:paraId="1CB7AFF1" w14:textId="77777777" w:rsidR="00DB7466" w:rsidRDefault="00DB7466" w:rsidP="00AD4EA1"/>
    <w:p w14:paraId="4DE56E4B" w14:textId="77777777" w:rsidR="00DB7466" w:rsidRDefault="00DB7466" w:rsidP="00AD4EA1"/>
    <w:p w14:paraId="75C5007F" w14:textId="77777777" w:rsidR="00DB7466" w:rsidRDefault="00DB7466" w:rsidP="00AD4EA1"/>
    <w:p w14:paraId="21B0EC65" w14:textId="77777777" w:rsidR="00DB7466" w:rsidRDefault="00DB7466" w:rsidP="00AD4EA1"/>
    <w:p w14:paraId="1B6993AB" w14:textId="77777777" w:rsidR="00DB7466" w:rsidRDefault="00DB7466" w:rsidP="00AD4EA1"/>
    <w:p w14:paraId="3C52CAB5" w14:textId="77777777" w:rsidR="00DB7466" w:rsidRDefault="00DB7466" w:rsidP="00AD4EA1"/>
    <w:p w14:paraId="4F375573" w14:textId="77777777" w:rsidR="00DB7466" w:rsidRDefault="00DB7466" w:rsidP="00AD4EA1"/>
    <w:p w14:paraId="18D5F27F" w14:textId="77777777" w:rsidR="00DB7466" w:rsidRDefault="00DB7466" w:rsidP="00AD4EA1"/>
    <w:p w14:paraId="62C4C42E" w14:textId="77777777" w:rsidR="00DB7466" w:rsidRDefault="00DB7466" w:rsidP="00AD4EA1"/>
    <w:p w14:paraId="31A714F1" w14:textId="77777777" w:rsidR="00DB7466" w:rsidRDefault="00DB7466" w:rsidP="00AD4EA1"/>
    <w:p w14:paraId="71DB4188" w14:textId="77777777" w:rsidR="00DB7466" w:rsidRDefault="00DB7466" w:rsidP="00AD4EA1"/>
    <w:p w14:paraId="036DF266" w14:textId="77777777" w:rsidR="00DB7466" w:rsidRDefault="00DB7466" w:rsidP="00AD4EA1"/>
    <w:p w14:paraId="2BF8ED6D" w14:textId="77777777" w:rsidR="00DB7466" w:rsidRDefault="00DB7466" w:rsidP="00AD4EA1"/>
    <w:p w14:paraId="07B9352F" w14:textId="77777777" w:rsidR="00DB7466" w:rsidRDefault="00DB7466" w:rsidP="00AD4EA1"/>
    <w:p w14:paraId="673A0398" w14:textId="77777777" w:rsidR="00DB7466" w:rsidRDefault="00DB7466" w:rsidP="00AD4EA1"/>
    <w:p w14:paraId="37A8CEE9" w14:textId="77777777" w:rsidR="00DB7466" w:rsidRDefault="00DB7466" w:rsidP="00AD4EA1"/>
    <w:p w14:paraId="6216A1AD" w14:textId="77777777" w:rsidR="00DB7466" w:rsidRDefault="00DB7466" w:rsidP="00AD4EA1"/>
    <w:p w14:paraId="19454C4E" w14:textId="77777777" w:rsidR="00DB7466" w:rsidRDefault="00DB7466" w:rsidP="00AD4EA1"/>
    <w:p w14:paraId="128D19BD" w14:textId="77777777" w:rsidR="00DB7466" w:rsidRDefault="00DB7466" w:rsidP="00AD4EA1"/>
    <w:p w14:paraId="4A21337D" w14:textId="77777777" w:rsidR="00DB7466" w:rsidRDefault="00DB7466" w:rsidP="00AD4EA1"/>
    <w:p w14:paraId="76C1155A" w14:textId="77777777" w:rsidR="00DB7466" w:rsidRDefault="00DB7466" w:rsidP="00AD4EA1"/>
    <w:p w14:paraId="685D20D1" w14:textId="77777777" w:rsidR="00DB7466" w:rsidRDefault="00DB7466" w:rsidP="00AD4EA1"/>
    <w:p w14:paraId="57C0ED55" w14:textId="77777777" w:rsidR="00DB7466" w:rsidRDefault="00DB7466" w:rsidP="00AD4EA1"/>
    <w:p w14:paraId="1F5DB5F0" w14:textId="77777777" w:rsidR="00DB7466" w:rsidRDefault="00DB7466" w:rsidP="00AD4EA1"/>
    <w:p w14:paraId="69198CC8" w14:textId="77777777" w:rsidR="00DB7466" w:rsidRDefault="00DB7466" w:rsidP="00AD4EA1"/>
    <w:p w14:paraId="143AB145" w14:textId="77777777" w:rsidR="00DB7466" w:rsidRDefault="00DB7466" w:rsidP="00AD4EA1"/>
    <w:p w14:paraId="2AAF6B06" w14:textId="77777777" w:rsidR="00DB7466" w:rsidRDefault="00DB7466" w:rsidP="00AD4EA1"/>
    <w:p w14:paraId="26A99F8C" w14:textId="77777777" w:rsidR="00DB7466" w:rsidRDefault="00DB7466" w:rsidP="00AD4EA1"/>
    <w:p w14:paraId="545A7395" w14:textId="77777777" w:rsidR="00DB7466" w:rsidRDefault="00DB7466" w:rsidP="00AD4EA1"/>
    <w:p w14:paraId="2D10FE09" w14:textId="77777777" w:rsidR="00DB7466" w:rsidRDefault="00DB7466" w:rsidP="00AD4EA1"/>
    <w:p w14:paraId="7FEE701D" w14:textId="77777777" w:rsidR="00DB7466" w:rsidRDefault="00DB7466" w:rsidP="00AD4EA1"/>
    <w:p w14:paraId="7950085C" w14:textId="77777777" w:rsidR="00DB7466" w:rsidRDefault="00DB7466" w:rsidP="00AD4EA1"/>
    <w:p w14:paraId="0E5DAD22" w14:textId="77777777" w:rsidR="00DB7466" w:rsidRDefault="00DB7466" w:rsidP="00AD4EA1"/>
    <w:p w14:paraId="3AC7A0A2" w14:textId="77777777" w:rsidR="00DB7466" w:rsidRDefault="00DB7466" w:rsidP="00AD4EA1"/>
    <w:p w14:paraId="176A31EF" w14:textId="77777777" w:rsidR="00DB7466" w:rsidRDefault="00DB7466" w:rsidP="00AD4EA1"/>
    <w:p w14:paraId="600A5173" w14:textId="77777777" w:rsidR="00DB7466" w:rsidRDefault="00DB7466" w:rsidP="00AD4EA1"/>
    <w:p w14:paraId="06E38864" w14:textId="77777777" w:rsidR="00DB7466" w:rsidRDefault="00DB7466" w:rsidP="00AD4EA1"/>
    <w:p w14:paraId="61F40F1C" w14:textId="77777777" w:rsidR="00DB7466" w:rsidRDefault="00DB7466" w:rsidP="00AD4EA1"/>
    <w:p w14:paraId="6AF49A82" w14:textId="77777777" w:rsidR="00DB7466" w:rsidRDefault="00DB7466" w:rsidP="00AD4EA1"/>
    <w:p w14:paraId="44D8584D" w14:textId="77777777" w:rsidR="00DB7466" w:rsidRDefault="00DB7466" w:rsidP="00AD4EA1"/>
    <w:p w14:paraId="3AC04B2E" w14:textId="77777777" w:rsidR="00DB7466" w:rsidRDefault="00DB7466" w:rsidP="00AD4EA1"/>
    <w:p w14:paraId="7E10E8F1" w14:textId="77777777" w:rsidR="00DB7466" w:rsidRDefault="00DB7466" w:rsidP="00AD4EA1"/>
    <w:p w14:paraId="69C55F75" w14:textId="77777777" w:rsidR="00DB7466" w:rsidRDefault="00DB7466" w:rsidP="00AD4EA1"/>
    <w:p w14:paraId="53EBF9B9" w14:textId="77777777" w:rsidR="00DB7466" w:rsidRDefault="00DB7466" w:rsidP="00AD4EA1"/>
    <w:p w14:paraId="1ED80F77" w14:textId="77777777" w:rsidR="00DB7466" w:rsidRDefault="00DB7466" w:rsidP="00AD4EA1"/>
    <w:p w14:paraId="61D6193A" w14:textId="77777777" w:rsidR="00DB7466" w:rsidRDefault="00DB7466" w:rsidP="00AD4EA1"/>
    <w:p w14:paraId="6D92AD78" w14:textId="77777777" w:rsidR="00DB7466" w:rsidRDefault="00DB7466" w:rsidP="00AD4EA1"/>
    <w:p w14:paraId="2F15C7E9" w14:textId="77777777" w:rsidR="00DB7466" w:rsidRDefault="00DB7466" w:rsidP="00AD4EA1"/>
    <w:p w14:paraId="71A2FE19" w14:textId="77777777" w:rsidR="00DB7466" w:rsidRDefault="00DB7466" w:rsidP="00AD4EA1"/>
    <w:p w14:paraId="14FAF7BA" w14:textId="77777777" w:rsidR="00DB7466" w:rsidRDefault="00DB7466" w:rsidP="00AD4EA1"/>
    <w:p w14:paraId="7AFE4ABF" w14:textId="77777777" w:rsidR="00DB7466" w:rsidRDefault="00DB7466" w:rsidP="00AD4EA1"/>
    <w:p w14:paraId="088679BA" w14:textId="77777777" w:rsidR="00DB7466" w:rsidRDefault="00DB7466" w:rsidP="00AD4EA1"/>
    <w:p w14:paraId="29F87D42" w14:textId="77777777" w:rsidR="00DB7466" w:rsidRDefault="00DB7466" w:rsidP="00AD4EA1"/>
    <w:p w14:paraId="3CEA18A8" w14:textId="77777777" w:rsidR="00DB7466" w:rsidRDefault="00DB7466" w:rsidP="00AD4EA1"/>
    <w:p w14:paraId="7BC0AA09" w14:textId="77777777" w:rsidR="00DB7466" w:rsidRDefault="00DB7466" w:rsidP="00AD4EA1"/>
    <w:p w14:paraId="294826A3" w14:textId="77777777" w:rsidR="00DB7466" w:rsidRDefault="00DB7466" w:rsidP="00AD4EA1"/>
    <w:p w14:paraId="4FFF0F5C" w14:textId="77777777" w:rsidR="00DB7466" w:rsidRDefault="00DB7466" w:rsidP="00AD4EA1"/>
    <w:p w14:paraId="06FD1597" w14:textId="77777777" w:rsidR="00DB7466" w:rsidRDefault="00DB7466" w:rsidP="00AD4EA1"/>
    <w:p w14:paraId="3631FB2D" w14:textId="77777777" w:rsidR="00DB7466" w:rsidRDefault="00DB7466" w:rsidP="00AD4EA1"/>
    <w:p w14:paraId="367DC577" w14:textId="77777777" w:rsidR="00DB7466" w:rsidRDefault="00DB7466" w:rsidP="00AD4EA1"/>
    <w:p w14:paraId="120D3116" w14:textId="77777777" w:rsidR="00DB7466" w:rsidRDefault="00DB7466" w:rsidP="00AD4EA1"/>
    <w:p w14:paraId="1F20DE14" w14:textId="77777777" w:rsidR="00DB7466" w:rsidRDefault="00DB7466" w:rsidP="00AD4EA1"/>
    <w:p w14:paraId="4AF46AE0" w14:textId="77777777" w:rsidR="00DB7466" w:rsidRDefault="00DB7466" w:rsidP="00AD4EA1"/>
    <w:p w14:paraId="1DB4E367" w14:textId="77777777" w:rsidR="00DB7466" w:rsidRDefault="00DB7466" w:rsidP="00AD4EA1"/>
    <w:p w14:paraId="3F849998" w14:textId="77777777" w:rsidR="00DB7466" w:rsidRDefault="00DB7466" w:rsidP="00AD4EA1"/>
    <w:p w14:paraId="5D053861" w14:textId="77777777" w:rsidR="00DB7466" w:rsidRDefault="00DB7466" w:rsidP="00AD4EA1"/>
    <w:p w14:paraId="2C50CB1D" w14:textId="77777777" w:rsidR="00DB7466" w:rsidRDefault="00DB7466" w:rsidP="00AD4EA1"/>
    <w:p w14:paraId="328CE443" w14:textId="77777777" w:rsidR="00DB7466" w:rsidRDefault="00DB7466" w:rsidP="00AD4EA1"/>
    <w:p w14:paraId="621DB82D" w14:textId="77777777" w:rsidR="00DB7466" w:rsidRDefault="00DB7466" w:rsidP="00AD4EA1"/>
    <w:p w14:paraId="292F8E62" w14:textId="77777777" w:rsidR="00DB7466" w:rsidRDefault="00DB7466" w:rsidP="00AD4EA1"/>
    <w:p w14:paraId="20761EFE" w14:textId="77777777" w:rsidR="00DB7466" w:rsidRDefault="00DB7466" w:rsidP="00AD4EA1"/>
    <w:p w14:paraId="6E8FC47F" w14:textId="77777777" w:rsidR="00DB7466" w:rsidRDefault="00DB7466" w:rsidP="00AD4EA1"/>
    <w:p w14:paraId="1C722E41" w14:textId="77777777" w:rsidR="00DB7466" w:rsidRDefault="00DB7466" w:rsidP="00AD4EA1"/>
    <w:p w14:paraId="63653FAA" w14:textId="77777777" w:rsidR="00DB7466" w:rsidRDefault="00DB7466" w:rsidP="00AD4EA1"/>
    <w:p w14:paraId="3E48449C" w14:textId="77777777" w:rsidR="00DB7466" w:rsidRDefault="00DB7466" w:rsidP="00AD4EA1"/>
    <w:p w14:paraId="757CE511" w14:textId="77777777" w:rsidR="00DB7466" w:rsidRDefault="00DB7466" w:rsidP="00AD4EA1"/>
    <w:p w14:paraId="536CB98E" w14:textId="77777777" w:rsidR="00DB7466" w:rsidRDefault="00DB7466" w:rsidP="00AD4EA1"/>
    <w:p w14:paraId="0D176A82" w14:textId="77777777" w:rsidR="00DB7466" w:rsidRDefault="00DB7466" w:rsidP="00AD4EA1"/>
    <w:p w14:paraId="565DC29C" w14:textId="77777777" w:rsidR="00DB7466" w:rsidRDefault="00DB7466" w:rsidP="00AD4EA1"/>
    <w:p w14:paraId="65FFBC27" w14:textId="77777777" w:rsidR="00DB7466" w:rsidRDefault="00DB7466" w:rsidP="00AD4EA1"/>
    <w:p w14:paraId="1EE20A13" w14:textId="77777777" w:rsidR="00DB7466" w:rsidRDefault="00DB7466" w:rsidP="00AD4EA1"/>
    <w:p w14:paraId="60A92F93" w14:textId="77777777" w:rsidR="00DB7466" w:rsidRDefault="00DB7466" w:rsidP="00AD4EA1"/>
    <w:p w14:paraId="55930ED7" w14:textId="77777777" w:rsidR="00DB7466" w:rsidRDefault="00DB7466" w:rsidP="00AD4EA1"/>
    <w:p w14:paraId="05AD324A" w14:textId="77777777" w:rsidR="00DB7466" w:rsidRDefault="00DB7466" w:rsidP="00AD4EA1"/>
    <w:p w14:paraId="606EEEBD" w14:textId="77777777" w:rsidR="00DB7466" w:rsidRDefault="00DB7466" w:rsidP="00AD4EA1"/>
    <w:p w14:paraId="1AC9A8CC" w14:textId="77777777" w:rsidR="00DB7466" w:rsidRDefault="00DB7466" w:rsidP="00AD4EA1"/>
    <w:p w14:paraId="455D4F4F" w14:textId="77777777" w:rsidR="00DB7466" w:rsidRDefault="00DB7466" w:rsidP="00AD4EA1"/>
    <w:p w14:paraId="27B86231" w14:textId="77777777" w:rsidR="00DB7466" w:rsidRDefault="00DB7466" w:rsidP="00AD4EA1"/>
    <w:p w14:paraId="679BB921" w14:textId="77777777" w:rsidR="00DB7466" w:rsidRDefault="00DB7466" w:rsidP="00AD4EA1"/>
    <w:p w14:paraId="5C1A2431" w14:textId="77777777" w:rsidR="00DB7466" w:rsidRDefault="00DB7466" w:rsidP="00AD4EA1"/>
    <w:p w14:paraId="71EB59A5" w14:textId="77777777" w:rsidR="00DB7466" w:rsidRDefault="00DB7466" w:rsidP="00AD4EA1"/>
    <w:p w14:paraId="6CDAF3B8" w14:textId="77777777" w:rsidR="00DB7466" w:rsidRDefault="00DB7466" w:rsidP="00AD4EA1"/>
    <w:p w14:paraId="26C4BF86" w14:textId="77777777" w:rsidR="00DB7466" w:rsidRDefault="00DB7466" w:rsidP="00AD4EA1"/>
    <w:p w14:paraId="64F43DE3" w14:textId="77777777" w:rsidR="00DB7466" w:rsidRDefault="00DB7466" w:rsidP="00AD4EA1"/>
    <w:p w14:paraId="08F70EE0" w14:textId="77777777" w:rsidR="00DB7466" w:rsidRDefault="00DB7466" w:rsidP="00AD4EA1"/>
    <w:p w14:paraId="09025FF3" w14:textId="77777777" w:rsidR="00DB7466" w:rsidRDefault="00DB7466" w:rsidP="00AD4EA1"/>
    <w:p w14:paraId="3B27A613" w14:textId="77777777" w:rsidR="00DB7466" w:rsidRDefault="00DB7466" w:rsidP="00AD4EA1"/>
    <w:p w14:paraId="7B1AF49A" w14:textId="77777777" w:rsidR="00DB7466" w:rsidRDefault="00DB7466" w:rsidP="00AD4EA1"/>
    <w:p w14:paraId="54269FA5" w14:textId="77777777" w:rsidR="00DB7466" w:rsidRDefault="00DB7466" w:rsidP="00AD4EA1"/>
    <w:p w14:paraId="68C765C4" w14:textId="77777777" w:rsidR="00DB7466" w:rsidRDefault="00DB7466" w:rsidP="00AD4EA1"/>
    <w:p w14:paraId="4497EE77" w14:textId="77777777" w:rsidR="00DB7466" w:rsidRDefault="00DB7466" w:rsidP="00AD4EA1"/>
    <w:p w14:paraId="13A4120A" w14:textId="77777777" w:rsidR="00DB7466" w:rsidRDefault="00DB7466" w:rsidP="00AD4EA1"/>
    <w:p w14:paraId="1854D610" w14:textId="77777777" w:rsidR="00DB7466" w:rsidRDefault="00DB7466" w:rsidP="00AD4EA1"/>
    <w:p w14:paraId="09A4E1C8" w14:textId="77777777" w:rsidR="00DB7466" w:rsidRDefault="00DB7466" w:rsidP="00AD4EA1"/>
    <w:p w14:paraId="15767174" w14:textId="77777777" w:rsidR="00DB7466" w:rsidRDefault="00DB7466" w:rsidP="00AD4EA1"/>
    <w:p w14:paraId="7BEB20AA" w14:textId="77777777" w:rsidR="00DB7466" w:rsidRDefault="00DB7466" w:rsidP="00AD4EA1"/>
    <w:p w14:paraId="06511C70" w14:textId="77777777" w:rsidR="00DB7466" w:rsidRDefault="00DB7466" w:rsidP="00AD4EA1"/>
    <w:p w14:paraId="70BC9FC5" w14:textId="77777777" w:rsidR="00DB7466" w:rsidRDefault="00DB7466" w:rsidP="00AD4EA1"/>
    <w:p w14:paraId="0F4A336B" w14:textId="77777777" w:rsidR="00DB7466" w:rsidRDefault="00DB7466" w:rsidP="00AD4EA1"/>
    <w:p w14:paraId="2CA3443F" w14:textId="77777777" w:rsidR="00DB7466" w:rsidRDefault="00DB7466" w:rsidP="00AD4EA1"/>
    <w:p w14:paraId="0E7DFD75" w14:textId="77777777" w:rsidR="00DB7466" w:rsidRDefault="00DB7466" w:rsidP="00AD4EA1"/>
    <w:p w14:paraId="12711972" w14:textId="77777777" w:rsidR="00DB7466" w:rsidRDefault="00DB7466" w:rsidP="00AD4EA1"/>
    <w:p w14:paraId="17E9D6C6" w14:textId="77777777" w:rsidR="00DB7466" w:rsidRDefault="00DB7466" w:rsidP="00AD4EA1"/>
    <w:p w14:paraId="00E131CA" w14:textId="77777777" w:rsidR="00DB7466" w:rsidRDefault="00DB7466" w:rsidP="00AD4EA1"/>
    <w:p w14:paraId="5A3FCD46" w14:textId="77777777" w:rsidR="00DB7466" w:rsidRDefault="00DB7466" w:rsidP="00AD4EA1"/>
    <w:p w14:paraId="5CB2EDCA" w14:textId="77777777" w:rsidR="00DB7466" w:rsidRDefault="00DB7466" w:rsidP="00AD4EA1"/>
    <w:p w14:paraId="5759513F" w14:textId="77777777" w:rsidR="00DB7466" w:rsidRDefault="00DB7466" w:rsidP="00AD4EA1"/>
    <w:p w14:paraId="188EC930" w14:textId="77777777" w:rsidR="00DB7466" w:rsidRDefault="00DB7466" w:rsidP="00AD4EA1"/>
    <w:p w14:paraId="38C8EE1C" w14:textId="77777777" w:rsidR="00DB7466" w:rsidRDefault="00DB7466" w:rsidP="00AD4EA1"/>
    <w:p w14:paraId="0F638071" w14:textId="77777777" w:rsidR="00DB7466" w:rsidRDefault="00DB7466" w:rsidP="00AD4EA1"/>
    <w:p w14:paraId="77432179" w14:textId="77777777" w:rsidR="00DB7466" w:rsidRDefault="00DB7466" w:rsidP="00AD4EA1"/>
    <w:p w14:paraId="65682886" w14:textId="77777777" w:rsidR="00DB7466" w:rsidRDefault="00DB7466" w:rsidP="00AD4EA1"/>
    <w:p w14:paraId="67E78966" w14:textId="77777777" w:rsidR="00DB7466" w:rsidRDefault="00DB7466" w:rsidP="00AD4EA1"/>
    <w:p w14:paraId="388EFD66" w14:textId="77777777" w:rsidR="00DB7466" w:rsidRDefault="00DB7466" w:rsidP="00AD4EA1"/>
    <w:p w14:paraId="609C08BF" w14:textId="77777777" w:rsidR="00DB7466" w:rsidRDefault="00DB7466" w:rsidP="00AD4EA1"/>
    <w:p w14:paraId="5D08674B" w14:textId="77777777" w:rsidR="00DB7466" w:rsidRDefault="00DB7466" w:rsidP="00AD4EA1"/>
    <w:p w14:paraId="266F9545" w14:textId="77777777" w:rsidR="00DB7466" w:rsidRDefault="00DB7466" w:rsidP="00AD4EA1"/>
    <w:p w14:paraId="21BE368F" w14:textId="77777777" w:rsidR="00DB7466" w:rsidRDefault="00DB7466" w:rsidP="00AD4EA1"/>
    <w:p w14:paraId="193FD229" w14:textId="77777777" w:rsidR="00DB7466" w:rsidRDefault="00DB7466" w:rsidP="00AD4EA1"/>
    <w:p w14:paraId="406E29F0" w14:textId="77777777" w:rsidR="00DB7466" w:rsidRDefault="00DB7466" w:rsidP="00AD4EA1"/>
    <w:p w14:paraId="5D4BBB1F" w14:textId="77777777" w:rsidR="00DB7466" w:rsidRDefault="00DB7466" w:rsidP="00AD4EA1"/>
    <w:p w14:paraId="3D56736C" w14:textId="77777777" w:rsidR="00DB7466" w:rsidRDefault="00DB7466" w:rsidP="00AD4EA1"/>
    <w:p w14:paraId="3896C3F0" w14:textId="77777777" w:rsidR="00DB7466" w:rsidRDefault="00DB7466" w:rsidP="00AD4EA1"/>
    <w:p w14:paraId="0AE78F87" w14:textId="77777777" w:rsidR="00DB7466" w:rsidRDefault="00DB7466" w:rsidP="00AD4EA1"/>
    <w:p w14:paraId="7079F080" w14:textId="77777777" w:rsidR="00DB7466" w:rsidRDefault="00DB7466" w:rsidP="00AD4EA1"/>
    <w:p w14:paraId="110C6320" w14:textId="77777777" w:rsidR="00DB7466" w:rsidRDefault="00DB7466" w:rsidP="00AD4EA1"/>
    <w:p w14:paraId="23438996" w14:textId="77777777" w:rsidR="00DB7466" w:rsidRDefault="00DB7466" w:rsidP="00AD4EA1"/>
    <w:p w14:paraId="7101F37D" w14:textId="77777777" w:rsidR="00DB7466" w:rsidRDefault="00DB7466" w:rsidP="00AD4EA1"/>
    <w:p w14:paraId="72E704DC" w14:textId="77777777" w:rsidR="00DB7466" w:rsidRDefault="00DB7466" w:rsidP="00AD4EA1"/>
    <w:p w14:paraId="23B24EE7" w14:textId="77777777" w:rsidR="00DB7466" w:rsidRDefault="00DB7466" w:rsidP="00AD4EA1"/>
    <w:p w14:paraId="0A89CBD0" w14:textId="77777777" w:rsidR="00DB7466" w:rsidRDefault="00DB7466" w:rsidP="00AD4EA1"/>
    <w:p w14:paraId="635CA082" w14:textId="77777777" w:rsidR="00DB7466" w:rsidRDefault="00DB7466" w:rsidP="00AD4EA1"/>
    <w:p w14:paraId="73869309" w14:textId="77777777" w:rsidR="00DB7466" w:rsidRDefault="00DB7466" w:rsidP="00AD4EA1"/>
    <w:p w14:paraId="0CC3AB1F" w14:textId="77777777" w:rsidR="00DB7466" w:rsidRDefault="00DB7466" w:rsidP="00AD4EA1"/>
    <w:p w14:paraId="498878A3" w14:textId="77777777" w:rsidR="00DB7466" w:rsidRDefault="00DB7466" w:rsidP="00AD4EA1"/>
    <w:p w14:paraId="1388DDC8" w14:textId="77777777" w:rsidR="00DB7466" w:rsidRDefault="00DB7466" w:rsidP="00AD4EA1"/>
    <w:p w14:paraId="04B10FF6" w14:textId="77777777" w:rsidR="00DB7466" w:rsidRDefault="00DB7466" w:rsidP="00AD4EA1"/>
    <w:p w14:paraId="17BDFCBA" w14:textId="77777777" w:rsidR="00DB7466" w:rsidRDefault="00DB7466" w:rsidP="00AD4EA1"/>
    <w:p w14:paraId="6E95336D" w14:textId="77777777" w:rsidR="00DB7466" w:rsidRDefault="00DB7466" w:rsidP="00AD4EA1"/>
    <w:p w14:paraId="6CE2BDDA" w14:textId="77777777" w:rsidR="00DB7466" w:rsidRDefault="00DB7466" w:rsidP="00AD4EA1"/>
    <w:p w14:paraId="519A4BB5" w14:textId="77777777" w:rsidR="00DB7466" w:rsidRDefault="00DB7466" w:rsidP="00AD4EA1"/>
    <w:p w14:paraId="27572DCE" w14:textId="77777777" w:rsidR="00DB7466" w:rsidRDefault="00DB7466" w:rsidP="00AD4EA1"/>
    <w:p w14:paraId="56850383" w14:textId="77777777" w:rsidR="00DB7466" w:rsidRDefault="00DB7466" w:rsidP="00AD4EA1"/>
    <w:p w14:paraId="47E4A3F6" w14:textId="77777777" w:rsidR="00DB7466" w:rsidRDefault="00DB7466" w:rsidP="00AD4EA1"/>
    <w:p w14:paraId="2972F95F" w14:textId="77777777" w:rsidR="00DB7466" w:rsidRDefault="00DB7466" w:rsidP="00AD4EA1"/>
    <w:p w14:paraId="3AD585A8" w14:textId="77777777" w:rsidR="00DB7466" w:rsidRDefault="00DB7466" w:rsidP="00AD4EA1"/>
    <w:p w14:paraId="2C755733" w14:textId="77777777" w:rsidR="00DB7466" w:rsidRDefault="00DB7466" w:rsidP="00AD4EA1"/>
    <w:p w14:paraId="2C9EF8D9" w14:textId="77777777" w:rsidR="00DB7466" w:rsidRDefault="00DB7466" w:rsidP="00AD4EA1"/>
    <w:p w14:paraId="69BD74F2" w14:textId="77777777" w:rsidR="00DB7466" w:rsidRDefault="00DB7466" w:rsidP="00AD4EA1"/>
    <w:p w14:paraId="243C5922" w14:textId="77777777" w:rsidR="00DB7466" w:rsidRDefault="00DB7466" w:rsidP="00AD4EA1"/>
    <w:p w14:paraId="3A343270" w14:textId="77777777" w:rsidR="00DB7466" w:rsidRDefault="00DB7466" w:rsidP="00AD4EA1"/>
    <w:p w14:paraId="7F7FB84B" w14:textId="77777777" w:rsidR="00DB7466" w:rsidRDefault="00DB7466" w:rsidP="00AD4EA1"/>
    <w:p w14:paraId="61CE0BA2" w14:textId="77777777" w:rsidR="00DB7466" w:rsidRDefault="00DB7466" w:rsidP="00AD4EA1"/>
    <w:p w14:paraId="38A11F64" w14:textId="77777777" w:rsidR="00DB7466" w:rsidRDefault="00DB7466" w:rsidP="00AD4EA1"/>
    <w:p w14:paraId="183E1B7E" w14:textId="77777777" w:rsidR="00DB7466" w:rsidRDefault="00DB7466" w:rsidP="00AD4EA1"/>
    <w:p w14:paraId="21B17449" w14:textId="77777777" w:rsidR="00DB7466" w:rsidRDefault="00DB7466" w:rsidP="00AD4EA1"/>
    <w:p w14:paraId="2FC6E13F" w14:textId="77777777" w:rsidR="00DB7466" w:rsidRDefault="00DB7466" w:rsidP="00AD4EA1"/>
    <w:p w14:paraId="7BBC07B9" w14:textId="77777777" w:rsidR="00DB7466" w:rsidRDefault="00DB7466" w:rsidP="00AD4EA1"/>
    <w:p w14:paraId="77813C3D" w14:textId="77777777" w:rsidR="00DB7466" w:rsidRDefault="00DB7466" w:rsidP="00AD4EA1"/>
    <w:p w14:paraId="33F0F010" w14:textId="77777777" w:rsidR="00DB7466" w:rsidRDefault="00DB7466" w:rsidP="00AD4EA1"/>
    <w:p w14:paraId="3D36720D" w14:textId="77777777" w:rsidR="00DB7466" w:rsidRDefault="00DB7466" w:rsidP="00AD4EA1"/>
    <w:p w14:paraId="6CC22733" w14:textId="77777777" w:rsidR="00DB7466" w:rsidRDefault="00DB7466" w:rsidP="00AD4EA1"/>
    <w:p w14:paraId="6F66BE7E" w14:textId="77777777" w:rsidR="00DB7466" w:rsidRDefault="00DB7466" w:rsidP="00AD4EA1"/>
    <w:p w14:paraId="53A6E86D" w14:textId="77777777" w:rsidR="00DB7466" w:rsidRDefault="00DB7466" w:rsidP="00AD4EA1"/>
    <w:p w14:paraId="452F72CB" w14:textId="77777777" w:rsidR="00DB7466" w:rsidRDefault="00DB7466" w:rsidP="00AD4EA1"/>
    <w:p w14:paraId="48539D61" w14:textId="77777777" w:rsidR="00DB7466" w:rsidRDefault="00DB7466" w:rsidP="00AD4EA1"/>
    <w:p w14:paraId="4AC95E97" w14:textId="77777777" w:rsidR="00DB7466" w:rsidRDefault="00DB7466" w:rsidP="00AD4EA1"/>
    <w:p w14:paraId="2A3EA438" w14:textId="77777777" w:rsidR="00DB7466" w:rsidRDefault="00DB7466" w:rsidP="00AD4EA1"/>
    <w:p w14:paraId="402EB842" w14:textId="77777777" w:rsidR="00DB7466" w:rsidRDefault="00DB7466" w:rsidP="00AD4EA1"/>
    <w:p w14:paraId="5B5F937E" w14:textId="77777777" w:rsidR="00DB7466" w:rsidRDefault="00DB7466" w:rsidP="00AD4EA1"/>
    <w:p w14:paraId="7CAA289A" w14:textId="77777777" w:rsidR="00DB7466" w:rsidRDefault="00DB7466" w:rsidP="00AD4EA1"/>
    <w:p w14:paraId="26E4A85D" w14:textId="77777777" w:rsidR="00DB7466" w:rsidRDefault="00DB7466" w:rsidP="00AD4EA1"/>
    <w:p w14:paraId="2D1BBA8C" w14:textId="77777777" w:rsidR="00DB7466" w:rsidRDefault="00DB7466" w:rsidP="00AD4EA1"/>
    <w:p w14:paraId="1BD060A2" w14:textId="77777777" w:rsidR="00DB7466" w:rsidRDefault="00DB7466" w:rsidP="00AD4EA1"/>
    <w:p w14:paraId="2417DD2D" w14:textId="77777777" w:rsidR="00DB7466" w:rsidRDefault="00DB7466" w:rsidP="00AD4EA1"/>
    <w:p w14:paraId="428CD546" w14:textId="77777777" w:rsidR="00DB7466" w:rsidRDefault="00DB7466" w:rsidP="00AD4EA1"/>
    <w:p w14:paraId="2FDEB4AC" w14:textId="77777777" w:rsidR="00DB7466" w:rsidRDefault="00DB7466" w:rsidP="00AD4EA1"/>
    <w:p w14:paraId="0DC606F3" w14:textId="77777777" w:rsidR="00DB7466" w:rsidRDefault="00DB7466" w:rsidP="00AD4EA1"/>
    <w:p w14:paraId="0105514D" w14:textId="77777777" w:rsidR="00DB7466" w:rsidRDefault="00DB7466" w:rsidP="00AD4EA1"/>
    <w:p w14:paraId="440CB337" w14:textId="77777777" w:rsidR="00DB7466" w:rsidRDefault="00DB7466" w:rsidP="00AD4EA1"/>
    <w:p w14:paraId="36442052" w14:textId="77777777" w:rsidR="00DB7466" w:rsidRDefault="00DB7466" w:rsidP="00AD4EA1"/>
    <w:p w14:paraId="6E98B8D6" w14:textId="77777777" w:rsidR="00DB7466" w:rsidRDefault="00DB7466" w:rsidP="00AD4EA1"/>
    <w:p w14:paraId="73F7DBC8" w14:textId="77777777" w:rsidR="00DB7466" w:rsidRDefault="00DB7466" w:rsidP="00AD4EA1"/>
    <w:p w14:paraId="06B7732F" w14:textId="77777777" w:rsidR="00DB7466" w:rsidRDefault="00DB7466" w:rsidP="00AD4EA1"/>
    <w:p w14:paraId="46CA785D" w14:textId="77777777" w:rsidR="00DB7466" w:rsidRDefault="00DB7466" w:rsidP="00AD4EA1"/>
    <w:p w14:paraId="60785AA7" w14:textId="77777777" w:rsidR="00DB7466" w:rsidRDefault="00DB7466" w:rsidP="00AD4EA1"/>
    <w:p w14:paraId="043AB4D4" w14:textId="77777777" w:rsidR="00DB7466" w:rsidRDefault="00DB7466" w:rsidP="00AD4EA1"/>
    <w:p w14:paraId="5B37DBAA" w14:textId="77777777" w:rsidR="00DB7466" w:rsidRDefault="00DB7466" w:rsidP="00AD4EA1"/>
    <w:p w14:paraId="08F300DF" w14:textId="77777777" w:rsidR="00DB7466" w:rsidRDefault="00DB7466" w:rsidP="00AD4EA1"/>
    <w:p w14:paraId="6D752501" w14:textId="77777777" w:rsidR="00DB7466" w:rsidRDefault="00DB7466" w:rsidP="00AD4EA1"/>
    <w:p w14:paraId="421987D5" w14:textId="77777777" w:rsidR="00DB7466" w:rsidRDefault="00DB7466" w:rsidP="00AD4EA1"/>
    <w:p w14:paraId="687CC294" w14:textId="77777777" w:rsidR="00DB7466" w:rsidRDefault="00DB7466" w:rsidP="00AD4EA1"/>
    <w:p w14:paraId="15419D8E" w14:textId="77777777" w:rsidR="00DB7466" w:rsidRDefault="00DB7466" w:rsidP="00AD4EA1"/>
    <w:p w14:paraId="114618BF" w14:textId="77777777" w:rsidR="00DB7466" w:rsidRDefault="00DB7466" w:rsidP="00AD4EA1"/>
    <w:p w14:paraId="493007CA" w14:textId="77777777" w:rsidR="00DB7466" w:rsidRDefault="00DB7466" w:rsidP="00AD4EA1"/>
    <w:p w14:paraId="52A7B742" w14:textId="77777777" w:rsidR="00DB7466" w:rsidRDefault="00DB7466" w:rsidP="00AD4EA1"/>
    <w:p w14:paraId="072E47E1" w14:textId="77777777" w:rsidR="00DB7466" w:rsidRDefault="00DB7466" w:rsidP="00AD4EA1"/>
    <w:p w14:paraId="1588419B" w14:textId="77777777" w:rsidR="00DB7466" w:rsidRDefault="00DB7466" w:rsidP="00AD4EA1"/>
    <w:p w14:paraId="274999FF" w14:textId="77777777" w:rsidR="00DB7466" w:rsidRDefault="00DB7466" w:rsidP="00AD4EA1"/>
    <w:p w14:paraId="4DA59870" w14:textId="77777777" w:rsidR="00DB7466" w:rsidRDefault="00DB7466" w:rsidP="00AD4EA1"/>
    <w:p w14:paraId="64D5E17E" w14:textId="77777777" w:rsidR="00DB7466" w:rsidRDefault="00DB7466" w:rsidP="00AD4EA1"/>
    <w:p w14:paraId="7C3892AF" w14:textId="77777777" w:rsidR="00DB7466" w:rsidRDefault="00DB7466" w:rsidP="00AD4EA1"/>
    <w:p w14:paraId="216043B4" w14:textId="77777777" w:rsidR="00DB7466" w:rsidRDefault="00DB7466" w:rsidP="00AD4EA1"/>
    <w:p w14:paraId="05121B3F" w14:textId="77777777" w:rsidR="00DB7466" w:rsidRDefault="00DB7466" w:rsidP="00AD4EA1"/>
    <w:p w14:paraId="22AC04F9" w14:textId="77777777" w:rsidR="00DB7466" w:rsidRDefault="00DB7466" w:rsidP="00AD4EA1"/>
    <w:p w14:paraId="3C478A11" w14:textId="77777777" w:rsidR="00DB7466" w:rsidRDefault="00DB7466" w:rsidP="00AD4EA1"/>
    <w:p w14:paraId="1F887E34" w14:textId="77777777" w:rsidR="00DB7466" w:rsidRDefault="00DB7466" w:rsidP="00AD4EA1"/>
    <w:p w14:paraId="525E4411" w14:textId="77777777" w:rsidR="00DB7466" w:rsidRDefault="00DB7466" w:rsidP="00AD4EA1"/>
    <w:p w14:paraId="05661C57" w14:textId="77777777" w:rsidR="00DB7466" w:rsidRDefault="00DB7466" w:rsidP="00AD4EA1"/>
    <w:p w14:paraId="3959F91E" w14:textId="77777777" w:rsidR="00DB7466" w:rsidRDefault="00DB7466" w:rsidP="00AD4EA1"/>
    <w:p w14:paraId="4BB6C0A0" w14:textId="77777777" w:rsidR="00DB7466" w:rsidRDefault="00DB7466" w:rsidP="00AD4EA1"/>
    <w:p w14:paraId="3D0893F7" w14:textId="77777777" w:rsidR="00DB7466" w:rsidRDefault="00DB7466" w:rsidP="00AD4EA1"/>
    <w:p w14:paraId="0D213C68" w14:textId="77777777" w:rsidR="00DB7466" w:rsidRDefault="00DB7466" w:rsidP="00AD4EA1"/>
    <w:p w14:paraId="4F1714CF" w14:textId="77777777" w:rsidR="00DB7466" w:rsidRDefault="00DB7466" w:rsidP="00AD4EA1"/>
    <w:p w14:paraId="4386176D" w14:textId="77777777" w:rsidR="00DB7466" w:rsidRDefault="00DB7466" w:rsidP="00AD4EA1"/>
    <w:p w14:paraId="0A3D7C5B" w14:textId="77777777" w:rsidR="00DB7466" w:rsidRDefault="00DB7466" w:rsidP="00AD4EA1"/>
    <w:p w14:paraId="73D854AB" w14:textId="77777777" w:rsidR="00DB7466" w:rsidRDefault="00DB7466" w:rsidP="00AD4EA1"/>
    <w:p w14:paraId="4D352B5E" w14:textId="77777777" w:rsidR="00DB7466" w:rsidRDefault="00DB7466" w:rsidP="00AD4EA1"/>
    <w:p w14:paraId="0BCD89BF" w14:textId="77777777" w:rsidR="00DB7466" w:rsidRDefault="00DB7466" w:rsidP="00AD4EA1"/>
    <w:p w14:paraId="672A1AA2" w14:textId="77777777" w:rsidR="00DB7466" w:rsidRDefault="00DB7466" w:rsidP="00AD4EA1"/>
    <w:p w14:paraId="554CA62C" w14:textId="77777777" w:rsidR="00DB7466" w:rsidRDefault="00DB7466" w:rsidP="00AD4EA1"/>
    <w:p w14:paraId="788FC058" w14:textId="77777777" w:rsidR="00DB7466" w:rsidRDefault="00DB7466" w:rsidP="00AD4EA1"/>
    <w:p w14:paraId="3DD2F26B" w14:textId="77777777" w:rsidR="00DB7466" w:rsidRDefault="00DB7466" w:rsidP="00AD4EA1"/>
    <w:p w14:paraId="60AAD5DA" w14:textId="77777777" w:rsidR="00DB7466" w:rsidRDefault="00DB7466" w:rsidP="00AD4EA1"/>
    <w:p w14:paraId="14DAE404" w14:textId="77777777" w:rsidR="00DB7466" w:rsidRDefault="00DB7466" w:rsidP="00AD4EA1"/>
    <w:p w14:paraId="2C6A1C6F" w14:textId="77777777" w:rsidR="00DB7466" w:rsidRDefault="00DB7466" w:rsidP="00AD4EA1"/>
    <w:p w14:paraId="7DD1A3E4" w14:textId="77777777" w:rsidR="00DB7466" w:rsidRDefault="00DB7466" w:rsidP="00AD4EA1"/>
    <w:p w14:paraId="6E894C4C" w14:textId="77777777" w:rsidR="00DB7466" w:rsidRDefault="00DB7466" w:rsidP="00AD4EA1"/>
    <w:p w14:paraId="24410429" w14:textId="77777777" w:rsidR="00DB7466" w:rsidRDefault="00DB7466" w:rsidP="00AD4EA1"/>
    <w:p w14:paraId="6D4958CE" w14:textId="77777777" w:rsidR="00DB7466" w:rsidRDefault="00DB7466" w:rsidP="00AD4EA1"/>
    <w:p w14:paraId="31E0D4B7" w14:textId="77777777" w:rsidR="00DB7466" w:rsidRDefault="00DB7466" w:rsidP="00AD4EA1"/>
    <w:p w14:paraId="194D5051" w14:textId="77777777" w:rsidR="00DB7466" w:rsidRDefault="00DB7466" w:rsidP="00AD4EA1"/>
    <w:p w14:paraId="460EF31D" w14:textId="77777777" w:rsidR="00DB7466" w:rsidRDefault="00DB7466" w:rsidP="00AD4EA1"/>
    <w:p w14:paraId="46918882" w14:textId="77777777" w:rsidR="00DB7466" w:rsidRDefault="00DB7466" w:rsidP="00AD4EA1"/>
    <w:p w14:paraId="582ECF6C" w14:textId="77777777" w:rsidR="00DB7466" w:rsidRDefault="00DB7466" w:rsidP="00AD4EA1"/>
    <w:p w14:paraId="16D8472A" w14:textId="77777777" w:rsidR="00DB7466" w:rsidRDefault="00DB7466" w:rsidP="00AD4EA1"/>
    <w:p w14:paraId="022EE370" w14:textId="77777777" w:rsidR="00DB7466" w:rsidRDefault="00DB7466" w:rsidP="00AD4EA1"/>
    <w:p w14:paraId="5BD7F69C" w14:textId="77777777" w:rsidR="00DB7466" w:rsidRDefault="00DB7466" w:rsidP="00AD4EA1"/>
    <w:p w14:paraId="071C9DFD" w14:textId="77777777" w:rsidR="00DB7466" w:rsidRDefault="00DB7466" w:rsidP="00AD4EA1"/>
    <w:p w14:paraId="6FE598D2" w14:textId="77777777" w:rsidR="00DB7466" w:rsidRDefault="00DB7466" w:rsidP="00AD4EA1"/>
    <w:p w14:paraId="5624AD0B" w14:textId="77777777" w:rsidR="00DB7466" w:rsidRDefault="00DB7466" w:rsidP="00AD4EA1"/>
    <w:p w14:paraId="580F6978" w14:textId="77777777" w:rsidR="00DB7466" w:rsidRDefault="00DB7466" w:rsidP="00AD4EA1"/>
    <w:p w14:paraId="624DFEB4" w14:textId="77777777" w:rsidR="00DB7466" w:rsidRDefault="00DB7466" w:rsidP="00AD4EA1"/>
    <w:p w14:paraId="65311E9F" w14:textId="77777777" w:rsidR="00DB7466" w:rsidRDefault="00DB7466" w:rsidP="00AD4EA1"/>
    <w:p w14:paraId="2870B4CC" w14:textId="77777777" w:rsidR="00DB7466" w:rsidRDefault="00DB7466" w:rsidP="00AD4EA1"/>
    <w:p w14:paraId="06D4B354" w14:textId="77777777" w:rsidR="00DB7466" w:rsidRDefault="00DB7466" w:rsidP="00AD4EA1"/>
    <w:p w14:paraId="28F0605A" w14:textId="77777777" w:rsidR="00DB7466" w:rsidRDefault="00DB7466" w:rsidP="00AD4EA1"/>
    <w:p w14:paraId="28AD376F" w14:textId="77777777" w:rsidR="00DB7466" w:rsidRDefault="00DB7466" w:rsidP="00AD4EA1"/>
    <w:p w14:paraId="183475E4" w14:textId="77777777" w:rsidR="00DB7466" w:rsidRDefault="00DB7466" w:rsidP="00AD4EA1"/>
    <w:p w14:paraId="2F9B7A21" w14:textId="77777777" w:rsidR="00DB7466" w:rsidRDefault="00DB7466" w:rsidP="00AD4EA1"/>
    <w:p w14:paraId="7AA916B5" w14:textId="77777777" w:rsidR="00DB7466" w:rsidRDefault="00DB7466" w:rsidP="00AD4EA1"/>
    <w:p w14:paraId="43D90BF9" w14:textId="77777777" w:rsidR="00DB7466" w:rsidRDefault="00DB7466" w:rsidP="00AD4EA1"/>
    <w:p w14:paraId="78AD30C9" w14:textId="77777777" w:rsidR="00DB7466" w:rsidRDefault="00DB7466" w:rsidP="00AD4EA1"/>
    <w:p w14:paraId="27358D5A" w14:textId="77777777" w:rsidR="00DB7466" w:rsidRDefault="00DB7466" w:rsidP="00AD4EA1"/>
    <w:p w14:paraId="4C7C72C3" w14:textId="77777777" w:rsidR="00DB7466" w:rsidRDefault="00DB7466" w:rsidP="00AD4EA1"/>
    <w:p w14:paraId="5D4B7E1A" w14:textId="77777777" w:rsidR="00DB7466" w:rsidRDefault="00DB7466" w:rsidP="00AD4EA1"/>
    <w:p w14:paraId="34318E6D" w14:textId="77777777" w:rsidR="00DB7466" w:rsidRDefault="00DB7466" w:rsidP="00AD4EA1"/>
    <w:p w14:paraId="6C31C369" w14:textId="77777777" w:rsidR="00DB7466" w:rsidRDefault="00DB7466" w:rsidP="00AD4EA1"/>
    <w:p w14:paraId="4C228EDA" w14:textId="77777777" w:rsidR="00DB7466" w:rsidRDefault="00DB7466" w:rsidP="00AD4EA1"/>
    <w:p w14:paraId="64CF16D6" w14:textId="77777777" w:rsidR="00DB7466" w:rsidRDefault="00DB7466" w:rsidP="00AD4EA1"/>
    <w:p w14:paraId="77AC012E" w14:textId="77777777" w:rsidR="00DB7466" w:rsidRDefault="00DB7466" w:rsidP="00AD4EA1"/>
    <w:p w14:paraId="1CB64211" w14:textId="77777777" w:rsidR="00DB7466" w:rsidRDefault="00DB7466" w:rsidP="00AD4EA1"/>
    <w:p w14:paraId="17113F80" w14:textId="77777777" w:rsidR="00DB7466" w:rsidRDefault="00DB7466" w:rsidP="00AD4EA1"/>
    <w:p w14:paraId="0BBDC342" w14:textId="77777777" w:rsidR="00DB7466" w:rsidRDefault="00DB7466" w:rsidP="00AD4EA1"/>
    <w:p w14:paraId="09F85F78" w14:textId="77777777" w:rsidR="00DB7466" w:rsidRDefault="00DB7466" w:rsidP="00AD4EA1"/>
    <w:p w14:paraId="187343AE" w14:textId="77777777" w:rsidR="00DB7466" w:rsidRDefault="00DB7466" w:rsidP="00AD4EA1"/>
    <w:p w14:paraId="18F82FD2" w14:textId="77777777" w:rsidR="00DB7466" w:rsidRDefault="00DB7466" w:rsidP="00AD4EA1"/>
    <w:p w14:paraId="044F5B51" w14:textId="77777777" w:rsidR="00DB7466" w:rsidRDefault="00DB7466" w:rsidP="00AD4EA1"/>
    <w:p w14:paraId="736EE599" w14:textId="77777777" w:rsidR="00DB7466" w:rsidRDefault="00DB7466" w:rsidP="00AD4EA1"/>
    <w:p w14:paraId="006B211D" w14:textId="77777777" w:rsidR="00DB7466" w:rsidRDefault="00DB7466" w:rsidP="00AD4EA1"/>
    <w:p w14:paraId="28E1F2D5" w14:textId="77777777" w:rsidR="00DB7466" w:rsidRDefault="00DB7466" w:rsidP="00AD4EA1"/>
    <w:p w14:paraId="7F2DB00A" w14:textId="77777777" w:rsidR="00DB7466" w:rsidRDefault="00DB7466" w:rsidP="00AD4EA1"/>
    <w:p w14:paraId="16C77319" w14:textId="77777777" w:rsidR="00DB7466" w:rsidRDefault="00DB7466" w:rsidP="00AD4EA1"/>
    <w:p w14:paraId="7C9740E6" w14:textId="77777777" w:rsidR="00DB7466" w:rsidRDefault="00DB7466" w:rsidP="00AD4EA1"/>
    <w:p w14:paraId="51A1A7F2" w14:textId="77777777" w:rsidR="00DB7466" w:rsidRDefault="00DB7466" w:rsidP="00AD4EA1"/>
    <w:p w14:paraId="41B4DA70" w14:textId="77777777" w:rsidR="00DB7466" w:rsidRDefault="00DB7466" w:rsidP="00AD4EA1"/>
    <w:p w14:paraId="522CC743" w14:textId="77777777" w:rsidR="00DB7466" w:rsidRDefault="00DB7466" w:rsidP="00AD4EA1"/>
    <w:p w14:paraId="1AE5479C" w14:textId="77777777" w:rsidR="00DB7466" w:rsidRDefault="00DB7466" w:rsidP="00AD4EA1"/>
    <w:p w14:paraId="68F8DF38" w14:textId="77777777" w:rsidR="00DB7466" w:rsidRDefault="00DB7466" w:rsidP="00AD4EA1"/>
    <w:p w14:paraId="2E986659" w14:textId="77777777" w:rsidR="00DB7466" w:rsidRDefault="00DB7466" w:rsidP="00AD4EA1"/>
    <w:p w14:paraId="279B399A" w14:textId="77777777" w:rsidR="00DB7466" w:rsidRDefault="00DB7466" w:rsidP="00AD4EA1"/>
    <w:p w14:paraId="08FD978C" w14:textId="77777777" w:rsidR="00DB7466" w:rsidRDefault="00DB7466" w:rsidP="00AD4EA1"/>
    <w:p w14:paraId="03AB9E18" w14:textId="77777777" w:rsidR="00DB7466" w:rsidRDefault="00DB7466" w:rsidP="00AD4EA1"/>
    <w:p w14:paraId="69DCB617" w14:textId="77777777" w:rsidR="00DB7466" w:rsidRDefault="00DB7466" w:rsidP="00AD4EA1"/>
    <w:p w14:paraId="5342731C" w14:textId="77777777" w:rsidR="00DB7466" w:rsidRDefault="00DB7466" w:rsidP="00AD4EA1"/>
    <w:p w14:paraId="3746E272" w14:textId="77777777" w:rsidR="00DB7466" w:rsidRDefault="00DB7466" w:rsidP="00AD4EA1"/>
    <w:p w14:paraId="356A111F" w14:textId="77777777" w:rsidR="00DB7466" w:rsidRDefault="00DB7466" w:rsidP="00AD4EA1"/>
    <w:p w14:paraId="411FA6B5" w14:textId="77777777" w:rsidR="00DB7466" w:rsidRDefault="00DB7466" w:rsidP="00AD4EA1"/>
    <w:p w14:paraId="764B3C6D" w14:textId="77777777" w:rsidR="00DB7466" w:rsidRDefault="00DB7466" w:rsidP="00AD4EA1"/>
    <w:p w14:paraId="3F5A1729" w14:textId="77777777" w:rsidR="00DB7466" w:rsidRDefault="00DB7466" w:rsidP="00AD4EA1"/>
    <w:p w14:paraId="7E375995" w14:textId="77777777" w:rsidR="00DB7466" w:rsidRDefault="00DB7466" w:rsidP="00AD4EA1"/>
    <w:p w14:paraId="2C74933B" w14:textId="77777777" w:rsidR="00DB7466" w:rsidRDefault="00DB7466" w:rsidP="00AD4EA1"/>
    <w:p w14:paraId="0F40F9B5" w14:textId="77777777" w:rsidR="00DB7466" w:rsidRDefault="00DB7466" w:rsidP="00AD4EA1"/>
    <w:p w14:paraId="4AB83BDE" w14:textId="77777777" w:rsidR="00DB7466" w:rsidRDefault="00DB7466" w:rsidP="00AD4EA1"/>
    <w:p w14:paraId="18DD8672" w14:textId="77777777" w:rsidR="00DB7466" w:rsidRDefault="00DB7466" w:rsidP="00AD4EA1"/>
    <w:p w14:paraId="057B923E" w14:textId="77777777" w:rsidR="00DB7466" w:rsidRDefault="00DB7466" w:rsidP="00AD4EA1"/>
    <w:p w14:paraId="70A60B4B" w14:textId="77777777" w:rsidR="00DB7466" w:rsidRDefault="00DB7466" w:rsidP="00AD4EA1"/>
    <w:p w14:paraId="2D0C33FC" w14:textId="77777777" w:rsidR="00DB7466" w:rsidRDefault="00DB7466" w:rsidP="00AD4EA1"/>
    <w:p w14:paraId="48330836" w14:textId="77777777" w:rsidR="00DB7466" w:rsidRDefault="00DB7466" w:rsidP="00AD4EA1"/>
    <w:p w14:paraId="68CEEC43" w14:textId="77777777" w:rsidR="00DB7466" w:rsidRDefault="00DB7466" w:rsidP="00AD4EA1"/>
    <w:p w14:paraId="654AAEB7" w14:textId="77777777" w:rsidR="00DB7466" w:rsidRDefault="00DB7466" w:rsidP="00AD4EA1"/>
    <w:p w14:paraId="7D1D7D4A" w14:textId="77777777" w:rsidR="00DB7466" w:rsidRDefault="00DB7466" w:rsidP="00AD4EA1"/>
    <w:p w14:paraId="6F5C85C7" w14:textId="77777777" w:rsidR="00DB7466" w:rsidRDefault="00DB7466" w:rsidP="00AD4EA1"/>
    <w:p w14:paraId="4B8513E9" w14:textId="77777777" w:rsidR="00DB7466" w:rsidRDefault="00DB7466" w:rsidP="00AD4EA1"/>
    <w:p w14:paraId="4B59ABC8" w14:textId="77777777" w:rsidR="00DB7466" w:rsidRDefault="00DB7466" w:rsidP="00AD4EA1"/>
    <w:p w14:paraId="4A200533" w14:textId="77777777" w:rsidR="00DB7466" w:rsidRDefault="00DB7466" w:rsidP="00AD4EA1"/>
    <w:p w14:paraId="497464CC" w14:textId="77777777" w:rsidR="00DB7466" w:rsidRDefault="00DB7466" w:rsidP="00AD4EA1"/>
    <w:p w14:paraId="114BB5D6" w14:textId="77777777" w:rsidR="00DB7466" w:rsidRDefault="00DB7466" w:rsidP="00AD4EA1"/>
    <w:p w14:paraId="208B9069" w14:textId="77777777" w:rsidR="00DB7466" w:rsidRDefault="00DB7466" w:rsidP="00AD4EA1"/>
    <w:p w14:paraId="252FD26E" w14:textId="77777777" w:rsidR="00DB7466" w:rsidRDefault="00DB7466" w:rsidP="00AD4EA1"/>
    <w:p w14:paraId="36A887F9" w14:textId="77777777" w:rsidR="00DB7466" w:rsidRDefault="00DB7466" w:rsidP="00AD4EA1"/>
    <w:p w14:paraId="7A753644" w14:textId="77777777" w:rsidR="00DB7466" w:rsidRDefault="00DB7466" w:rsidP="00AD4EA1"/>
    <w:p w14:paraId="7DAFD499" w14:textId="77777777" w:rsidR="00DB7466" w:rsidRDefault="00DB7466" w:rsidP="00AD4EA1"/>
    <w:p w14:paraId="5D7BE233" w14:textId="77777777" w:rsidR="00DB7466" w:rsidRDefault="00DB7466" w:rsidP="00AD4EA1"/>
    <w:p w14:paraId="74A198AA" w14:textId="77777777" w:rsidR="00DB7466" w:rsidRDefault="00DB7466" w:rsidP="00AD4EA1"/>
    <w:p w14:paraId="766A9F4D" w14:textId="77777777" w:rsidR="00DB7466" w:rsidRDefault="00DB7466" w:rsidP="00AD4EA1"/>
    <w:p w14:paraId="736E3C63" w14:textId="77777777" w:rsidR="00DB7466" w:rsidRDefault="00DB7466" w:rsidP="00AD4EA1"/>
    <w:p w14:paraId="670FA610" w14:textId="77777777" w:rsidR="00DB7466" w:rsidRDefault="00DB7466" w:rsidP="00AD4EA1"/>
    <w:p w14:paraId="5E6296A4" w14:textId="77777777" w:rsidR="00DB7466" w:rsidRDefault="00DB7466" w:rsidP="00AD4EA1"/>
    <w:p w14:paraId="073A01D3" w14:textId="77777777" w:rsidR="00DB7466" w:rsidRDefault="00DB7466" w:rsidP="00AD4EA1"/>
    <w:p w14:paraId="5764B2E0" w14:textId="77777777" w:rsidR="00DB7466" w:rsidRDefault="00DB7466" w:rsidP="00AD4EA1"/>
    <w:p w14:paraId="4D2F1031" w14:textId="77777777" w:rsidR="00DB7466" w:rsidRDefault="00DB7466" w:rsidP="00AD4EA1"/>
    <w:p w14:paraId="218D1952" w14:textId="77777777" w:rsidR="00DB7466" w:rsidRDefault="00DB7466" w:rsidP="00AD4EA1"/>
    <w:p w14:paraId="3D111962" w14:textId="77777777" w:rsidR="00DB7466" w:rsidRDefault="00DB7466" w:rsidP="00AD4EA1"/>
    <w:p w14:paraId="5407A017" w14:textId="77777777" w:rsidR="00DB7466" w:rsidRDefault="00DB7466" w:rsidP="00AD4EA1"/>
    <w:p w14:paraId="439563E1" w14:textId="77777777" w:rsidR="00DB7466" w:rsidRDefault="00DB7466" w:rsidP="00AD4EA1"/>
    <w:p w14:paraId="55257A31" w14:textId="77777777" w:rsidR="00DB7466" w:rsidRDefault="00DB7466" w:rsidP="00AD4EA1"/>
    <w:p w14:paraId="19CD8045" w14:textId="77777777" w:rsidR="00DB7466" w:rsidRDefault="00DB7466" w:rsidP="00AD4EA1"/>
    <w:p w14:paraId="7BBEA211" w14:textId="77777777" w:rsidR="00DB7466" w:rsidRDefault="00DB7466" w:rsidP="00AD4EA1">
      <w:pPr>
        <w:pStyle w:val="ListParagraph"/>
        <w:numPr>
          <w:ilvl w:val="0"/>
          <w:numId w:val="9"/>
        </w:numPr>
      </w:pPr>
    </w:p>
    <w:p w14:paraId="5B5C5F8F" w14:textId="77777777" w:rsidR="00DB7466" w:rsidRDefault="00DB7466" w:rsidP="00AD4EA1">
      <w:pPr>
        <w:pStyle w:val="ListParagraph"/>
        <w:numPr>
          <w:ilvl w:val="0"/>
          <w:numId w:val="9"/>
        </w:numPr>
      </w:pPr>
    </w:p>
    <w:p w14:paraId="01CAD4AF" w14:textId="77777777" w:rsidR="00DB7466" w:rsidRDefault="00DB7466" w:rsidP="00AD4EA1">
      <w:pPr>
        <w:pStyle w:val="ListParagraph"/>
        <w:numPr>
          <w:ilvl w:val="0"/>
          <w:numId w:val="9"/>
        </w:numPr>
      </w:pPr>
    </w:p>
    <w:p w14:paraId="5D4DE7FB" w14:textId="77777777" w:rsidR="00DB7466" w:rsidRDefault="00DB7466" w:rsidP="00AD4EA1">
      <w:pPr>
        <w:pStyle w:val="ListParagraph"/>
        <w:numPr>
          <w:ilvl w:val="0"/>
          <w:numId w:val="9"/>
        </w:numPr>
      </w:pPr>
    </w:p>
    <w:p w14:paraId="10C9810C" w14:textId="77777777" w:rsidR="00DB7466" w:rsidRDefault="00DB7466" w:rsidP="00AD4EA1">
      <w:pPr>
        <w:pStyle w:val="ListParagraph"/>
        <w:numPr>
          <w:ilvl w:val="0"/>
          <w:numId w:val="9"/>
        </w:numPr>
      </w:pPr>
    </w:p>
    <w:p w14:paraId="1D687351" w14:textId="77777777" w:rsidR="00DB7466" w:rsidRDefault="00DB7466" w:rsidP="00AD4EA1">
      <w:pPr>
        <w:pStyle w:val="ListParagraph"/>
        <w:numPr>
          <w:ilvl w:val="0"/>
          <w:numId w:val="9"/>
        </w:numPr>
      </w:pPr>
    </w:p>
    <w:p w14:paraId="4B1CA89E" w14:textId="77777777" w:rsidR="00DB7466" w:rsidRDefault="00DB7466" w:rsidP="00AD4EA1">
      <w:pPr>
        <w:pStyle w:val="ListParagraph"/>
        <w:numPr>
          <w:ilvl w:val="0"/>
          <w:numId w:val="9"/>
        </w:numPr>
      </w:pPr>
    </w:p>
    <w:p w14:paraId="257D8619" w14:textId="77777777" w:rsidR="00DB7466" w:rsidRDefault="00DB7466" w:rsidP="00AD4EA1">
      <w:pPr>
        <w:pStyle w:val="ListParagraph"/>
        <w:numPr>
          <w:ilvl w:val="0"/>
          <w:numId w:val="9"/>
        </w:numPr>
      </w:pPr>
    </w:p>
    <w:p w14:paraId="5B8E389C" w14:textId="77777777" w:rsidR="00DB7466" w:rsidRDefault="00DB7466" w:rsidP="00AD4EA1">
      <w:pPr>
        <w:pStyle w:val="ListParagraph"/>
        <w:numPr>
          <w:ilvl w:val="0"/>
          <w:numId w:val="9"/>
        </w:numPr>
      </w:pPr>
    </w:p>
    <w:p w14:paraId="7A1E961B" w14:textId="77777777" w:rsidR="00DB7466" w:rsidRDefault="00DB7466" w:rsidP="00AD4EA1">
      <w:pPr>
        <w:pStyle w:val="ListParagraph"/>
        <w:numPr>
          <w:ilvl w:val="0"/>
          <w:numId w:val="9"/>
        </w:numPr>
      </w:pPr>
    </w:p>
    <w:p w14:paraId="0271770F" w14:textId="77777777" w:rsidR="00DB7466" w:rsidRDefault="00DB7466" w:rsidP="00AD4EA1">
      <w:pPr>
        <w:pStyle w:val="ListParagraph"/>
        <w:numPr>
          <w:ilvl w:val="0"/>
          <w:numId w:val="9"/>
        </w:numPr>
      </w:pPr>
    </w:p>
    <w:p w14:paraId="55F127A1" w14:textId="77777777" w:rsidR="00DB7466" w:rsidRDefault="00DB7466" w:rsidP="00AD4EA1"/>
    <w:p w14:paraId="1F8A39A3" w14:textId="77777777" w:rsidR="00DB7466" w:rsidRDefault="00DB7466" w:rsidP="00AD4EA1"/>
    <w:p w14:paraId="14D1ED25" w14:textId="77777777" w:rsidR="00DB7466" w:rsidRDefault="00DB7466" w:rsidP="00AD4EA1"/>
    <w:p w14:paraId="5483707E" w14:textId="77777777" w:rsidR="00DB7466" w:rsidRDefault="00DB7466" w:rsidP="00AD4EA1"/>
    <w:p w14:paraId="517F79A0" w14:textId="77777777" w:rsidR="00DB7466" w:rsidRDefault="00DB7466" w:rsidP="00AD4EA1"/>
    <w:p w14:paraId="2269BF86" w14:textId="77777777" w:rsidR="00DB7466" w:rsidRDefault="00DB7466" w:rsidP="00AD4EA1"/>
    <w:p w14:paraId="4DE54DB2" w14:textId="77777777" w:rsidR="00DB7466" w:rsidRDefault="00DB7466" w:rsidP="00AD4EA1"/>
    <w:p w14:paraId="70E29395" w14:textId="77777777" w:rsidR="00DB7466" w:rsidRDefault="00DB7466" w:rsidP="00AD4EA1"/>
    <w:p w14:paraId="3F44A6E0" w14:textId="77777777" w:rsidR="00DB7466" w:rsidRDefault="00DB7466" w:rsidP="00AD4EA1"/>
    <w:p w14:paraId="47C2C102" w14:textId="77777777" w:rsidR="00DB7466" w:rsidRDefault="00DB7466" w:rsidP="00AD4EA1">
      <w:pPr>
        <w:pStyle w:val="ListParagraph"/>
        <w:numPr>
          <w:ilvl w:val="0"/>
          <w:numId w:val="8"/>
        </w:numPr>
      </w:pPr>
    </w:p>
    <w:p w14:paraId="15733735" w14:textId="77777777" w:rsidR="00DB7466" w:rsidRDefault="00DB7466" w:rsidP="00AD4EA1">
      <w:pPr>
        <w:pStyle w:val="ListParagraph"/>
        <w:numPr>
          <w:ilvl w:val="0"/>
          <w:numId w:val="8"/>
        </w:numPr>
      </w:pPr>
    </w:p>
    <w:p w14:paraId="001998B1" w14:textId="77777777" w:rsidR="00DB7466" w:rsidRDefault="00DB7466" w:rsidP="00AD4EA1">
      <w:pPr>
        <w:pStyle w:val="ListParagraph"/>
        <w:numPr>
          <w:ilvl w:val="0"/>
          <w:numId w:val="8"/>
        </w:numPr>
      </w:pPr>
    </w:p>
    <w:p w14:paraId="710366C2" w14:textId="77777777" w:rsidR="00DB7466" w:rsidRDefault="00DB7466" w:rsidP="00AD4EA1">
      <w:pPr>
        <w:pStyle w:val="ListParagraph"/>
        <w:numPr>
          <w:ilvl w:val="0"/>
          <w:numId w:val="8"/>
        </w:numPr>
      </w:pPr>
    </w:p>
    <w:p w14:paraId="2A8A23FB" w14:textId="77777777" w:rsidR="00DB7466" w:rsidRDefault="00DB7466" w:rsidP="00AD4EA1">
      <w:pPr>
        <w:pStyle w:val="ListParagraph"/>
        <w:numPr>
          <w:ilvl w:val="0"/>
          <w:numId w:val="8"/>
        </w:numPr>
      </w:pPr>
    </w:p>
    <w:p w14:paraId="10930CE8" w14:textId="77777777" w:rsidR="00DB7466" w:rsidRDefault="00DB7466" w:rsidP="00AD4EA1">
      <w:pPr>
        <w:pStyle w:val="ListParagraph"/>
        <w:numPr>
          <w:ilvl w:val="0"/>
          <w:numId w:val="8"/>
        </w:numPr>
      </w:pPr>
    </w:p>
    <w:p w14:paraId="7462E703" w14:textId="77777777" w:rsidR="00DB7466" w:rsidRDefault="00DB7466" w:rsidP="00AD4EA1">
      <w:pPr>
        <w:pStyle w:val="ListParagraph"/>
        <w:numPr>
          <w:ilvl w:val="0"/>
          <w:numId w:val="8"/>
        </w:numPr>
      </w:pPr>
    </w:p>
    <w:p w14:paraId="114549EA" w14:textId="77777777" w:rsidR="00DB7466" w:rsidRDefault="00DB7466" w:rsidP="00AD4EA1">
      <w:pPr>
        <w:pStyle w:val="ListParagraph"/>
        <w:numPr>
          <w:ilvl w:val="0"/>
          <w:numId w:val="8"/>
        </w:numPr>
      </w:pPr>
    </w:p>
    <w:p w14:paraId="2A31582C" w14:textId="77777777" w:rsidR="00DB7466" w:rsidRDefault="00DB7466" w:rsidP="00AD4EA1">
      <w:pPr>
        <w:pStyle w:val="ListParagraph"/>
        <w:numPr>
          <w:ilvl w:val="0"/>
          <w:numId w:val="8"/>
        </w:numPr>
      </w:pPr>
    </w:p>
    <w:p w14:paraId="4210525F" w14:textId="77777777" w:rsidR="00DB7466" w:rsidRDefault="00DB7466" w:rsidP="00AD4EA1">
      <w:pPr>
        <w:pStyle w:val="ListParagraph"/>
        <w:numPr>
          <w:ilvl w:val="0"/>
          <w:numId w:val="8"/>
        </w:numPr>
      </w:pPr>
    </w:p>
    <w:p w14:paraId="0734DDCF" w14:textId="77777777" w:rsidR="00DB7466" w:rsidRDefault="00DB7466" w:rsidP="00AD4EA1">
      <w:pPr>
        <w:pStyle w:val="ListParagraph"/>
        <w:numPr>
          <w:ilvl w:val="0"/>
          <w:numId w:val="8"/>
        </w:numPr>
      </w:pPr>
    </w:p>
    <w:p w14:paraId="122DF2C4" w14:textId="77777777" w:rsidR="00DB7466" w:rsidRDefault="00DB7466" w:rsidP="00AD4EA1">
      <w:pPr>
        <w:pStyle w:val="ListParagraph"/>
        <w:numPr>
          <w:ilvl w:val="0"/>
          <w:numId w:val="8"/>
        </w:numPr>
      </w:pPr>
    </w:p>
    <w:p w14:paraId="07C71542" w14:textId="77777777" w:rsidR="00DB7466" w:rsidRDefault="00DB7466" w:rsidP="00AD4EA1">
      <w:pPr>
        <w:pStyle w:val="ListParagraph"/>
        <w:numPr>
          <w:ilvl w:val="0"/>
          <w:numId w:val="8"/>
        </w:numPr>
      </w:pPr>
    </w:p>
    <w:p w14:paraId="7B874676" w14:textId="77777777" w:rsidR="00DB7466" w:rsidRDefault="00DB7466" w:rsidP="00AD4EA1">
      <w:pPr>
        <w:pStyle w:val="ListParagraph"/>
        <w:numPr>
          <w:ilvl w:val="0"/>
          <w:numId w:val="8"/>
        </w:numPr>
      </w:pPr>
    </w:p>
    <w:p w14:paraId="0FA713A2" w14:textId="77777777" w:rsidR="00DB7466" w:rsidRDefault="00DB7466" w:rsidP="00AD4EA1">
      <w:pPr>
        <w:pStyle w:val="ListParagraph"/>
        <w:numPr>
          <w:ilvl w:val="0"/>
          <w:numId w:val="8"/>
        </w:numPr>
      </w:pPr>
    </w:p>
    <w:p w14:paraId="17A8DD95" w14:textId="77777777" w:rsidR="00DB7466" w:rsidRDefault="00DB7466" w:rsidP="00AD4EA1">
      <w:pPr>
        <w:pStyle w:val="ListParagraph"/>
        <w:numPr>
          <w:ilvl w:val="0"/>
          <w:numId w:val="8"/>
        </w:numPr>
      </w:pPr>
    </w:p>
    <w:p w14:paraId="44496BA7" w14:textId="77777777" w:rsidR="00DB7466" w:rsidRDefault="00DB7466" w:rsidP="00AD4EA1">
      <w:pPr>
        <w:pStyle w:val="ListParagraph"/>
        <w:numPr>
          <w:ilvl w:val="0"/>
          <w:numId w:val="8"/>
        </w:numPr>
      </w:pPr>
    </w:p>
    <w:p w14:paraId="4FB3CD4B" w14:textId="77777777" w:rsidR="00DB7466" w:rsidRDefault="00DB7466" w:rsidP="00AD4EA1">
      <w:pPr>
        <w:pStyle w:val="ListParagraph"/>
        <w:numPr>
          <w:ilvl w:val="0"/>
          <w:numId w:val="8"/>
        </w:numPr>
      </w:pPr>
    </w:p>
    <w:p w14:paraId="3FD7981A" w14:textId="77777777" w:rsidR="00DB7466" w:rsidRDefault="00DB7466" w:rsidP="00AD4EA1">
      <w:pPr>
        <w:pStyle w:val="ListParagraph"/>
        <w:numPr>
          <w:ilvl w:val="0"/>
          <w:numId w:val="8"/>
        </w:numPr>
      </w:pPr>
    </w:p>
    <w:p w14:paraId="4CF2FFD3" w14:textId="77777777" w:rsidR="00DB7466" w:rsidRDefault="00DB7466" w:rsidP="00AD4EA1">
      <w:pPr>
        <w:pStyle w:val="ListParagraph"/>
        <w:numPr>
          <w:ilvl w:val="0"/>
          <w:numId w:val="8"/>
        </w:numPr>
      </w:pPr>
    </w:p>
    <w:p w14:paraId="214D2E73" w14:textId="77777777" w:rsidR="00DB7466" w:rsidRDefault="00DB7466" w:rsidP="00AD4EA1">
      <w:pPr>
        <w:pStyle w:val="ListParagraph"/>
        <w:numPr>
          <w:ilvl w:val="0"/>
          <w:numId w:val="8"/>
        </w:numPr>
      </w:pPr>
    </w:p>
    <w:p w14:paraId="28FBC1BA" w14:textId="77777777" w:rsidR="00DB7466" w:rsidRDefault="00DB7466" w:rsidP="00AD4EA1">
      <w:pPr>
        <w:pStyle w:val="ListParagraph"/>
        <w:numPr>
          <w:ilvl w:val="0"/>
          <w:numId w:val="8"/>
        </w:numPr>
      </w:pPr>
    </w:p>
    <w:p w14:paraId="5D43CF24" w14:textId="77777777" w:rsidR="00DB7466" w:rsidRDefault="00DB7466" w:rsidP="00AD4EA1">
      <w:pPr>
        <w:pStyle w:val="ListParagraph"/>
        <w:numPr>
          <w:ilvl w:val="0"/>
          <w:numId w:val="8"/>
        </w:numPr>
      </w:pPr>
    </w:p>
    <w:p w14:paraId="0D6E785D" w14:textId="77777777" w:rsidR="00DB7466" w:rsidRDefault="00DB7466" w:rsidP="00AD4EA1">
      <w:pPr>
        <w:pStyle w:val="ListParagraph"/>
        <w:numPr>
          <w:ilvl w:val="0"/>
          <w:numId w:val="8"/>
        </w:numPr>
      </w:pPr>
    </w:p>
    <w:p w14:paraId="620C4AEB" w14:textId="77777777" w:rsidR="00DB7466" w:rsidRDefault="00DB7466" w:rsidP="00AD4EA1"/>
    <w:p w14:paraId="0CA30FFC" w14:textId="77777777" w:rsidR="00DB7466" w:rsidRDefault="00DB7466" w:rsidP="00AD4EA1"/>
    <w:p w14:paraId="66A8FEA0" w14:textId="77777777" w:rsidR="00DB7466" w:rsidRDefault="00DB7466" w:rsidP="00AD4EA1"/>
    <w:p w14:paraId="7C3D3649" w14:textId="77777777" w:rsidR="00DB7466" w:rsidRDefault="00DB7466" w:rsidP="00AD4EA1">
      <w:pPr>
        <w:pStyle w:val="ListParagraph"/>
        <w:numPr>
          <w:ilvl w:val="0"/>
          <w:numId w:val="10"/>
        </w:numPr>
      </w:pPr>
    </w:p>
    <w:p w14:paraId="53587984" w14:textId="77777777" w:rsidR="00DB7466" w:rsidRDefault="00DB7466" w:rsidP="00AD4EA1">
      <w:pPr>
        <w:pStyle w:val="ListParagraph"/>
        <w:numPr>
          <w:ilvl w:val="0"/>
          <w:numId w:val="10"/>
        </w:numPr>
      </w:pPr>
    </w:p>
    <w:p w14:paraId="043AA57B" w14:textId="77777777" w:rsidR="00DB7466" w:rsidRDefault="00DB7466" w:rsidP="00AD4EA1">
      <w:pPr>
        <w:pStyle w:val="ListParagraph"/>
        <w:numPr>
          <w:ilvl w:val="0"/>
          <w:numId w:val="10"/>
        </w:numPr>
      </w:pPr>
    </w:p>
    <w:p w14:paraId="58EB2212" w14:textId="77777777" w:rsidR="00DB7466" w:rsidRDefault="00DB7466" w:rsidP="00AD4EA1">
      <w:pPr>
        <w:pStyle w:val="ListParagraph"/>
        <w:numPr>
          <w:ilvl w:val="0"/>
          <w:numId w:val="10"/>
        </w:numPr>
      </w:pPr>
    </w:p>
    <w:p w14:paraId="4F86E3D4" w14:textId="77777777" w:rsidR="00DB7466" w:rsidRDefault="00DB7466" w:rsidP="00AD4EA1">
      <w:pPr>
        <w:pStyle w:val="ListParagraph"/>
        <w:numPr>
          <w:ilvl w:val="0"/>
          <w:numId w:val="10"/>
        </w:numPr>
      </w:pPr>
    </w:p>
    <w:p w14:paraId="04DF2D50" w14:textId="77777777" w:rsidR="00DB7466" w:rsidRDefault="00DB7466" w:rsidP="00AD4EA1">
      <w:pPr>
        <w:pStyle w:val="ListParagraph"/>
        <w:numPr>
          <w:ilvl w:val="0"/>
          <w:numId w:val="10"/>
        </w:numPr>
      </w:pPr>
    </w:p>
    <w:p w14:paraId="00D9FBC1" w14:textId="77777777" w:rsidR="00DB7466" w:rsidRDefault="00DB7466" w:rsidP="00AD4EA1">
      <w:pPr>
        <w:pStyle w:val="ListParagraph"/>
        <w:numPr>
          <w:ilvl w:val="0"/>
          <w:numId w:val="10"/>
        </w:numPr>
      </w:pPr>
    </w:p>
    <w:p w14:paraId="459BDC9A" w14:textId="77777777" w:rsidR="00DB7466" w:rsidRDefault="00DB7466" w:rsidP="00AD4EA1">
      <w:pPr>
        <w:pStyle w:val="ListParagraph"/>
        <w:numPr>
          <w:ilvl w:val="0"/>
          <w:numId w:val="10"/>
        </w:numPr>
      </w:pPr>
    </w:p>
    <w:p w14:paraId="076AD059" w14:textId="77777777" w:rsidR="00DB7466" w:rsidRDefault="00DB7466" w:rsidP="00AD4EA1">
      <w:pPr>
        <w:pStyle w:val="ListParagraph"/>
        <w:numPr>
          <w:ilvl w:val="0"/>
          <w:numId w:val="10"/>
        </w:numPr>
      </w:pPr>
    </w:p>
    <w:p w14:paraId="27C7A174" w14:textId="77777777" w:rsidR="00DB7466" w:rsidRDefault="00DB7466" w:rsidP="00AD4EA1">
      <w:pPr>
        <w:pStyle w:val="ListParagraph"/>
        <w:numPr>
          <w:ilvl w:val="0"/>
          <w:numId w:val="10"/>
        </w:numPr>
      </w:pPr>
    </w:p>
    <w:p w14:paraId="30899EAE" w14:textId="77777777" w:rsidR="00DB7466" w:rsidRDefault="00DB7466" w:rsidP="00AD4EA1">
      <w:pPr>
        <w:pStyle w:val="ListParagraph"/>
        <w:numPr>
          <w:ilvl w:val="0"/>
          <w:numId w:val="10"/>
        </w:numPr>
      </w:pPr>
    </w:p>
    <w:p w14:paraId="2A995440" w14:textId="77777777" w:rsidR="00DB7466" w:rsidRDefault="00DB7466" w:rsidP="00AD4EA1">
      <w:pPr>
        <w:pStyle w:val="ListParagraph"/>
        <w:numPr>
          <w:ilvl w:val="0"/>
          <w:numId w:val="10"/>
        </w:numPr>
      </w:pPr>
    </w:p>
    <w:p w14:paraId="5741E953" w14:textId="77777777" w:rsidR="00DB7466" w:rsidRDefault="00DB7466" w:rsidP="00AD4EA1">
      <w:pPr>
        <w:pStyle w:val="ListParagraph"/>
        <w:numPr>
          <w:ilvl w:val="0"/>
          <w:numId w:val="10"/>
        </w:numPr>
      </w:pPr>
    </w:p>
    <w:p w14:paraId="16A0F956" w14:textId="77777777" w:rsidR="00DB7466" w:rsidRDefault="00DB7466" w:rsidP="00AD4EA1">
      <w:pPr>
        <w:pStyle w:val="ListParagraph"/>
        <w:numPr>
          <w:ilvl w:val="0"/>
          <w:numId w:val="10"/>
        </w:numPr>
      </w:pPr>
    </w:p>
    <w:p w14:paraId="388A0619" w14:textId="77777777" w:rsidR="00DB7466" w:rsidRDefault="00DB7466" w:rsidP="00AD4EA1">
      <w:pPr>
        <w:pStyle w:val="ListParagraph"/>
        <w:numPr>
          <w:ilvl w:val="0"/>
          <w:numId w:val="10"/>
        </w:numPr>
      </w:pPr>
    </w:p>
    <w:p w14:paraId="2218CD38" w14:textId="77777777" w:rsidR="00DB7466" w:rsidRDefault="00DB7466" w:rsidP="00AD4EA1">
      <w:pPr>
        <w:pStyle w:val="ListParagraph"/>
        <w:numPr>
          <w:ilvl w:val="0"/>
          <w:numId w:val="10"/>
        </w:numPr>
      </w:pPr>
    </w:p>
    <w:p w14:paraId="2C85928B" w14:textId="77777777" w:rsidR="00DB7466" w:rsidRDefault="00DB7466" w:rsidP="00AD4EA1">
      <w:pPr>
        <w:pStyle w:val="ListParagraph"/>
        <w:numPr>
          <w:ilvl w:val="0"/>
          <w:numId w:val="10"/>
        </w:numPr>
      </w:pPr>
    </w:p>
    <w:p w14:paraId="1B53B6FD" w14:textId="77777777" w:rsidR="00DB7466" w:rsidRDefault="00DB7466" w:rsidP="00AD4EA1">
      <w:pPr>
        <w:pStyle w:val="ListParagraph"/>
        <w:numPr>
          <w:ilvl w:val="0"/>
          <w:numId w:val="10"/>
        </w:numPr>
      </w:pPr>
    </w:p>
    <w:p w14:paraId="759FCF3D" w14:textId="77777777" w:rsidR="00DB7466" w:rsidRDefault="00DB7466" w:rsidP="00AD4EA1">
      <w:pPr>
        <w:pStyle w:val="ListParagraph"/>
        <w:numPr>
          <w:ilvl w:val="0"/>
          <w:numId w:val="10"/>
        </w:numPr>
      </w:pPr>
    </w:p>
    <w:p w14:paraId="0EDE545E" w14:textId="77777777" w:rsidR="00DB7466" w:rsidRDefault="00DB7466" w:rsidP="00AD4EA1">
      <w:pPr>
        <w:pStyle w:val="ListParagraph"/>
        <w:numPr>
          <w:ilvl w:val="0"/>
          <w:numId w:val="10"/>
        </w:numPr>
      </w:pPr>
    </w:p>
    <w:p w14:paraId="025761B6" w14:textId="77777777" w:rsidR="00DB7466" w:rsidRDefault="00DB7466" w:rsidP="00AD4EA1">
      <w:pPr>
        <w:pStyle w:val="ListParagraph"/>
        <w:numPr>
          <w:ilvl w:val="0"/>
          <w:numId w:val="10"/>
        </w:numPr>
      </w:pPr>
    </w:p>
    <w:p w14:paraId="6D4C2223" w14:textId="77777777" w:rsidR="00DB7466" w:rsidRDefault="00DB7466" w:rsidP="00AD4EA1">
      <w:pPr>
        <w:pStyle w:val="ListParagraph"/>
        <w:numPr>
          <w:ilvl w:val="0"/>
          <w:numId w:val="10"/>
        </w:numPr>
      </w:pPr>
    </w:p>
    <w:p w14:paraId="1CC67A34" w14:textId="77777777" w:rsidR="00DB7466" w:rsidRDefault="00DB7466" w:rsidP="00AD4EA1">
      <w:pPr>
        <w:pStyle w:val="ListParagraph"/>
        <w:numPr>
          <w:ilvl w:val="0"/>
          <w:numId w:val="10"/>
        </w:numPr>
      </w:pPr>
    </w:p>
    <w:p w14:paraId="054ACD13" w14:textId="77777777" w:rsidR="00DB7466" w:rsidRDefault="00DB7466" w:rsidP="00AD4EA1">
      <w:pPr>
        <w:pStyle w:val="ListParagraph"/>
        <w:numPr>
          <w:ilvl w:val="0"/>
          <w:numId w:val="10"/>
        </w:numPr>
      </w:pPr>
    </w:p>
    <w:p w14:paraId="21A9FD83" w14:textId="77777777" w:rsidR="00DB7466" w:rsidRDefault="00DB7466" w:rsidP="00AD4EA1">
      <w:pPr>
        <w:pStyle w:val="ListParagraph"/>
        <w:numPr>
          <w:ilvl w:val="0"/>
          <w:numId w:val="10"/>
        </w:numPr>
      </w:pPr>
    </w:p>
    <w:p w14:paraId="116F597E" w14:textId="77777777" w:rsidR="00DB7466" w:rsidRDefault="00DB7466" w:rsidP="00AD4EA1">
      <w:pPr>
        <w:pStyle w:val="ListParagraph"/>
        <w:numPr>
          <w:ilvl w:val="0"/>
          <w:numId w:val="10"/>
        </w:numPr>
      </w:pPr>
    </w:p>
    <w:p w14:paraId="77C8F483" w14:textId="77777777" w:rsidR="00DB7466" w:rsidRDefault="00DB7466" w:rsidP="00AD4EA1">
      <w:pPr>
        <w:pStyle w:val="ListParagraph"/>
        <w:numPr>
          <w:ilvl w:val="0"/>
          <w:numId w:val="10"/>
        </w:numPr>
      </w:pPr>
    </w:p>
    <w:p w14:paraId="73593934" w14:textId="77777777" w:rsidR="00DB7466" w:rsidRDefault="00DB7466" w:rsidP="00AD4EA1">
      <w:pPr>
        <w:pStyle w:val="ListParagraph"/>
        <w:numPr>
          <w:ilvl w:val="0"/>
          <w:numId w:val="10"/>
        </w:numPr>
      </w:pPr>
    </w:p>
    <w:p w14:paraId="40F46438" w14:textId="77777777" w:rsidR="00DB7466" w:rsidRDefault="00DB7466" w:rsidP="00AD4EA1">
      <w:pPr>
        <w:pStyle w:val="ListParagraph"/>
        <w:numPr>
          <w:ilvl w:val="0"/>
          <w:numId w:val="10"/>
        </w:numPr>
      </w:pPr>
    </w:p>
    <w:p w14:paraId="7AB59A92" w14:textId="77777777" w:rsidR="00DB7466" w:rsidRDefault="00DB7466" w:rsidP="00AD4EA1">
      <w:pPr>
        <w:pStyle w:val="ListParagraph"/>
        <w:numPr>
          <w:ilvl w:val="0"/>
          <w:numId w:val="10"/>
        </w:numPr>
      </w:pPr>
    </w:p>
    <w:p w14:paraId="23F7D843" w14:textId="77777777" w:rsidR="00DB7466" w:rsidRDefault="00DB7466" w:rsidP="00AD4EA1">
      <w:pPr>
        <w:pStyle w:val="ListParagraph"/>
        <w:numPr>
          <w:ilvl w:val="0"/>
          <w:numId w:val="10"/>
        </w:numPr>
      </w:pPr>
    </w:p>
    <w:p w14:paraId="76305AAD" w14:textId="77777777" w:rsidR="00DB7466" w:rsidRDefault="00DB7466" w:rsidP="00AD4EA1">
      <w:pPr>
        <w:pStyle w:val="ListParagraph"/>
        <w:numPr>
          <w:ilvl w:val="0"/>
          <w:numId w:val="10"/>
        </w:numPr>
      </w:pPr>
    </w:p>
    <w:p w14:paraId="3813A4F8" w14:textId="77777777" w:rsidR="00DB7466" w:rsidRDefault="00DB7466" w:rsidP="00AD4EA1">
      <w:pPr>
        <w:pStyle w:val="ListParagraph"/>
        <w:numPr>
          <w:ilvl w:val="0"/>
          <w:numId w:val="10"/>
        </w:numPr>
      </w:pPr>
    </w:p>
    <w:p w14:paraId="64AC9D53" w14:textId="77777777" w:rsidR="00DB7466" w:rsidRDefault="00DB7466" w:rsidP="00AD4EA1">
      <w:pPr>
        <w:pStyle w:val="ListParagraph"/>
        <w:numPr>
          <w:ilvl w:val="0"/>
          <w:numId w:val="10"/>
        </w:numPr>
      </w:pPr>
    </w:p>
    <w:p w14:paraId="4D1C742F" w14:textId="77777777" w:rsidR="00DB7466" w:rsidRDefault="00DB7466" w:rsidP="00AD4EA1">
      <w:pPr>
        <w:pStyle w:val="ListParagraph"/>
        <w:numPr>
          <w:ilvl w:val="0"/>
          <w:numId w:val="10"/>
        </w:numPr>
      </w:pPr>
    </w:p>
    <w:p w14:paraId="57A212A7" w14:textId="77777777" w:rsidR="00DB7466" w:rsidRDefault="00DB7466" w:rsidP="00AD4EA1">
      <w:pPr>
        <w:pStyle w:val="ListParagraph"/>
        <w:numPr>
          <w:ilvl w:val="0"/>
          <w:numId w:val="10"/>
        </w:numPr>
      </w:pPr>
    </w:p>
    <w:p w14:paraId="7FB279DD" w14:textId="77777777" w:rsidR="00DB7466" w:rsidRDefault="00DB7466" w:rsidP="00AD4EA1">
      <w:pPr>
        <w:pStyle w:val="ListParagraph"/>
        <w:numPr>
          <w:ilvl w:val="0"/>
          <w:numId w:val="10"/>
        </w:numPr>
      </w:pPr>
    </w:p>
    <w:p w14:paraId="7CFA1462" w14:textId="77777777" w:rsidR="00DB7466" w:rsidRDefault="00DB7466" w:rsidP="00AD4EA1">
      <w:pPr>
        <w:pStyle w:val="ListParagraph"/>
        <w:numPr>
          <w:ilvl w:val="0"/>
          <w:numId w:val="10"/>
        </w:numPr>
      </w:pPr>
    </w:p>
    <w:p w14:paraId="20ECF29B" w14:textId="77777777" w:rsidR="00DB7466" w:rsidRDefault="00DB7466" w:rsidP="00AD4EA1">
      <w:pPr>
        <w:pStyle w:val="ListParagraph"/>
        <w:numPr>
          <w:ilvl w:val="0"/>
          <w:numId w:val="10"/>
        </w:numPr>
      </w:pPr>
    </w:p>
    <w:p w14:paraId="3D23F9A7" w14:textId="77777777" w:rsidR="00DB7466" w:rsidRDefault="00DB7466" w:rsidP="00AD4EA1">
      <w:pPr>
        <w:pStyle w:val="ListParagraph"/>
        <w:numPr>
          <w:ilvl w:val="0"/>
          <w:numId w:val="10"/>
        </w:numPr>
      </w:pPr>
    </w:p>
    <w:p w14:paraId="282D513D" w14:textId="77777777" w:rsidR="00DB7466" w:rsidRDefault="00DB7466" w:rsidP="00AD4EA1">
      <w:pPr>
        <w:pStyle w:val="ListParagraph"/>
        <w:numPr>
          <w:ilvl w:val="0"/>
          <w:numId w:val="10"/>
        </w:numPr>
      </w:pPr>
    </w:p>
    <w:p w14:paraId="6D925544" w14:textId="77777777" w:rsidR="00DB7466" w:rsidRDefault="00DB7466" w:rsidP="00AD4EA1">
      <w:pPr>
        <w:pStyle w:val="ListParagraph"/>
        <w:numPr>
          <w:ilvl w:val="0"/>
          <w:numId w:val="10"/>
        </w:numPr>
      </w:pPr>
    </w:p>
    <w:p w14:paraId="21DE162E" w14:textId="77777777" w:rsidR="00DB7466" w:rsidRDefault="00DB7466" w:rsidP="00AD4EA1">
      <w:pPr>
        <w:pStyle w:val="ListParagraph"/>
        <w:numPr>
          <w:ilvl w:val="0"/>
          <w:numId w:val="10"/>
        </w:numPr>
      </w:pPr>
    </w:p>
    <w:p w14:paraId="60059B94" w14:textId="77777777" w:rsidR="00DB7466" w:rsidRDefault="00DB7466" w:rsidP="00AD4EA1">
      <w:pPr>
        <w:pStyle w:val="ListParagraph"/>
        <w:numPr>
          <w:ilvl w:val="0"/>
          <w:numId w:val="10"/>
        </w:numPr>
      </w:pPr>
    </w:p>
    <w:p w14:paraId="522E77CC" w14:textId="77777777" w:rsidR="00DB7466" w:rsidRDefault="00DB7466" w:rsidP="00AD4EA1">
      <w:pPr>
        <w:pStyle w:val="ListParagraph"/>
        <w:numPr>
          <w:ilvl w:val="0"/>
          <w:numId w:val="10"/>
        </w:numPr>
      </w:pPr>
    </w:p>
    <w:p w14:paraId="5BB6B0B0" w14:textId="77777777" w:rsidR="00DB7466" w:rsidRDefault="00DB7466" w:rsidP="00AD4EA1">
      <w:pPr>
        <w:pStyle w:val="ListParagraph"/>
        <w:numPr>
          <w:ilvl w:val="0"/>
          <w:numId w:val="10"/>
        </w:numPr>
      </w:pPr>
    </w:p>
    <w:p w14:paraId="0AA53924" w14:textId="77777777" w:rsidR="00DB7466" w:rsidRDefault="00DB7466" w:rsidP="00AD4EA1">
      <w:pPr>
        <w:pStyle w:val="ListParagraph"/>
        <w:numPr>
          <w:ilvl w:val="0"/>
          <w:numId w:val="10"/>
        </w:numPr>
      </w:pPr>
    </w:p>
    <w:p w14:paraId="7F8DCE73" w14:textId="77777777" w:rsidR="00DB7466" w:rsidRDefault="00DB7466" w:rsidP="00AD4EA1"/>
    <w:p w14:paraId="7E3610B4" w14:textId="77777777" w:rsidR="00DB7466" w:rsidRDefault="00DB7466" w:rsidP="00AD4EA1"/>
    <w:p w14:paraId="7B2BBE33" w14:textId="77777777" w:rsidR="00DB7466" w:rsidRDefault="00DB7466" w:rsidP="00AD4EA1"/>
    <w:p w14:paraId="582CB19F" w14:textId="77777777" w:rsidR="00DB7466" w:rsidRDefault="00DB7466" w:rsidP="00AD4EA1"/>
    <w:p w14:paraId="45A70DC8" w14:textId="77777777" w:rsidR="00DB7466" w:rsidRDefault="00DB7466" w:rsidP="00AD4EA1"/>
    <w:p w14:paraId="34C89683" w14:textId="77777777" w:rsidR="00DB7466" w:rsidRDefault="00DB7466" w:rsidP="00AD4EA1"/>
    <w:p w14:paraId="0E42E5CD" w14:textId="77777777" w:rsidR="00DB7466" w:rsidRDefault="00DB7466" w:rsidP="00AD4EA1"/>
    <w:p w14:paraId="3776A484" w14:textId="77777777" w:rsidR="00DB7466" w:rsidRDefault="00DB7466" w:rsidP="00AD4EA1"/>
    <w:p w14:paraId="5D923AE3" w14:textId="77777777" w:rsidR="00DB7466" w:rsidRDefault="00DB7466" w:rsidP="00AD4EA1"/>
    <w:p w14:paraId="4DE9F5A0" w14:textId="77777777" w:rsidR="00DB7466" w:rsidRDefault="00DB7466" w:rsidP="00AD4EA1"/>
    <w:p w14:paraId="2380C8D4" w14:textId="77777777" w:rsidR="00DB7466" w:rsidRDefault="00DB7466" w:rsidP="00AD4EA1"/>
    <w:p w14:paraId="1EA52E5B" w14:textId="77777777" w:rsidR="00DB7466" w:rsidRDefault="00DB7466" w:rsidP="00AD4EA1"/>
    <w:p w14:paraId="41F01B85" w14:textId="77777777" w:rsidR="00DB7466" w:rsidRDefault="00DB7466" w:rsidP="00AD4EA1"/>
    <w:p w14:paraId="335C9B94" w14:textId="77777777" w:rsidR="00DB7466" w:rsidRDefault="00DB7466" w:rsidP="00AD4EA1"/>
    <w:p w14:paraId="02C94394" w14:textId="77777777" w:rsidR="00DB7466" w:rsidRDefault="00DB7466" w:rsidP="00AD4EA1"/>
    <w:p w14:paraId="7E322AD3" w14:textId="77777777" w:rsidR="00DB7466" w:rsidRDefault="00DB7466" w:rsidP="00AD4EA1"/>
    <w:p w14:paraId="65A1EB58" w14:textId="77777777" w:rsidR="00DB7466" w:rsidRDefault="00DB7466" w:rsidP="00AD4EA1"/>
    <w:p w14:paraId="0FCE8822" w14:textId="77777777" w:rsidR="00DB7466" w:rsidRDefault="00DB7466" w:rsidP="00AD4EA1"/>
    <w:p w14:paraId="014928D1" w14:textId="77777777" w:rsidR="00DB7466" w:rsidRDefault="00DB7466" w:rsidP="00AD4EA1"/>
    <w:p w14:paraId="6EAF90B2" w14:textId="77777777" w:rsidR="00DB7466" w:rsidRDefault="00DB7466" w:rsidP="00AD4EA1"/>
    <w:p w14:paraId="604EF466" w14:textId="77777777" w:rsidR="00DB7466" w:rsidRDefault="00DB7466" w:rsidP="00AD4EA1"/>
    <w:p w14:paraId="5002DC79" w14:textId="77777777" w:rsidR="00DB7466" w:rsidRDefault="00DB7466" w:rsidP="00AD4EA1"/>
    <w:p w14:paraId="18D0EB9F" w14:textId="77777777" w:rsidR="00DB7466" w:rsidRDefault="00DB7466" w:rsidP="00AD4EA1"/>
    <w:p w14:paraId="21EBE830" w14:textId="77777777" w:rsidR="00DB7466" w:rsidRDefault="00DB7466" w:rsidP="00AD4EA1"/>
    <w:p w14:paraId="72374077" w14:textId="77777777" w:rsidR="00DB7466" w:rsidRDefault="00DB7466" w:rsidP="00AD4EA1"/>
    <w:p w14:paraId="4CB11CED" w14:textId="77777777" w:rsidR="00DB7466" w:rsidRDefault="00DB7466" w:rsidP="00AD4EA1"/>
    <w:p w14:paraId="41AF8823" w14:textId="77777777" w:rsidR="00DB7466" w:rsidRDefault="00DB7466" w:rsidP="00AD4EA1"/>
    <w:p w14:paraId="060690F8" w14:textId="77777777" w:rsidR="00DB7466" w:rsidRDefault="00DB7466" w:rsidP="00AD4EA1"/>
    <w:p w14:paraId="44F41CEF" w14:textId="77777777" w:rsidR="00DB7466" w:rsidRDefault="00DB7466" w:rsidP="00AD4EA1"/>
    <w:p w14:paraId="6406E86B" w14:textId="77777777" w:rsidR="00DB7466" w:rsidRDefault="00DB7466" w:rsidP="00AD4EA1"/>
    <w:p w14:paraId="780F4AC7" w14:textId="77777777" w:rsidR="00DB7466" w:rsidRDefault="00DB7466" w:rsidP="00AD4EA1"/>
    <w:p w14:paraId="7DB4A26F" w14:textId="77777777" w:rsidR="00DB7466" w:rsidRDefault="00DB7466" w:rsidP="00AD4EA1"/>
    <w:p w14:paraId="15C87D21" w14:textId="77777777" w:rsidR="00DB7466" w:rsidRDefault="00DB7466" w:rsidP="00AD4EA1"/>
    <w:p w14:paraId="477517C1" w14:textId="77777777" w:rsidR="00DB7466" w:rsidRDefault="00DB7466" w:rsidP="00AD4EA1"/>
    <w:p w14:paraId="721D2CDD" w14:textId="77777777" w:rsidR="00DB7466" w:rsidRDefault="00DB7466" w:rsidP="00AD4EA1"/>
    <w:p w14:paraId="644F0DBF" w14:textId="77777777" w:rsidR="00DB7466" w:rsidRDefault="00DB7466" w:rsidP="00AD4EA1"/>
    <w:p w14:paraId="47CF5524" w14:textId="77777777" w:rsidR="00DB7466" w:rsidRDefault="00DB7466" w:rsidP="00AD4EA1"/>
    <w:p w14:paraId="78023079" w14:textId="77777777" w:rsidR="00DB7466" w:rsidRDefault="00DB7466" w:rsidP="00AD4EA1"/>
    <w:p w14:paraId="070A8F77" w14:textId="77777777" w:rsidR="00DB7466" w:rsidRDefault="00DB7466" w:rsidP="00AD4EA1"/>
    <w:p w14:paraId="3B2E854C" w14:textId="77777777" w:rsidR="00DB7466" w:rsidRDefault="00DB7466" w:rsidP="00AD4EA1"/>
    <w:p w14:paraId="02BC8FE0" w14:textId="77777777" w:rsidR="00DB7466" w:rsidRDefault="00DB7466" w:rsidP="00AD4EA1"/>
    <w:p w14:paraId="16E840FF" w14:textId="77777777" w:rsidR="00DB7466" w:rsidRDefault="00DB7466" w:rsidP="00AD4EA1"/>
    <w:p w14:paraId="67122817" w14:textId="77777777" w:rsidR="00DB7466" w:rsidRDefault="00DB7466" w:rsidP="00AD4EA1"/>
    <w:p w14:paraId="3E98E6B4" w14:textId="77777777" w:rsidR="00DB7466" w:rsidRDefault="00DB7466" w:rsidP="00AD4EA1"/>
    <w:p w14:paraId="0AD753E5" w14:textId="77777777" w:rsidR="00DB7466" w:rsidRDefault="00DB7466" w:rsidP="00AD4EA1"/>
    <w:p w14:paraId="01BA3D21" w14:textId="77777777" w:rsidR="00DB7466" w:rsidRDefault="00DB7466" w:rsidP="00AD4EA1"/>
    <w:p w14:paraId="60C7D2A9" w14:textId="77777777" w:rsidR="00DB7466" w:rsidRDefault="00DB7466" w:rsidP="00AD4EA1"/>
    <w:p w14:paraId="6CE975A9" w14:textId="77777777" w:rsidR="00DB7466" w:rsidRDefault="00DB7466" w:rsidP="00AD4EA1"/>
    <w:p w14:paraId="5353C430" w14:textId="77777777" w:rsidR="00DB7466" w:rsidRDefault="00DB7466" w:rsidP="00AD4EA1"/>
    <w:p w14:paraId="4F9A3F93" w14:textId="77777777" w:rsidR="00DB7466" w:rsidRDefault="00DB7466" w:rsidP="00AD4EA1"/>
    <w:p w14:paraId="6B85D7F2" w14:textId="77777777" w:rsidR="00DB7466" w:rsidRDefault="00DB7466" w:rsidP="00AD4EA1"/>
    <w:p w14:paraId="08BA4E30" w14:textId="77777777" w:rsidR="00DB7466" w:rsidRDefault="00DB7466" w:rsidP="00AD4EA1"/>
    <w:p w14:paraId="6E5630DF" w14:textId="77777777" w:rsidR="00DB7466" w:rsidRDefault="00DB7466" w:rsidP="00AD4EA1"/>
    <w:p w14:paraId="7B9DC602" w14:textId="77777777" w:rsidR="00DB7466" w:rsidRDefault="00DB7466" w:rsidP="00AD4EA1"/>
    <w:p w14:paraId="6EC22340" w14:textId="77777777" w:rsidR="00DB7466" w:rsidRDefault="00DB7466" w:rsidP="00AD4EA1"/>
    <w:p w14:paraId="28CF3714" w14:textId="77777777" w:rsidR="00DB7466" w:rsidRDefault="00DB7466" w:rsidP="00AD4EA1"/>
    <w:p w14:paraId="3080B23D" w14:textId="77777777" w:rsidR="00DB7466" w:rsidRDefault="00DB7466" w:rsidP="00AD4EA1"/>
    <w:p w14:paraId="54429BEF" w14:textId="77777777" w:rsidR="00DB7466" w:rsidRDefault="00DB7466" w:rsidP="00AD4EA1"/>
    <w:p w14:paraId="1A650E7F" w14:textId="77777777" w:rsidR="00DB7466" w:rsidRDefault="00DB7466" w:rsidP="00AD4EA1"/>
    <w:p w14:paraId="31E9DC7A" w14:textId="77777777" w:rsidR="00DB7466" w:rsidRDefault="00DB7466" w:rsidP="00AD4EA1"/>
    <w:p w14:paraId="73BC12F4" w14:textId="77777777" w:rsidR="00DB7466" w:rsidRDefault="00DB7466" w:rsidP="00AD4EA1"/>
    <w:p w14:paraId="1130044B" w14:textId="77777777" w:rsidR="00DB7466" w:rsidRDefault="00DB7466" w:rsidP="00AD4EA1"/>
    <w:p w14:paraId="7A216937" w14:textId="77777777" w:rsidR="00DB7466" w:rsidRDefault="00DB7466" w:rsidP="00AD4EA1"/>
    <w:p w14:paraId="6ECE571E" w14:textId="77777777" w:rsidR="00DB7466" w:rsidRDefault="00DB7466" w:rsidP="00AD4EA1"/>
    <w:p w14:paraId="7CF108B7" w14:textId="77777777" w:rsidR="00DB7466" w:rsidRDefault="00DB7466" w:rsidP="00AD4EA1"/>
    <w:p w14:paraId="45E84732" w14:textId="77777777" w:rsidR="00DB7466" w:rsidRDefault="00DB7466" w:rsidP="00AD4EA1"/>
    <w:p w14:paraId="7B002699" w14:textId="77777777" w:rsidR="00DB7466" w:rsidRDefault="00DB7466" w:rsidP="00AD4EA1"/>
    <w:p w14:paraId="4FD5A8D4" w14:textId="77777777" w:rsidR="00DB7466" w:rsidRDefault="00DB7466" w:rsidP="00AD4EA1"/>
    <w:p w14:paraId="52BAA08F" w14:textId="77777777" w:rsidR="00DB7466" w:rsidRDefault="00DB7466" w:rsidP="00AD4EA1"/>
    <w:p w14:paraId="5CAE7C18" w14:textId="77777777" w:rsidR="00DB7466" w:rsidRDefault="00DB7466" w:rsidP="00AD4EA1"/>
    <w:p w14:paraId="2CDB7F02" w14:textId="77777777" w:rsidR="00DB7466" w:rsidRDefault="00DB7466" w:rsidP="00AD4EA1"/>
    <w:p w14:paraId="7BA444D7" w14:textId="77777777" w:rsidR="00DB7466" w:rsidRDefault="00DB7466" w:rsidP="00AD4EA1"/>
    <w:p w14:paraId="67F1F97E" w14:textId="77777777" w:rsidR="00DB7466" w:rsidRDefault="00DB7466" w:rsidP="00AD4EA1"/>
    <w:p w14:paraId="48FD4DAF" w14:textId="77777777" w:rsidR="00DB7466" w:rsidRDefault="00DB7466" w:rsidP="00AD4EA1"/>
    <w:p w14:paraId="389A1688" w14:textId="77777777" w:rsidR="00DB7466" w:rsidRDefault="00DB7466" w:rsidP="00AD4EA1"/>
    <w:p w14:paraId="0A5F1EB9" w14:textId="77777777" w:rsidR="00DB7466" w:rsidRDefault="00DB7466" w:rsidP="00AD4EA1"/>
    <w:p w14:paraId="7E2A6556" w14:textId="77777777" w:rsidR="00DB7466" w:rsidRDefault="00DB7466" w:rsidP="00AD4EA1"/>
    <w:p w14:paraId="3B7E950B" w14:textId="77777777" w:rsidR="00DB7466" w:rsidRDefault="00DB7466" w:rsidP="00AD4EA1"/>
    <w:p w14:paraId="0228AA21" w14:textId="77777777" w:rsidR="00DB7466" w:rsidRDefault="00DB7466" w:rsidP="00AD4EA1"/>
    <w:p w14:paraId="6D137360" w14:textId="77777777" w:rsidR="00DB7466" w:rsidRDefault="00DB7466" w:rsidP="00AD4EA1"/>
    <w:p w14:paraId="1E3E1D58" w14:textId="77777777" w:rsidR="00DB7466" w:rsidRDefault="00DB7466" w:rsidP="00AD4EA1"/>
    <w:p w14:paraId="4FF87FED" w14:textId="77777777" w:rsidR="00DB7466" w:rsidRDefault="00DB7466" w:rsidP="00AD4EA1"/>
    <w:p w14:paraId="0B508177" w14:textId="77777777" w:rsidR="00DB7466" w:rsidRDefault="00DB7466" w:rsidP="00AD4EA1"/>
    <w:p w14:paraId="2A8367F5" w14:textId="77777777" w:rsidR="00DB7466" w:rsidRDefault="00DB7466" w:rsidP="00AD4EA1"/>
    <w:p w14:paraId="0E37DE8D" w14:textId="77777777" w:rsidR="00DB7466" w:rsidRDefault="00DB7466" w:rsidP="00AD4EA1"/>
    <w:p w14:paraId="106171B6" w14:textId="77777777" w:rsidR="00DB7466" w:rsidRDefault="00DB7466" w:rsidP="00AD4EA1"/>
    <w:p w14:paraId="05540639" w14:textId="77777777" w:rsidR="00DB7466" w:rsidRDefault="00DB7466" w:rsidP="00AD4EA1"/>
    <w:p w14:paraId="037F678B" w14:textId="77777777" w:rsidR="00DB7466" w:rsidRDefault="00DB7466" w:rsidP="00AD4EA1"/>
    <w:p w14:paraId="49B3E0C4" w14:textId="77777777" w:rsidR="00DB7466" w:rsidRDefault="00DB7466" w:rsidP="00AD4EA1">
      <w:pPr>
        <w:pStyle w:val="ListParagraph"/>
        <w:numPr>
          <w:ilvl w:val="0"/>
          <w:numId w:val="11"/>
        </w:numPr>
      </w:pPr>
    </w:p>
    <w:p w14:paraId="14C28B8F" w14:textId="77777777" w:rsidR="00DB7466" w:rsidRDefault="00DB7466" w:rsidP="00AD4EA1">
      <w:pPr>
        <w:pStyle w:val="ListParagraph"/>
        <w:numPr>
          <w:ilvl w:val="0"/>
          <w:numId w:val="11"/>
        </w:numPr>
      </w:pPr>
    </w:p>
    <w:p w14:paraId="0670A3F3" w14:textId="77777777" w:rsidR="00DB7466" w:rsidRDefault="00DB7466" w:rsidP="00AD4EA1">
      <w:pPr>
        <w:pStyle w:val="ListParagraph"/>
        <w:numPr>
          <w:ilvl w:val="0"/>
          <w:numId w:val="11"/>
        </w:numPr>
      </w:pPr>
    </w:p>
    <w:p w14:paraId="2A4E6131" w14:textId="77777777" w:rsidR="00DB7466" w:rsidRDefault="00DB7466" w:rsidP="00AD4EA1">
      <w:pPr>
        <w:pStyle w:val="ListParagraph"/>
        <w:numPr>
          <w:ilvl w:val="0"/>
          <w:numId w:val="11"/>
        </w:numPr>
      </w:pPr>
    </w:p>
    <w:p w14:paraId="1BF36C52" w14:textId="77777777" w:rsidR="00DB7466" w:rsidRDefault="00DB7466" w:rsidP="00AD4EA1">
      <w:pPr>
        <w:pStyle w:val="ListParagraph"/>
        <w:numPr>
          <w:ilvl w:val="0"/>
          <w:numId w:val="11"/>
        </w:numPr>
      </w:pPr>
    </w:p>
    <w:p w14:paraId="648F3F42" w14:textId="77777777" w:rsidR="00DB7466" w:rsidRDefault="00DB7466" w:rsidP="00AD4EA1">
      <w:pPr>
        <w:pStyle w:val="ListParagraph"/>
        <w:numPr>
          <w:ilvl w:val="0"/>
          <w:numId w:val="11"/>
        </w:numPr>
      </w:pPr>
    </w:p>
    <w:p w14:paraId="667AAD07" w14:textId="77777777" w:rsidR="00DB7466" w:rsidRDefault="00DB7466" w:rsidP="00AD4EA1">
      <w:pPr>
        <w:pStyle w:val="ListParagraph"/>
        <w:numPr>
          <w:ilvl w:val="0"/>
          <w:numId w:val="11"/>
        </w:numPr>
      </w:pPr>
    </w:p>
    <w:p w14:paraId="0B4CCE85" w14:textId="77777777" w:rsidR="00DB7466" w:rsidRDefault="00DB7466" w:rsidP="00AD4EA1">
      <w:pPr>
        <w:pStyle w:val="ListParagraph"/>
        <w:numPr>
          <w:ilvl w:val="0"/>
          <w:numId w:val="11"/>
        </w:numPr>
      </w:pPr>
    </w:p>
    <w:p w14:paraId="1C9B8A27" w14:textId="77777777" w:rsidR="00DB7466" w:rsidRDefault="00DB7466" w:rsidP="00AD4EA1">
      <w:pPr>
        <w:pStyle w:val="ListParagraph"/>
        <w:numPr>
          <w:ilvl w:val="0"/>
          <w:numId w:val="11"/>
        </w:numPr>
      </w:pPr>
    </w:p>
    <w:p w14:paraId="160FB8BC" w14:textId="77777777" w:rsidR="00DB7466" w:rsidRDefault="00DB7466" w:rsidP="00AD4EA1">
      <w:pPr>
        <w:pStyle w:val="ListParagraph"/>
        <w:numPr>
          <w:ilvl w:val="0"/>
          <w:numId w:val="11"/>
        </w:numPr>
      </w:pPr>
    </w:p>
    <w:p w14:paraId="742ED178" w14:textId="77777777" w:rsidR="00DB7466" w:rsidRDefault="00DB7466" w:rsidP="00AD4EA1">
      <w:pPr>
        <w:pStyle w:val="ListParagraph"/>
        <w:numPr>
          <w:ilvl w:val="0"/>
          <w:numId w:val="11"/>
        </w:numPr>
      </w:pPr>
    </w:p>
    <w:p w14:paraId="4326EC3E" w14:textId="77777777" w:rsidR="00DB7466" w:rsidRDefault="00DB7466" w:rsidP="00AD4EA1">
      <w:pPr>
        <w:pStyle w:val="ListParagraph"/>
        <w:numPr>
          <w:ilvl w:val="0"/>
          <w:numId w:val="11"/>
        </w:numPr>
      </w:pPr>
    </w:p>
    <w:p w14:paraId="4741E5E8" w14:textId="77777777" w:rsidR="00DB7466" w:rsidRDefault="00DB7466" w:rsidP="00AD4EA1">
      <w:pPr>
        <w:pStyle w:val="ListParagraph"/>
        <w:numPr>
          <w:ilvl w:val="0"/>
          <w:numId w:val="11"/>
        </w:numPr>
      </w:pPr>
    </w:p>
    <w:p w14:paraId="461DD7E3" w14:textId="77777777" w:rsidR="00DB7466" w:rsidRDefault="00DB7466" w:rsidP="00AD4EA1">
      <w:pPr>
        <w:pStyle w:val="ListParagraph"/>
        <w:numPr>
          <w:ilvl w:val="0"/>
          <w:numId w:val="11"/>
        </w:numPr>
      </w:pPr>
    </w:p>
    <w:p w14:paraId="01EFFACE" w14:textId="77777777" w:rsidR="00DB7466" w:rsidRDefault="00DB7466" w:rsidP="00AD4EA1">
      <w:pPr>
        <w:pStyle w:val="ListParagraph"/>
        <w:numPr>
          <w:ilvl w:val="0"/>
          <w:numId w:val="11"/>
        </w:numPr>
      </w:pPr>
    </w:p>
    <w:p w14:paraId="6E75746B" w14:textId="77777777" w:rsidR="00DB7466" w:rsidRDefault="00DB7466" w:rsidP="00AD4EA1">
      <w:pPr>
        <w:pStyle w:val="ListParagraph"/>
        <w:numPr>
          <w:ilvl w:val="0"/>
          <w:numId w:val="11"/>
        </w:numPr>
      </w:pPr>
    </w:p>
    <w:p w14:paraId="2B0026EF" w14:textId="77777777" w:rsidR="00DB7466" w:rsidRDefault="00DB7466" w:rsidP="00AD4EA1">
      <w:pPr>
        <w:pStyle w:val="ListParagraph"/>
        <w:numPr>
          <w:ilvl w:val="0"/>
          <w:numId w:val="11"/>
        </w:numPr>
      </w:pPr>
    </w:p>
    <w:p w14:paraId="3FE2652F" w14:textId="77777777" w:rsidR="00DB7466" w:rsidRDefault="00DB7466" w:rsidP="00AD4EA1"/>
    <w:p w14:paraId="6B50850D" w14:textId="77777777" w:rsidR="00DB7466" w:rsidRDefault="00DB7466" w:rsidP="00AD4EA1"/>
    <w:p w14:paraId="0B0D40C8" w14:textId="77777777" w:rsidR="00DB7466" w:rsidRDefault="00DB7466" w:rsidP="00AD4EA1"/>
    <w:p w14:paraId="167AF247" w14:textId="77777777" w:rsidR="00DB7466" w:rsidRDefault="00DB7466" w:rsidP="00AD4EA1"/>
    <w:p w14:paraId="05AD5B6C" w14:textId="77777777" w:rsidR="00DB7466" w:rsidRDefault="00DB7466" w:rsidP="00AD4EA1"/>
    <w:p w14:paraId="6698F89A" w14:textId="77777777" w:rsidR="00DB7466" w:rsidRDefault="00DB7466" w:rsidP="00AD4EA1"/>
    <w:p w14:paraId="158618E5" w14:textId="77777777" w:rsidR="00DB7466" w:rsidRDefault="00DB7466" w:rsidP="00AD4EA1"/>
    <w:p w14:paraId="5475C0B6" w14:textId="77777777" w:rsidR="00DB7466" w:rsidRDefault="00DB7466" w:rsidP="00AD4EA1"/>
    <w:p w14:paraId="446EF6CF" w14:textId="77777777" w:rsidR="00DB7466" w:rsidRDefault="00DB7466" w:rsidP="00AD4EA1"/>
    <w:p w14:paraId="6FFF443B" w14:textId="77777777" w:rsidR="00DB7466" w:rsidRDefault="00DB7466" w:rsidP="00AD4EA1"/>
    <w:p w14:paraId="2EE96DE4" w14:textId="77777777" w:rsidR="00DB7466" w:rsidRDefault="00DB7466" w:rsidP="00AD4EA1"/>
    <w:p w14:paraId="4C299161" w14:textId="77777777" w:rsidR="00DB7466" w:rsidRDefault="00DB7466" w:rsidP="00AD4EA1"/>
    <w:p w14:paraId="71BB1000" w14:textId="77777777" w:rsidR="00DB7466" w:rsidRDefault="00DB7466" w:rsidP="00AD4EA1"/>
    <w:p w14:paraId="3061C111" w14:textId="77777777" w:rsidR="00DB7466" w:rsidRDefault="00DB7466" w:rsidP="00AD4EA1"/>
    <w:p w14:paraId="313886C3" w14:textId="77777777" w:rsidR="00DB7466" w:rsidRDefault="00DB7466" w:rsidP="00AD4EA1"/>
    <w:p w14:paraId="6096BBA8" w14:textId="77777777" w:rsidR="00DB7466" w:rsidRDefault="00DB7466" w:rsidP="00AD4EA1"/>
    <w:p w14:paraId="11AA0D8D" w14:textId="77777777" w:rsidR="00DB7466" w:rsidRDefault="00DB7466" w:rsidP="00AD4EA1"/>
    <w:p w14:paraId="43D694D1" w14:textId="77777777" w:rsidR="00DB7466" w:rsidRDefault="00DB7466" w:rsidP="00AD4EA1"/>
    <w:p w14:paraId="1A17F16A" w14:textId="77777777" w:rsidR="00DB7466" w:rsidRDefault="00DB7466" w:rsidP="00AD4EA1"/>
    <w:p w14:paraId="23954108" w14:textId="77777777" w:rsidR="00DB7466" w:rsidRDefault="00DB7466" w:rsidP="00AD4EA1"/>
    <w:p w14:paraId="2FEC9B5C" w14:textId="77777777" w:rsidR="00DB7466" w:rsidRDefault="00DB7466" w:rsidP="00AD4EA1"/>
    <w:p w14:paraId="2310EEE4" w14:textId="77777777" w:rsidR="00DB7466" w:rsidRDefault="00DB7466" w:rsidP="00AD4EA1"/>
    <w:p w14:paraId="5BA96BD4" w14:textId="77777777" w:rsidR="00DB7466" w:rsidRDefault="00DB7466" w:rsidP="00AD4EA1"/>
    <w:p w14:paraId="0D9A9D67" w14:textId="77777777" w:rsidR="00DB7466" w:rsidRDefault="00DB7466" w:rsidP="00AD4EA1"/>
    <w:p w14:paraId="7F9535C8" w14:textId="77777777" w:rsidR="00DB7466" w:rsidRDefault="00DB7466" w:rsidP="00AD4EA1"/>
    <w:p w14:paraId="1A3D30CB" w14:textId="77777777" w:rsidR="00DB7466" w:rsidRDefault="00DB7466" w:rsidP="00AD4EA1"/>
    <w:p w14:paraId="3885AE65" w14:textId="77777777" w:rsidR="00DB7466" w:rsidRDefault="00DB7466" w:rsidP="00AD4EA1"/>
    <w:p w14:paraId="7B801993" w14:textId="77777777" w:rsidR="00DB7466" w:rsidRDefault="00DB7466" w:rsidP="00AD4EA1"/>
    <w:p w14:paraId="7C622824" w14:textId="77777777" w:rsidR="00DB7466" w:rsidRDefault="00DB7466" w:rsidP="00AD4EA1"/>
    <w:p w14:paraId="5CAAE423" w14:textId="77777777" w:rsidR="00DB7466" w:rsidRDefault="00DB7466" w:rsidP="00AD4EA1"/>
    <w:p w14:paraId="22FF04AF" w14:textId="77777777" w:rsidR="00DB7466" w:rsidRDefault="00DB7466" w:rsidP="00AD4EA1"/>
    <w:p w14:paraId="2C636B9E" w14:textId="77777777" w:rsidR="00DB7466" w:rsidRDefault="00DB7466" w:rsidP="00AD4EA1"/>
    <w:p w14:paraId="7D244F28" w14:textId="77777777" w:rsidR="00DB7466" w:rsidRDefault="00DB7466" w:rsidP="00AD4EA1"/>
    <w:p w14:paraId="74FDABA9" w14:textId="77777777" w:rsidR="00DB7466" w:rsidRDefault="00DB7466" w:rsidP="00AD4EA1"/>
    <w:p w14:paraId="42AF7598" w14:textId="77777777" w:rsidR="00DB7466" w:rsidRDefault="00DB7466" w:rsidP="00AD4EA1"/>
    <w:p w14:paraId="603F2427" w14:textId="77777777" w:rsidR="00DB7466" w:rsidRDefault="00DB7466" w:rsidP="00AD4EA1"/>
    <w:p w14:paraId="715AE77F" w14:textId="77777777" w:rsidR="00DB7466" w:rsidRDefault="00DB7466" w:rsidP="00AD4EA1"/>
    <w:p w14:paraId="476FF297" w14:textId="77777777" w:rsidR="00DB7466" w:rsidRDefault="00DB7466" w:rsidP="00AD4EA1"/>
    <w:p w14:paraId="2CBA63A6" w14:textId="77777777" w:rsidR="00DB7466" w:rsidRDefault="00DB7466" w:rsidP="00AD4EA1"/>
    <w:p w14:paraId="058D9426" w14:textId="77777777" w:rsidR="00DB7466" w:rsidRDefault="00DB7466" w:rsidP="00AD4EA1"/>
    <w:p w14:paraId="23793C2A" w14:textId="77777777" w:rsidR="00DB7466" w:rsidRDefault="00DB7466" w:rsidP="00AD4EA1"/>
    <w:p w14:paraId="7D05E03C" w14:textId="77777777" w:rsidR="00DB7466" w:rsidRDefault="00DB7466" w:rsidP="00AD4EA1"/>
    <w:p w14:paraId="65785ADA" w14:textId="77777777" w:rsidR="00DB7466" w:rsidRDefault="00DB7466" w:rsidP="00AD4EA1"/>
    <w:p w14:paraId="55423D2D" w14:textId="77777777" w:rsidR="00DB7466" w:rsidRDefault="00DB7466" w:rsidP="00AD4EA1"/>
    <w:p w14:paraId="6931DB56" w14:textId="77777777" w:rsidR="00DB7466" w:rsidRDefault="00DB7466" w:rsidP="00AD4EA1"/>
    <w:p w14:paraId="38B852FA" w14:textId="77777777" w:rsidR="00DB7466" w:rsidRDefault="00DB7466" w:rsidP="00AD4EA1"/>
    <w:p w14:paraId="12540768" w14:textId="77777777" w:rsidR="00DB7466" w:rsidRDefault="00DB7466" w:rsidP="00AD4EA1"/>
    <w:p w14:paraId="3CACD84E" w14:textId="77777777" w:rsidR="00DB7466" w:rsidRDefault="00DB7466" w:rsidP="00AD4EA1"/>
    <w:p w14:paraId="4DF2F2AA" w14:textId="77777777" w:rsidR="00DB7466" w:rsidRDefault="00DB7466" w:rsidP="00AD4EA1"/>
    <w:p w14:paraId="7C5444C9" w14:textId="77777777" w:rsidR="00DB7466" w:rsidRDefault="00DB7466" w:rsidP="00AD4EA1"/>
    <w:p w14:paraId="47DFDBD7" w14:textId="77777777" w:rsidR="00DB7466" w:rsidRDefault="00DB7466" w:rsidP="00AD4EA1"/>
    <w:p w14:paraId="720194A7" w14:textId="77777777" w:rsidR="00DB7466" w:rsidRDefault="00DB7466" w:rsidP="00AD4EA1"/>
    <w:p w14:paraId="41B0CACC" w14:textId="77777777" w:rsidR="00DB7466" w:rsidRDefault="00DB7466" w:rsidP="00AD4EA1"/>
    <w:p w14:paraId="3660BEF7" w14:textId="77777777" w:rsidR="00DB7466" w:rsidRDefault="00DB7466" w:rsidP="00AD4EA1"/>
    <w:p w14:paraId="388ACED1" w14:textId="77777777" w:rsidR="00DB7466" w:rsidRDefault="00DB7466" w:rsidP="00AD4EA1"/>
    <w:p w14:paraId="402CED89" w14:textId="77777777" w:rsidR="00DB7466" w:rsidRDefault="00DB7466" w:rsidP="00AD4EA1"/>
    <w:p w14:paraId="16A170CC" w14:textId="77777777" w:rsidR="00DB7466" w:rsidRDefault="00DB7466" w:rsidP="00AD4EA1"/>
    <w:p w14:paraId="4A70F549" w14:textId="77777777" w:rsidR="00DB7466" w:rsidRDefault="00DB7466" w:rsidP="00AD4EA1"/>
    <w:p w14:paraId="6A7ECDAE" w14:textId="77777777" w:rsidR="00DB7466" w:rsidRDefault="00DB7466" w:rsidP="00AD4EA1"/>
    <w:p w14:paraId="1DA57616" w14:textId="77777777" w:rsidR="00DB7466" w:rsidRDefault="00DB7466" w:rsidP="00AD4EA1"/>
    <w:p w14:paraId="6FAFF6B7" w14:textId="77777777" w:rsidR="00DB7466" w:rsidRDefault="00DB7466" w:rsidP="00AD4EA1"/>
    <w:p w14:paraId="4C98CAAF" w14:textId="77777777" w:rsidR="00DB7466" w:rsidRDefault="00DB7466" w:rsidP="00AD4EA1"/>
    <w:p w14:paraId="1CA46D53" w14:textId="77777777" w:rsidR="00DB7466" w:rsidRDefault="00DB7466" w:rsidP="00AD4EA1"/>
    <w:p w14:paraId="6B02C325" w14:textId="77777777" w:rsidR="00DB7466" w:rsidRDefault="00DB7466" w:rsidP="00AD4EA1"/>
    <w:p w14:paraId="640552E8" w14:textId="77777777" w:rsidR="00DB7466" w:rsidRDefault="00DB7466" w:rsidP="00AD4EA1"/>
    <w:p w14:paraId="3B4A80D9" w14:textId="77777777" w:rsidR="00DB7466" w:rsidRDefault="00DB7466" w:rsidP="00AD4EA1"/>
    <w:p w14:paraId="343DD442" w14:textId="77777777" w:rsidR="00DB7466" w:rsidRDefault="00DB7466" w:rsidP="00AD4EA1"/>
    <w:p w14:paraId="4304B022" w14:textId="77777777" w:rsidR="00DB7466" w:rsidRDefault="00DB7466" w:rsidP="00AD4EA1"/>
    <w:p w14:paraId="25E5DF1F" w14:textId="77777777" w:rsidR="00DB7466" w:rsidRDefault="00DB7466" w:rsidP="00AD4EA1"/>
    <w:p w14:paraId="7EAD68C5" w14:textId="77777777" w:rsidR="00DB7466" w:rsidRDefault="00DB7466" w:rsidP="00AD4EA1"/>
    <w:p w14:paraId="5D995CD4" w14:textId="77777777" w:rsidR="00DB7466" w:rsidRDefault="00DB7466" w:rsidP="00AD4EA1"/>
    <w:p w14:paraId="5F8B163E" w14:textId="77777777" w:rsidR="00DB7466" w:rsidRDefault="00DB7466" w:rsidP="00AD4EA1"/>
    <w:p w14:paraId="75E13192" w14:textId="77777777" w:rsidR="00DB7466" w:rsidRDefault="00DB7466" w:rsidP="00AD4EA1"/>
    <w:p w14:paraId="5B37A134" w14:textId="77777777" w:rsidR="00DB7466" w:rsidRDefault="00DB7466" w:rsidP="00AD4EA1"/>
    <w:p w14:paraId="003028C7" w14:textId="77777777" w:rsidR="00DB7466" w:rsidRDefault="00DB7466" w:rsidP="00AD4EA1"/>
    <w:p w14:paraId="52990873" w14:textId="77777777" w:rsidR="00DB7466" w:rsidRDefault="00DB7466" w:rsidP="00AD4EA1"/>
    <w:p w14:paraId="53E5F96C" w14:textId="77777777" w:rsidR="00DB7466" w:rsidRDefault="00DB7466" w:rsidP="00AD4EA1"/>
    <w:p w14:paraId="389E7DB3" w14:textId="77777777" w:rsidR="00DB7466" w:rsidRDefault="00DB7466" w:rsidP="00AD4EA1"/>
    <w:p w14:paraId="33491139" w14:textId="77777777" w:rsidR="00DB7466" w:rsidRDefault="00DB7466" w:rsidP="00AD4EA1"/>
    <w:p w14:paraId="15267F57" w14:textId="77777777" w:rsidR="00DB7466" w:rsidRDefault="00DB7466" w:rsidP="00AD4EA1"/>
    <w:p w14:paraId="00EFF8F6" w14:textId="77777777" w:rsidR="00DB7466" w:rsidRDefault="00DB7466" w:rsidP="00AD4EA1"/>
    <w:p w14:paraId="112EAC5E" w14:textId="77777777" w:rsidR="00DB7466" w:rsidRDefault="00DB7466" w:rsidP="00AD4EA1"/>
    <w:p w14:paraId="46975210" w14:textId="77777777" w:rsidR="00DB7466" w:rsidRDefault="00DB7466" w:rsidP="00AD4EA1"/>
    <w:p w14:paraId="363412D5" w14:textId="77777777" w:rsidR="00DB7466" w:rsidRDefault="00DB7466" w:rsidP="00AD4EA1"/>
    <w:p w14:paraId="06C33D77" w14:textId="77777777" w:rsidR="00DB7466" w:rsidRDefault="00DB7466" w:rsidP="00AD4EA1"/>
    <w:p w14:paraId="0B19A7AB" w14:textId="77777777" w:rsidR="00DB7466" w:rsidRDefault="00DB7466" w:rsidP="00AD4EA1"/>
    <w:p w14:paraId="72420FC1" w14:textId="77777777" w:rsidR="00DB7466" w:rsidRDefault="00DB7466" w:rsidP="00AD4EA1"/>
    <w:p w14:paraId="6B6347A3" w14:textId="77777777" w:rsidR="00DB7466" w:rsidRDefault="00DB7466" w:rsidP="00AD4EA1"/>
    <w:p w14:paraId="5AC0210A" w14:textId="77777777" w:rsidR="00DB7466" w:rsidRDefault="00DB7466" w:rsidP="00AD4EA1"/>
    <w:p w14:paraId="17C05AF8" w14:textId="77777777" w:rsidR="00DB7466" w:rsidRDefault="00DB7466" w:rsidP="00AD4EA1"/>
    <w:p w14:paraId="496EA9DE" w14:textId="77777777" w:rsidR="00DB7466" w:rsidRDefault="00DB7466" w:rsidP="00AD4EA1"/>
    <w:p w14:paraId="35779852" w14:textId="77777777" w:rsidR="00DB7466" w:rsidRDefault="00DB7466" w:rsidP="00AD4EA1"/>
    <w:p w14:paraId="481B4021" w14:textId="77777777" w:rsidR="00DB7466" w:rsidRDefault="00DB7466" w:rsidP="00AD4EA1"/>
    <w:p w14:paraId="5878109F" w14:textId="77777777" w:rsidR="00DB7466" w:rsidRDefault="00DB7466" w:rsidP="00AD4EA1"/>
    <w:p w14:paraId="11228D6A" w14:textId="77777777" w:rsidR="00DB7466" w:rsidRDefault="00DB7466" w:rsidP="00AD4EA1"/>
    <w:p w14:paraId="7597D354" w14:textId="77777777" w:rsidR="00DB7466" w:rsidRDefault="00DB7466" w:rsidP="00AD4EA1"/>
    <w:p w14:paraId="5C9323B7" w14:textId="77777777" w:rsidR="00DB7466" w:rsidRDefault="00DB7466" w:rsidP="00AD4EA1"/>
    <w:p w14:paraId="13CE1A65" w14:textId="77777777" w:rsidR="00DB7466" w:rsidRDefault="00DB7466" w:rsidP="00AD4EA1"/>
    <w:p w14:paraId="64D75248" w14:textId="77777777" w:rsidR="00DB7466" w:rsidRDefault="00DB7466" w:rsidP="00AD4EA1"/>
    <w:p w14:paraId="337C79D6" w14:textId="77777777" w:rsidR="00DB7466" w:rsidRDefault="00DB7466" w:rsidP="00AD4EA1"/>
    <w:p w14:paraId="495ACCE0" w14:textId="77777777" w:rsidR="00DB7466" w:rsidRDefault="00DB7466" w:rsidP="00AD4EA1"/>
    <w:p w14:paraId="3B7287D0" w14:textId="77777777" w:rsidR="00DB7466" w:rsidRDefault="00DB7466" w:rsidP="00AD4EA1"/>
    <w:p w14:paraId="33D1199E" w14:textId="77777777" w:rsidR="00DB7466" w:rsidRDefault="00DB7466" w:rsidP="00AD4EA1"/>
    <w:p w14:paraId="77D0A12E" w14:textId="77777777" w:rsidR="00DB7466" w:rsidRDefault="00DB7466" w:rsidP="00AD4EA1"/>
    <w:p w14:paraId="19C4594D" w14:textId="77777777" w:rsidR="00DB7466" w:rsidRDefault="00DB7466" w:rsidP="00AD4EA1"/>
    <w:p w14:paraId="1CA28E8E" w14:textId="77777777" w:rsidR="00DB7466" w:rsidRDefault="00DB7466" w:rsidP="00AD4EA1"/>
    <w:p w14:paraId="23439E2D" w14:textId="77777777" w:rsidR="00DB7466" w:rsidRDefault="00DB7466" w:rsidP="00AD4EA1"/>
    <w:p w14:paraId="7417EDD9" w14:textId="77777777" w:rsidR="00DB7466" w:rsidRDefault="00DB7466" w:rsidP="00AD4EA1"/>
    <w:p w14:paraId="550CA54D" w14:textId="77777777" w:rsidR="00DB7466" w:rsidRDefault="00DB7466" w:rsidP="00AD4EA1"/>
    <w:p w14:paraId="612E6465" w14:textId="77777777" w:rsidR="00DB7466" w:rsidRDefault="00DB7466" w:rsidP="00AD4EA1"/>
    <w:p w14:paraId="4BCE6656" w14:textId="77777777" w:rsidR="00DB7466" w:rsidRDefault="00DB7466" w:rsidP="00AD4EA1"/>
    <w:p w14:paraId="4838BD72" w14:textId="77777777" w:rsidR="00DB7466" w:rsidRDefault="00DB7466" w:rsidP="00AD4EA1"/>
    <w:p w14:paraId="43C88DD7" w14:textId="77777777" w:rsidR="00DB7466" w:rsidRDefault="00DB7466" w:rsidP="00AD4EA1"/>
    <w:p w14:paraId="7FF63942" w14:textId="77777777" w:rsidR="00DB7466" w:rsidRDefault="00DB7466" w:rsidP="00AD4EA1"/>
    <w:p w14:paraId="23FF961C" w14:textId="77777777" w:rsidR="00DB7466" w:rsidRDefault="00DB7466" w:rsidP="00AD4EA1"/>
    <w:p w14:paraId="1F2E70D6" w14:textId="77777777" w:rsidR="00DB7466" w:rsidRDefault="00DB7466" w:rsidP="00AD4EA1"/>
    <w:p w14:paraId="53AB9237" w14:textId="77777777" w:rsidR="00DB7466" w:rsidRDefault="00DB7466" w:rsidP="00AD4EA1"/>
    <w:p w14:paraId="781524F7" w14:textId="77777777" w:rsidR="00DB7466" w:rsidRDefault="00DB7466" w:rsidP="00AD4EA1"/>
    <w:p w14:paraId="5E380187" w14:textId="77777777" w:rsidR="00DB7466" w:rsidRDefault="00DB7466" w:rsidP="00AD4EA1"/>
    <w:p w14:paraId="259F842B" w14:textId="77777777" w:rsidR="00DB7466" w:rsidRDefault="00DB7466" w:rsidP="00AD4EA1"/>
    <w:p w14:paraId="739E1D37" w14:textId="77777777" w:rsidR="00DB7466" w:rsidRDefault="00DB7466" w:rsidP="00AD4EA1"/>
    <w:p w14:paraId="13D3BEA5" w14:textId="77777777" w:rsidR="00DB7466" w:rsidRDefault="00DB7466" w:rsidP="00AD4EA1"/>
    <w:p w14:paraId="3D457691" w14:textId="77777777" w:rsidR="00DB7466" w:rsidRDefault="00DB7466" w:rsidP="00AD4EA1"/>
    <w:p w14:paraId="2CE25C1D" w14:textId="77777777" w:rsidR="00DB7466" w:rsidRDefault="00DB7466" w:rsidP="00AD4EA1"/>
    <w:p w14:paraId="02F48A4C" w14:textId="77777777" w:rsidR="00DB7466" w:rsidRDefault="00DB7466" w:rsidP="00AD4EA1"/>
    <w:p w14:paraId="7A6A3D34" w14:textId="77777777" w:rsidR="00DB7466" w:rsidRDefault="00DB7466" w:rsidP="00AD4EA1"/>
    <w:p w14:paraId="58BAEB8D" w14:textId="77777777" w:rsidR="00DB7466" w:rsidRDefault="00DB7466" w:rsidP="00AD4EA1"/>
    <w:p w14:paraId="15EB7424" w14:textId="77777777" w:rsidR="00DB7466" w:rsidRDefault="00DB7466" w:rsidP="00AD4EA1"/>
    <w:p w14:paraId="04D33C7C" w14:textId="77777777" w:rsidR="00DB7466" w:rsidRDefault="00DB7466" w:rsidP="00AD4EA1"/>
    <w:p w14:paraId="36C40563" w14:textId="77777777" w:rsidR="00DB7466" w:rsidRDefault="00DB7466" w:rsidP="00AD4EA1"/>
    <w:p w14:paraId="190F847A" w14:textId="77777777" w:rsidR="00DB7466" w:rsidRDefault="00DB7466" w:rsidP="00AD4EA1"/>
    <w:p w14:paraId="035A0A2D" w14:textId="77777777" w:rsidR="00DB7466" w:rsidRDefault="00DB7466" w:rsidP="00AD4EA1"/>
    <w:p w14:paraId="30450943" w14:textId="77777777" w:rsidR="00DB7466" w:rsidRDefault="00DB7466" w:rsidP="00AD4EA1"/>
    <w:p w14:paraId="6381098F" w14:textId="77777777" w:rsidR="00DB7466" w:rsidRDefault="00DB7466" w:rsidP="00AD4EA1"/>
    <w:p w14:paraId="685891F5" w14:textId="77777777" w:rsidR="00DB7466" w:rsidRDefault="00DB7466" w:rsidP="00AD4EA1"/>
    <w:p w14:paraId="28E44A22" w14:textId="77777777" w:rsidR="00DB7466" w:rsidRDefault="00DB7466" w:rsidP="00AD4EA1"/>
    <w:p w14:paraId="58FCC3EE" w14:textId="77777777" w:rsidR="00DB7466" w:rsidRDefault="00DB7466" w:rsidP="00AD4EA1"/>
    <w:p w14:paraId="73F56989" w14:textId="77777777" w:rsidR="00DB7466" w:rsidRDefault="00DB7466" w:rsidP="00AD4EA1"/>
    <w:p w14:paraId="28DE9213" w14:textId="77777777" w:rsidR="00DB7466" w:rsidRDefault="00DB7466" w:rsidP="00AD4EA1"/>
    <w:p w14:paraId="7D96AC8E" w14:textId="77777777" w:rsidR="00DB7466" w:rsidRDefault="00DB7466" w:rsidP="00AD4EA1"/>
    <w:p w14:paraId="1866B2A2" w14:textId="77777777" w:rsidR="00DB7466" w:rsidRDefault="00DB7466" w:rsidP="00AD4EA1"/>
    <w:p w14:paraId="36DFABD2" w14:textId="77777777" w:rsidR="00DB7466" w:rsidRDefault="00DB7466" w:rsidP="00AD4EA1"/>
    <w:p w14:paraId="3DCF6F41" w14:textId="77777777" w:rsidR="00DB7466" w:rsidRDefault="00DB7466" w:rsidP="00AD4EA1"/>
    <w:p w14:paraId="59EBF3E4" w14:textId="77777777" w:rsidR="00DB7466" w:rsidRDefault="00DB7466" w:rsidP="00AD4EA1"/>
    <w:p w14:paraId="4BF86584" w14:textId="77777777" w:rsidR="00DB7466" w:rsidRDefault="00DB7466" w:rsidP="00AD4EA1"/>
    <w:p w14:paraId="135B642E" w14:textId="77777777" w:rsidR="00DB7466" w:rsidRDefault="00DB7466" w:rsidP="00AD4EA1"/>
    <w:p w14:paraId="341EE96A" w14:textId="77777777" w:rsidR="00DB7466" w:rsidRDefault="00DB7466" w:rsidP="00AD4EA1"/>
    <w:p w14:paraId="20ED63E6" w14:textId="77777777" w:rsidR="00DB7466" w:rsidRDefault="00DB7466" w:rsidP="00AD4EA1"/>
    <w:p w14:paraId="4E1E209B" w14:textId="77777777" w:rsidR="00DB7466" w:rsidRDefault="00DB7466" w:rsidP="00AD4EA1"/>
    <w:p w14:paraId="74D5C108" w14:textId="77777777" w:rsidR="00DB7466" w:rsidRDefault="00DB7466" w:rsidP="00AD4EA1"/>
    <w:p w14:paraId="475B513B" w14:textId="77777777" w:rsidR="00DB7466" w:rsidRDefault="00DB7466" w:rsidP="00AD4EA1"/>
    <w:p w14:paraId="1548320E" w14:textId="77777777" w:rsidR="00DB7466" w:rsidRDefault="00DB7466" w:rsidP="00AD4EA1"/>
    <w:p w14:paraId="0DB512F7" w14:textId="77777777" w:rsidR="00DB7466" w:rsidRDefault="00DB7466" w:rsidP="00AD4EA1"/>
    <w:p w14:paraId="76A532F8" w14:textId="77777777" w:rsidR="00DB7466" w:rsidRDefault="00DB7466" w:rsidP="00AD4EA1"/>
    <w:p w14:paraId="3AA13880" w14:textId="77777777" w:rsidR="00DB7466" w:rsidRDefault="00DB7466" w:rsidP="00AD4EA1"/>
    <w:p w14:paraId="56014943" w14:textId="77777777" w:rsidR="00DB7466" w:rsidRDefault="00DB7466" w:rsidP="00AD4EA1"/>
    <w:p w14:paraId="0A64631D" w14:textId="77777777" w:rsidR="00DB7466" w:rsidRDefault="00DB7466" w:rsidP="00AD4EA1"/>
    <w:p w14:paraId="483B05DC" w14:textId="77777777" w:rsidR="00DB7466" w:rsidRDefault="00DB7466" w:rsidP="00AD4EA1"/>
    <w:p w14:paraId="1B5C96DA" w14:textId="77777777" w:rsidR="00DB7466" w:rsidRDefault="00DB7466" w:rsidP="00AD4EA1"/>
    <w:p w14:paraId="4A13D913" w14:textId="77777777" w:rsidR="00DB7466" w:rsidRDefault="00DB7466" w:rsidP="00AD4EA1"/>
    <w:p w14:paraId="767B8A5C" w14:textId="77777777" w:rsidR="00DB7466" w:rsidRDefault="00DB7466" w:rsidP="00AD4EA1"/>
    <w:p w14:paraId="7C77F12A" w14:textId="77777777" w:rsidR="00DB7466" w:rsidRDefault="00DB7466" w:rsidP="00AD4EA1"/>
    <w:p w14:paraId="206BE14E" w14:textId="77777777" w:rsidR="00DB7466" w:rsidRDefault="00DB7466" w:rsidP="00AD4EA1"/>
    <w:p w14:paraId="65AF295A" w14:textId="77777777" w:rsidR="00DB7466" w:rsidRDefault="00DB7466" w:rsidP="00AD4EA1"/>
    <w:p w14:paraId="0BD24E7F" w14:textId="77777777" w:rsidR="00DB7466" w:rsidRDefault="00DB7466" w:rsidP="00AD4EA1"/>
    <w:p w14:paraId="1E1A07B9" w14:textId="77777777" w:rsidR="00DB7466" w:rsidRDefault="00DB7466" w:rsidP="00AD4EA1"/>
    <w:p w14:paraId="67A716C7" w14:textId="77777777" w:rsidR="00DB7466" w:rsidRDefault="00DB7466" w:rsidP="00AD4EA1"/>
    <w:p w14:paraId="1021B094" w14:textId="77777777" w:rsidR="00DB7466" w:rsidRDefault="00DB7466" w:rsidP="00AD4EA1"/>
    <w:p w14:paraId="777FE0E6" w14:textId="77777777" w:rsidR="00DB7466" w:rsidRDefault="00DB7466" w:rsidP="00AD4EA1"/>
    <w:p w14:paraId="7FE3CE2A" w14:textId="77777777" w:rsidR="00DB7466" w:rsidRDefault="00DB7466" w:rsidP="00AD4EA1"/>
    <w:p w14:paraId="61690FC6" w14:textId="77777777" w:rsidR="00DB7466" w:rsidRDefault="00DB7466" w:rsidP="00AD4EA1"/>
    <w:p w14:paraId="168F1C23" w14:textId="77777777" w:rsidR="00DB7466" w:rsidRDefault="00DB7466" w:rsidP="00AD4EA1"/>
    <w:p w14:paraId="0B373233" w14:textId="77777777" w:rsidR="00DB7466" w:rsidRDefault="00DB7466" w:rsidP="00AD4EA1"/>
    <w:p w14:paraId="5F8D8CF1" w14:textId="77777777" w:rsidR="00DB7466" w:rsidRDefault="00DB7466" w:rsidP="00AD4EA1"/>
    <w:p w14:paraId="5464DF27" w14:textId="77777777" w:rsidR="00DB7466" w:rsidRDefault="00DB7466" w:rsidP="00AD4EA1"/>
    <w:p w14:paraId="3CD1C0B2" w14:textId="77777777" w:rsidR="00DB7466" w:rsidRDefault="00DB7466" w:rsidP="00AD4EA1"/>
    <w:p w14:paraId="55DA4B39" w14:textId="77777777" w:rsidR="00DB7466" w:rsidRDefault="00DB7466" w:rsidP="00AD4EA1"/>
    <w:p w14:paraId="3284AC64" w14:textId="77777777" w:rsidR="00DB7466" w:rsidRDefault="00DB7466" w:rsidP="00AD4EA1"/>
    <w:p w14:paraId="26D63446" w14:textId="77777777" w:rsidR="00DB7466" w:rsidRDefault="00DB7466" w:rsidP="00AD4EA1"/>
    <w:p w14:paraId="02A020E6" w14:textId="77777777" w:rsidR="00DB7466" w:rsidRDefault="00DB7466" w:rsidP="00AD4EA1"/>
    <w:p w14:paraId="541AC543" w14:textId="77777777" w:rsidR="00DB7466" w:rsidRDefault="00DB7466" w:rsidP="00AD4EA1"/>
    <w:p w14:paraId="220E6D8A" w14:textId="77777777" w:rsidR="00DB7466" w:rsidRDefault="00DB7466" w:rsidP="00AD4EA1"/>
    <w:p w14:paraId="1E8D1B94" w14:textId="77777777" w:rsidR="00DB7466" w:rsidRDefault="00DB7466" w:rsidP="00AD4EA1"/>
    <w:p w14:paraId="2667CB71" w14:textId="77777777" w:rsidR="00DB7466" w:rsidRDefault="00DB7466" w:rsidP="00AD4EA1"/>
    <w:p w14:paraId="76F47D3F" w14:textId="77777777" w:rsidR="00DB7466" w:rsidRDefault="00DB7466" w:rsidP="00AD4EA1"/>
    <w:p w14:paraId="1C75D9DE" w14:textId="77777777" w:rsidR="00DB7466" w:rsidRDefault="00DB7466" w:rsidP="00AD4EA1"/>
    <w:p w14:paraId="7033D66A" w14:textId="77777777" w:rsidR="00DB7466" w:rsidRDefault="00DB7466" w:rsidP="00AD4EA1"/>
    <w:p w14:paraId="0FB58644" w14:textId="77777777" w:rsidR="00DB7466" w:rsidRDefault="00DB7466" w:rsidP="00AD4EA1"/>
    <w:p w14:paraId="41EC8597" w14:textId="77777777" w:rsidR="00DB7466" w:rsidRDefault="00DB7466" w:rsidP="00AD4EA1"/>
    <w:p w14:paraId="29CDD61C" w14:textId="77777777" w:rsidR="00DB7466" w:rsidRDefault="00DB7466" w:rsidP="00AD4EA1"/>
    <w:p w14:paraId="589BCB5C" w14:textId="77777777" w:rsidR="00DB7466" w:rsidRDefault="00DB7466" w:rsidP="00AD4EA1"/>
    <w:p w14:paraId="6BD5646E" w14:textId="77777777" w:rsidR="00DB7466" w:rsidRDefault="00DB7466" w:rsidP="00AD4EA1"/>
    <w:p w14:paraId="747AD242" w14:textId="77777777" w:rsidR="00DB7466" w:rsidRDefault="00DB7466" w:rsidP="00AD4EA1"/>
    <w:p w14:paraId="26E12963" w14:textId="77777777" w:rsidR="00DB7466" w:rsidRDefault="00DB7466" w:rsidP="00AD4EA1"/>
    <w:p w14:paraId="26FD74BD" w14:textId="77777777" w:rsidR="00DB7466" w:rsidRDefault="00DB7466" w:rsidP="00AD4EA1"/>
    <w:p w14:paraId="64742BDB" w14:textId="77777777" w:rsidR="00DB7466" w:rsidRDefault="00DB7466" w:rsidP="00AD4EA1"/>
    <w:p w14:paraId="57C36F69" w14:textId="77777777" w:rsidR="00DB7466" w:rsidRDefault="00DB7466" w:rsidP="00AD4EA1"/>
    <w:p w14:paraId="7F95FCD6" w14:textId="77777777" w:rsidR="00DB7466" w:rsidRDefault="00DB7466" w:rsidP="00AD4EA1"/>
    <w:p w14:paraId="38119AF3" w14:textId="77777777" w:rsidR="00DB7466" w:rsidRDefault="00DB7466" w:rsidP="00AD4EA1"/>
    <w:p w14:paraId="167223D6" w14:textId="77777777" w:rsidR="00DB7466" w:rsidRDefault="00DB7466" w:rsidP="00AD4EA1"/>
    <w:p w14:paraId="33D58E20" w14:textId="77777777" w:rsidR="00DB7466" w:rsidRDefault="00DB7466" w:rsidP="00AD4EA1"/>
    <w:p w14:paraId="22BA431C" w14:textId="77777777" w:rsidR="00DB7466" w:rsidRDefault="00DB7466" w:rsidP="00AD4EA1"/>
    <w:p w14:paraId="5EAD48B6" w14:textId="77777777" w:rsidR="00DB7466" w:rsidRDefault="00DB7466" w:rsidP="00AD4EA1"/>
    <w:p w14:paraId="38CB4928" w14:textId="77777777" w:rsidR="00DB7466" w:rsidRDefault="00DB7466" w:rsidP="00AD4EA1"/>
    <w:p w14:paraId="69C2519B" w14:textId="77777777" w:rsidR="00DB7466" w:rsidRDefault="00DB7466" w:rsidP="00AD4EA1"/>
    <w:p w14:paraId="5EC18B7C" w14:textId="77777777" w:rsidR="00DB7466" w:rsidRDefault="00DB7466" w:rsidP="00AD4EA1"/>
    <w:p w14:paraId="42110EA1" w14:textId="77777777" w:rsidR="00DB7466" w:rsidRDefault="00DB7466" w:rsidP="00AD4EA1"/>
    <w:p w14:paraId="236B16A0" w14:textId="77777777" w:rsidR="00DB7466" w:rsidRDefault="00DB7466" w:rsidP="00AD4EA1"/>
    <w:p w14:paraId="5E4FAD53" w14:textId="77777777" w:rsidR="00DB7466" w:rsidRDefault="00DB7466" w:rsidP="00AD4EA1"/>
    <w:p w14:paraId="31B921A5" w14:textId="77777777" w:rsidR="00DB7466" w:rsidRDefault="00DB7466" w:rsidP="00AD4EA1"/>
    <w:p w14:paraId="264C7E46" w14:textId="77777777" w:rsidR="00DB7466" w:rsidRDefault="00DB7466" w:rsidP="00AD4EA1"/>
    <w:p w14:paraId="5F951A45" w14:textId="77777777" w:rsidR="00DB7466" w:rsidRDefault="00DB7466" w:rsidP="00AD4EA1"/>
    <w:p w14:paraId="761DB6E9" w14:textId="77777777" w:rsidR="00DB7466" w:rsidRDefault="00DB7466" w:rsidP="00AD4EA1"/>
    <w:p w14:paraId="6CFEED6C" w14:textId="77777777" w:rsidR="00DB7466" w:rsidRDefault="00DB7466" w:rsidP="00AD4EA1"/>
    <w:p w14:paraId="0AE72DEA" w14:textId="77777777" w:rsidR="00DB7466" w:rsidRDefault="00DB7466" w:rsidP="00AD4EA1"/>
    <w:p w14:paraId="61D93037" w14:textId="77777777" w:rsidR="00DB7466" w:rsidRDefault="00DB7466" w:rsidP="00AD4EA1"/>
    <w:p w14:paraId="641B8F63" w14:textId="77777777" w:rsidR="00DB7466" w:rsidRDefault="00DB7466" w:rsidP="00AD4EA1"/>
    <w:p w14:paraId="1058A7E7" w14:textId="77777777" w:rsidR="00DB7466" w:rsidRDefault="00DB7466" w:rsidP="00AD4EA1"/>
    <w:p w14:paraId="342E01B7" w14:textId="77777777" w:rsidR="00DB7466" w:rsidRDefault="00DB7466" w:rsidP="00AD4EA1"/>
    <w:p w14:paraId="6404972E" w14:textId="77777777" w:rsidR="00DB7466" w:rsidRDefault="00DB7466" w:rsidP="00AD4EA1"/>
    <w:p w14:paraId="1F28A76A" w14:textId="77777777" w:rsidR="00DB7466" w:rsidRDefault="00DB7466" w:rsidP="00AD4EA1"/>
    <w:p w14:paraId="75AB4FF7" w14:textId="77777777" w:rsidR="00DB7466" w:rsidRDefault="00DB7466" w:rsidP="00AD4EA1"/>
    <w:p w14:paraId="4827BB5A" w14:textId="77777777" w:rsidR="00DB7466" w:rsidRDefault="00DB7466" w:rsidP="00AD4EA1"/>
    <w:p w14:paraId="374B5904" w14:textId="77777777" w:rsidR="00DB7466" w:rsidRDefault="00DB7466" w:rsidP="00AD4EA1"/>
    <w:p w14:paraId="60A2C8D1" w14:textId="77777777" w:rsidR="00DB7466" w:rsidRDefault="00DB7466" w:rsidP="00AD4EA1"/>
    <w:p w14:paraId="5FFED603" w14:textId="77777777" w:rsidR="00DB7466" w:rsidRDefault="00DB7466" w:rsidP="00AD4EA1"/>
    <w:p w14:paraId="4E6513FF" w14:textId="77777777" w:rsidR="00DB7466" w:rsidRDefault="00DB7466" w:rsidP="00AD4EA1"/>
    <w:p w14:paraId="16BCEE7D" w14:textId="77777777" w:rsidR="00DB7466" w:rsidRDefault="00DB7466" w:rsidP="00AD4EA1"/>
    <w:p w14:paraId="6915E482" w14:textId="77777777" w:rsidR="00DB7466" w:rsidRDefault="00DB7466" w:rsidP="00AD4EA1"/>
    <w:p w14:paraId="07EC4AC9" w14:textId="77777777" w:rsidR="00DB7466" w:rsidRDefault="00DB7466" w:rsidP="00AD4EA1"/>
    <w:p w14:paraId="0EFDC8A8" w14:textId="77777777" w:rsidR="00DB7466" w:rsidRDefault="00DB7466" w:rsidP="00AD4EA1"/>
    <w:p w14:paraId="39077B05" w14:textId="77777777" w:rsidR="00DB7466" w:rsidRDefault="00DB7466" w:rsidP="00AD4EA1"/>
    <w:p w14:paraId="6F074C2D" w14:textId="77777777" w:rsidR="00DB7466" w:rsidRDefault="00DB7466" w:rsidP="00AD4EA1"/>
    <w:p w14:paraId="060240A1" w14:textId="77777777" w:rsidR="00DB7466" w:rsidRDefault="00DB7466" w:rsidP="00AD4EA1"/>
    <w:p w14:paraId="1F7611B8" w14:textId="77777777" w:rsidR="00DB7466" w:rsidRDefault="00DB7466" w:rsidP="00AD4EA1"/>
    <w:p w14:paraId="0F928049" w14:textId="77777777" w:rsidR="00DB7466" w:rsidRDefault="00DB7466" w:rsidP="00AD4EA1"/>
    <w:p w14:paraId="02502C17" w14:textId="77777777" w:rsidR="00DB7466" w:rsidRDefault="00DB7466" w:rsidP="00AD4EA1"/>
    <w:p w14:paraId="58B83157" w14:textId="77777777" w:rsidR="00DB7466" w:rsidRDefault="00DB7466" w:rsidP="00AD4EA1"/>
    <w:p w14:paraId="2D49BF49" w14:textId="77777777" w:rsidR="00DB7466" w:rsidRDefault="00DB7466" w:rsidP="00AD4EA1"/>
    <w:p w14:paraId="013C147D" w14:textId="77777777" w:rsidR="00DB7466" w:rsidRDefault="00DB7466" w:rsidP="00AD4EA1"/>
    <w:p w14:paraId="78EA9F07" w14:textId="77777777" w:rsidR="00DB7466" w:rsidRDefault="00DB7466" w:rsidP="00AD4EA1"/>
    <w:p w14:paraId="5BE3C268" w14:textId="77777777" w:rsidR="00DB7466" w:rsidRDefault="00DB7466" w:rsidP="00AD4EA1"/>
    <w:p w14:paraId="4BA606B1" w14:textId="77777777" w:rsidR="00DB7466" w:rsidRDefault="00DB7466" w:rsidP="00AD4EA1"/>
    <w:p w14:paraId="3B5B9841" w14:textId="77777777" w:rsidR="00DB7466" w:rsidRDefault="00DB7466" w:rsidP="00AD4EA1"/>
    <w:p w14:paraId="43ECDB4B" w14:textId="77777777" w:rsidR="00DB7466" w:rsidRDefault="00DB7466" w:rsidP="00AD4EA1"/>
    <w:p w14:paraId="70A59260" w14:textId="77777777" w:rsidR="00DB7466" w:rsidRDefault="00DB7466" w:rsidP="00AD4EA1"/>
    <w:p w14:paraId="1AED6DAE" w14:textId="77777777" w:rsidR="00DB7466" w:rsidRDefault="00DB7466" w:rsidP="00AD4EA1"/>
    <w:p w14:paraId="219568FB" w14:textId="77777777" w:rsidR="00DB7466" w:rsidRDefault="00DB7466" w:rsidP="00AD4EA1"/>
    <w:p w14:paraId="7BE92492" w14:textId="77777777" w:rsidR="00DB7466" w:rsidRDefault="00DB7466" w:rsidP="00AD4EA1"/>
    <w:p w14:paraId="3A2CE881" w14:textId="77777777" w:rsidR="00DB7466" w:rsidRDefault="00DB7466" w:rsidP="00AD4EA1"/>
    <w:p w14:paraId="67E07341" w14:textId="77777777" w:rsidR="00DB7466" w:rsidRDefault="00DB7466" w:rsidP="00AD4EA1"/>
    <w:p w14:paraId="28B26F03" w14:textId="77777777" w:rsidR="00DB7466" w:rsidRDefault="00DB7466" w:rsidP="00AD4EA1"/>
    <w:p w14:paraId="60599D3B" w14:textId="77777777" w:rsidR="00DB7466" w:rsidRDefault="00DB7466" w:rsidP="00AD4EA1"/>
    <w:p w14:paraId="68F1C3C9" w14:textId="77777777" w:rsidR="00DB7466" w:rsidRDefault="00DB7466" w:rsidP="00AD4EA1"/>
    <w:p w14:paraId="1DF0F0AE" w14:textId="77777777" w:rsidR="00DB7466" w:rsidRDefault="00DB7466" w:rsidP="00AD4EA1"/>
    <w:p w14:paraId="3F4E03F3" w14:textId="77777777" w:rsidR="00DB7466" w:rsidRDefault="00DB7466" w:rsidP="00AD4EA1"/>
    <w:p w14:paraId="2EFA58B8" w14:textId="77777777" w:rsidR="00DB7466" w:rsidRDefault="00DB7466" w:rsidP="00AD4EA1"/>
    <w:p w14:paraId="552A63B5" w14:textId="77777777" w:rsidR="00DB7466" w:rsidRDefault="00DB7466" w:rsidP="00AD4EA1"/>
    <w:p w14:paraId="564000ED" w14:textId="77777777" w:rsidR="00DB7466" w:rsidRDefault="00DB7466" w:rsidP="00AD4EA1"/>
    <w:p w14:paraId="70706CB2" w14:textId="77777777" w:rsidR="00DB7466" w:rsidRDefault="00DB7466" w:rsidP="00AD4EA1"/>
    <w:p w14:paraId="2406D862" w14:textId="77777777" w:rsidR="00DB7466" w:rsidRDefault="00DB7466" w:rsidP="00AD4EA1"/>
    <w:p w14:paraId="35A7FAD9" w14:textId="77777777" w:rsidR="00DB7466" w:rsidRDefault="00DB7466" w:rsidP="00AD4EA1"/>
    <w:p w14:paraId="084F291B" w14:textId="77777777" w:rsidR="00DB7466" w:rsidRDefault="00DB7466" w:rsidP="00AD4EA1"/>
    <w:p w14:paraId="5FE8B537" w14:textId="77777777" w:rsidR="00DB7466" w:rsidRDefault="00DB7466" w:rsidP="00AD4EA1"/>
    <w:p w14:paraId="7D7CF8F6" w14:textId="77777777" w:rsidR="00DB7466" w:rsidRDefault="00DB7466" w:rsidP="00AD4EA1"/>
    <w:p w14:paraId="3E67EA7B" w14:textId="77777777" w:rsidR="00DB7466" w:rsidRDefault="00DB7466" w:rsidP="00AD4EA1"/>
    <w:p w14:paraId="339B46ED" w14:textId="77777777" w:rsidR="00DB7466" w:rsidRDefault="00DB7466" w:rsidP="00AD4EA1"/>
    <w:p w14:paraId="66FCCE8F" w14:textId="77777777" w:rsidR="00DB7466" w:rsidRDefault="00DB7466" w:rsidP="00AD4EA1"/>
    <w:p w14:paraId="0B8D2356" w14:textId="77777777" w:rsidR="00DB7466" w:rsidRDefault="00DB7466" w:rsidP="00CD4DEC"/>
    <w:p w14:paraId="4091567C" w14:textId="77777777" w:rsidR="00DB7466" w:rsidRDefault="00DB7466" w:rsidP="002C583C"/>
    <w:p w14:paraId="22AFAE63" w14:textId="77777777" w:rsidR="00DB7466" w:rsidRDefault="00DB7466" w:rsidP="002C583C"/>
    <w:p w14:paraId="48C1CF8D" w14:textId="77777777" w:rsidR="00DB7466" w:rsidRDefault="00DB7466" w:rsidP="006208C5"/>
    <w:p w14:paraId="4E4427EB" w14:textId="77777777" w:rsidR="00DB7466" w:rsidRDefault="00DB7466" w:rsidP="006208C5"/>
    <w:p w14:paraId="27BC3817" w14:textId="77777777" w:rsidR="00DB7466" w:rsidRDefault="00DB7466" w:rsidP="003E60B3"/>
    <w:p w14:paraId="7AC09C66" w14:textId="77777777" w:rsidR="00DB7466" w:rsidRDefault="00DB7466" w:rsidP="003E60B3"/>
    <w:p w14:paraId="4A3CF149" w14:textId="77777777" w:rsidR="00DB7466" w:rsidRDefault="00DB7466" w:rsidP="00C7542B"/>
    <w:p w14:paraId="1F015DA8" w14:textId="77777777" w:rsidR="00DB7466" w:rsidRDefault="00DB7466" w:rsidP="00C7542B"/>
    <w:p w14:paraId="1272AB3C" w14:textId="77777777" w:rsidR="00DB7466" w:rsidRDefault="00DB7466" w:rsidP="00C7542B"/>
    <w:p w14:paraId="541FCEEC" w14:textId="77777777" w:rsidR="00DB7466" w:rsidRDefault="00DB7466" w:rsidP="00C7542B"/>
    <w:p w14:paraId="6352216D" w14:textId="77777777" w:rsidR="00DB7466" w:rsidRDefault="00DB7466" w:rsidP="00C7542B"/>
    <w:p w14:paraId="60D94FCD" w14:textId="77777777" w:rsidR="00DB7466" w:rsidRDefault="00DB7466" w:rsidP="00C7542B"/>
    <w:p w14:paraId="0BD75952" w14:textId="77777777" w:rsidR="00DB7466" w:rsidRDefault="00DB7466" w:rsidP="00E668AB"/>
    <w:p w14:paraId="5F8A5D34" w14:textId="77777777" w:rsidR="00DB7466" w:rsidRDefault="00DB7466" w:rsidP="002E2DD5"/>
    <w:p w14:paraId="5A26797E" w14:textId="77777777" w:rsidR="00DB7466" w:rsidRDefault="00DB7466" w:rsidP="00F34FE7"/>
    <w:p w14:paraId="110FBC4E" w14:textId="77777777" w:rsidR="00DB7466" w:rsidRDefault="00DB7466" w:rsidP="00987D5A"/>
    <w:p w14:paraId="23B7B489" w14:textId="77777777" w:rsidR="00DB7466" w:rsidRDefault="00DB7466" w:rsidP="00987D5A"/>
    <w:p w14:paraId="5995A816" w14:textId="77777777" w:rsidR="00DB7466" w:rsidRDefault="00DB7466" w:rsidP="00DA3815"/>
    <w:p w14:paraId="5D5E364C" w14:textId="77777777" w:rsidR="00DB7466" w:rsidRDefault="00DB7466" w:rsidP="00BE5921"/>
    <w:p w14:paraId="0255E771" w14:textId="77777777" w:rsidR="00DB7466" w:rsidRDefault="00DB7466" w:rsidP="00BA65A1"/>
    <w:p w14:paraId="349C87C2" w14:textId="77777777" w:rsidR="00DB7466" w:rsidRDefault="00DB7466" w:rsidP="00BA65A1"/>
    <w:p w14:paraId="7410EFAC" w14:textId="77777777" w:rsidR="00DB7466" w:rsidRDefault="00DB7466" w:rsidP="00BA65A1"/>
    <w:p w14:paraId="48C7944B" w14:textId="77777777" w:rsidR="00DB7466" w:rsidRDefault="00DB7466" w:rsidP="00E972D0"/>
    <w:p w14:paraId="2B90CFFF" w14:textId="77777777" w:rsidR="00DB7466" w:rsidRDefault="00DB7466" w:rsidP="00EA4A6E"/>
    <w:p w14:paraId="6D883FCD" w14:textId="77777777" w:rsidR="00DB7466" w:rsidRDefault="00DB7466" w:rsidP="00B206BE"/>
    <w:p w14:paraId="1F049755" w14:textId="77777777" w:rsidR="00DB7466" w:rsidRDefault="00DB7466" w:rsidP="006D36B9"/>
    <w:p w14:paraId="0E2E5519" w14:textId="77777777" w:rsidR="00DB7466" w:rsidRDefault="00DB7466" w:rsidP="006D36B9"/>
    <w:p w14:paraId="228362EC" w14:textId="77777777" w:rsidR="00DB7466" w:rsidRDefault="00DB7466" w:rsidP="006D36B9"/>
    <w:p w14:paraId="2576AC1C" w14:textId="77777777" w:rsidR="00DB7466" w:rsidRDefault="00DB7466" w:rsidP="006D36B9"/>
    <w:p w14:paraId="54B586BC" w14:textId="77777777" w:rsidR="00DB7466" w:rsidRDefault="00DB7466" w:rsidP="006D36B9"/>
    <w:p w14:paraId="52FECEF6" w14:textId="77777777" w:rsidR="00DB7466" w:rsidRDefault="00DB7466" w:rsidP="006D36B9"/>
    <w:p w14:paraId="14568617" w14:textId="77777777" w:rsidR="00DB7466" w:rsidRDefault="00DB7466" w:rsidP="00EA23F1"/>
    <w:p w14:paraId="5662E836" w14:textId="77777777" w:rsidR="00DB7466" w:rsidRDefault="00DB7466"/>
    <w:p w14:paraId="2B7340E0" w14:textId="77777777" w:rsidR="00DB7466" w:rsidRDefault="00DB7466" w:rsidP="00AC6278"/>
    <w:p w14:paraId="7F8CA25E" w14:textId="77777777" w:rsidR="00DB7466" w:rsidRDefault="00DB7466" w:rsidP="000F7EB3"/>
    <w:p w14:paraId="513DFDE9" w14:textId="77777777" w:rsidR="00DB7466" w:rsidRDefault="00DB7466" w:rsidP="00FB722B"/>
    <w:p w14:paraId="5242C6F5" w14:textId="77777777" w:rsidR="00DB7466" w:rsidRDefault="00DB7466" w:rsidP="00FB722B"/>
    <w:p w14:paraId="66D793BF" w14:textId="77777777" w:rsidR="00DB7466" w:rsidRDefault="00DB7466" w:rsidP="00760684"/>
    <w:p w14:paraId="774BF20E" w14:textId="77777777" w:rsidR="00DB7466" w:rsidRDefault="00DB7466"/>
    <w:p w14:paraId="379203F7" w14:textId="77777777" w:rsidR="00DB7466" w:rsidRDefault="00DB7466"/>
    <w:p w14:paraId="77AEDE63" w14:textId="77777777" w:rsidR="00DB7466" w:rsidRDefault="00DB7466"/>
    <w:p w14:paraId="0A967CFF" w14:textId="77777777" w:rsidR="00DB7466" w:rsidRDefault="00DB7466" w:rsidP="00E97D21"/>
    <w:p w14:paraId="4A45EE05" w14:textId="77777777" w:rsidR="00DB7466" w:rsidRDefault="00DB7466" w:rsidP="00A2303A"/>
    <w:p w14:paraId="77C9162C" w14:textId="77777777" w:rsidR="00DB7466" w:rsidRDefault="00DB7466" w:rsidP="00A2303A"/>
    <w:p w14:paraId="78648673" w14:textId="77777777" w:rsidR="00DB7466" w:rsidRDefault="00DB7466" w:rsidP="00A2303A"/>
    <w:p w14:paraId="4386DC58" w14:textId="77777777" w:rsidR="00DB7466" w:rsidRDefault="00DB7466"/>
    <w:p w14:paraId="27BFEB78" w14:textId="77777777" w:rsidR="00DB7466" w:rsidRDefault="00DB7466" w:rsidP="004B37A9"/>
    <w:p w14:paraId="08B929B9" w14:textId="77777777" w:rsidR="00DB7466" w:rsidRDefault="00DB7466" w:rsidP="004B37A9"/>
    <w:p w14:paraId="42824A7D" w14:textId="77777777" w:rsidR="00DB7466" w:rsidRDefault="00DB7466"/>
    <w:p w14:paraId="1B7084AA" w14:textId="77777777" w:rsidR="00DB7466" w:rsidRDefault="00DB7466" w:rsidP="00F2792F"/>
    <w:p w14:paraId="469E2CC6" w14:textId="77777777" w:rsidR="00DB7466" w:rsidRDefault="00DB7466" w:rsidP="00F2792F"/>
    <w:p w14:paraId="3D28788E" w14:textId="77777777" w:rsidR="00DB7466" w:rsidRDefault="00DB7466" w:rsidP="00F2792F"/>
    <w:p w14:paraId="54A5A425" w14:textId="77777777" w:rsidR="00DB7466" w:rsidRDefault="00DB7466" w:rsidP="00F2792F"/>
    <w:p w14:paraId="719700FF" w14:textId="77777777" w:rsidR="00DB7466" w:rsidRDefault="00DB7466" w:rsidP="003F470F"/>
    <w:p w14:paraId="490E2382" w14:textId="77777777" w:rsidR="00DB7466" w:rsidRDefault="00DB7466" w:rsidP="00FE2957"/>
    <w:p w14:paraId="3E750938" w14:textId="77777777" w:rsidR="00DB7466" w:rsidRDefault="00DB7466" w:rsidP="00FE2957"/>
    <w:p w14:paraId="2AEF7EC3" w14:textId="77777777" w:rsidR="00DB7466" w:rsidRDefault="00DB7466" w:rsidP="00E02438"/>
    <w:p w14:paraId="40DEDB60" w14:textId="77777777" w:rsidR="00DB7466" w:rsidRDefault="00DB7466" w:rsidP="008F70A3"/>
    <w:p w14:paraId="4092D83A" w14:textId="77777777" w:rsidR="00DB7466" w:rsidRDefault="00DB7466" w:rsidP="00727452"/>
    <w:p w14:paraId="5C7E078E" w14:textId="77777777" w:rsidR="00DB7466" w:rsidRDefault="00DB7466" w:rsidP="00676913"/>
    <w:p w14:paraId="69F4AE4C" w14:textId="77777777" w:rsidR="00DB7466" w:rsidRDefault="00DB7466"/>
    <w:p w14:paraId="6ACF8009" w14:textId="77777777" w:rsidR="00DB7466" w:rsidRDefault="00DB7466" w:rsidP="0088433B"/>
    <w:p w14:paraId="356FBEB9" w14:textId="77777777" w:rsidR="00DB7466" w:rsidRDefault="00DB7466" w:rsidP="0088433B"/>
    <w:p w14:paraId="1AF496F3" w14:textId="77777777" w:rsidR="00DB7466" w:rsidRDefault="00DB7466" w:rsidP="00B005BD"/>
    <w:p w14:paraId="344FB6A7" w14:textId="77777777" w:rsidR="00DB7466" w:rsidRDefault="00DB7466" w:rsidP="00B005BD"/>
    <w:p w14:paraId="711EFE5B" w14:textId="77777777" w:rsidR="00DB7466" w:rsidRDefault="00DB7466" w:rsidP="00FE1B67"/>
    <w:p w14:paraId="4D10D328" w14:textId="77777777" w:rsidR="00DB7466" w:rsidRDefault="00DB7466" w:rsidP="00FE1B67"/>
    <w:p w14:paraId="1981872A" w14:textId="77777777" w:rsidR="00DB7466" w:rsidRDefault="00DB7466" w:rsidP="00FE1B67"/>
    <w:p w14:paraId="192B23BD" w14:textId="77777777" w:rsidR="00DB7466" w:rsidRDefault="00DB7466"/>
    <w:p w14:paraId="2706B618" w14:textId="77777777" w:rsidR="00DB7466" w:rsidRDefault="00DB7466"/>
    <w:p w14:paraId="4784858B" w14:textId="77777777" w:rsidR="00DB7466" w:rsidRDefault="00DB7466"/>
    <w:p w14:paraId="420402A2" w14:textId="77777777" w:rsidR="00DB7466" w:rsidRDefault="00DB7466" w:rsidP="00A25F00"/>
    <w:p w14:paraId="2EE5D23A" w14:textId="77777777" w:rsidR="00DB7466" w:rsidRDefault="00DB7466"/>
    <w:p w14:paraId="41BEB896" w14:textId="77777777" w:rsidR="00DB7466" w:rsidRDefault="00DB7466" w:rsidP="00C86149"/>
    <w:p w14:paraId="4CBC3133" w14:textId="77777777" w:rsidR="00DB7466" w:rsidRDefault="00DB7466"/>
    <w:p w14:paraId="6AB86224" w14:textId="77777777" w:rsidR="00DB7466" w:rsidRDefault="00DB7466" w:rsidP="00AE612D"/>
    <w:p w14:paraId="3E99FF81" w14:textId="77777777" w:rsidR="00DB7466" w:rsidRDefault="00DB7466" w:rsidP="008D16DA"/>
    <w:p w14:paraId="34EBDE71" w14:textId="77777777" w:rsidR="00DB7466" w:rsidRDefault="00DB7466" w:rsidP="008D16DA"/>
    <w:p w14:paraId="57C16213" w14:textId="77777777" w:rsidR="00DB7466" w:rsidRDefault="00DB7466" w:rsidP="008D16DA"/>
    <w:p w14:paraId="30DC689E" w14:textId="77777777" w:rsidR="00DB7466" w:rsidRDefault="00DB7466" w:rsidP="00221E03"/>
    <w:p w14:paraId="12A63697" w14:textId="77777777" w:rsidR="00DB7466" w:rsidRDefault="00DB7466"/>
    <w:p w14:paraId="0D88F362" w14:textId="77777777" w:rsidR="00DB7466" w:rsidRDefault="00DB7466"/>
    <w:p w14:paraId="59EDB6BD" w14:textId="77777777" w:rsidR="00DB7466" w:rsidRDefault="00DB7466" w:rsidP="000B3880"/>
    <w:p w14:paraId="0F885D16" w14:textId="77777777" w:rsidR="00DB7466" w:rsidRDefault="00DB7466" w:rsidP="000B3880"/>
    <w:p w14:paraId="7D67C218" w14:textId="77777777" w:rsidR="00DB7466" w:rsidRDefault="00DB7466" w:rsidP="000B3880"/>
    <w:p w14:paraId="108E2043" w14:textId="77777777" w:rsidR="00DB7466" w:rsidRDefault="00DB7466" w:rsidP="00C61011"/>
    <w:p w14:paraId="37786276" w14:textId="77777777" w:rsidR="00DB7466" w:rsidRDefault="00DB7466"/>
    <w:p w14:paraId="20662495" w14:textId="77777777" w:rsidR="00DB7466" w:rsidRDefault="00DB7466" w:rsidP="00442E09"/>
    <w:p w14:paraId="09962832" w14:textId="77777777" w:rsidR="00DB7466" w:rsidRDefault="00DB7466"/>
    <w:p w14:paraId="6090C541" w14:textId="77777777" w:rsidR="00DB7466" w:rsidRDefault="00DB7466" w:rsidP="002F2F0C"/>
    <w:p w14:paraId="2CEC2635" w14:textId="77777777" w:rsidR="00DB7466" w:rsidRDefault="00DB7466" w:rsidP="00035C0D"/>
    <w:p w14:paraId="7A827FB0" w14:textId="77777777" w:rsidR="00DB7466" w:rsidRDefault="00DB7466"/>
    <w:p w14:paraId="7B698B3B" w14:textId="77777777" w:rsidR="00DB7466" w:rsidRDefault="00DB7466"/>
    <w:p w14:paraId="1B0F3FDC" w14:textId="77777777" w:rsidR="00DB7466" w:rsidRDefault="00DB7466" w:rsidP="00FC0786"/>
    <w:p w14:paraId="3311A447" w14:textId="77777777" w:rsidR="00DB7466" w:rsidRDefault="00DB7466" w:rsidP="00FC0786"/>
    <w:p w14:paraId="46D80AF7" w14:textId="77777777" w:rsidR="00DB7466" w:rsidRDefault="00DB7466" w:rsidP="00FC0786"/>
    <w:p w14:paraId="69297108" w14:textId="77777777" w:rsidR="00DB7466" w:rsidRDefault="00DB7466" w:rsidP="00FC0786"/>
    <w:p w14:paraId="75E22ECC" w14:textId="77777777" w:rsidR="00DB7466" w:rsidRDefault="00DB7466" w:rsidP="00FC0786"/>
    <w:p w14:paraId="012A41B9" w14:textId="77777777" w:rsidR="00DB7466" w:rsidRDefault="00DB7466" w:rsidP="00FC0786"/>
    <w:p w14:paraId="4D280231" w14:textId="77777777" w:rsidR="00DB7466" w:rsidRDefault="00DB7466" w:rsidP="00FC0786"/>
    <w:p w14:paraId="12E8DD2F" w14:textId="77777777" w:rsidR="00DB7466" w:rsidRDefault="00DB7466" w:rsidP="00FC0786"/>
    <w:p w14:paraId="0A7A08AD" w14:textId="77777777" w:rsidR="00DB7466" w:rsidRDefault="00DB7466" w:rsidP="00FC0786"/>
    <w:p w14:paraId="06AB9BF5" w14:textId="77777777" w:rsidR="00DB7466" w:rsidRDefault="00DB7466" w:rsidP="00FC0786"/>
    <w:p w14:paraId="008AC7F2" w14:textId="77777777" w:rsidR="00DB7466" w:rsidRDefault="00DB7466" w:rsidP="00FC0786"/>
    <w:p w14:paraId="67253C65" w14:textId="77777777" w:rsidR="00DB7466" w:rsidRDefault="00DB7466" w:rsidP="00FC0786"/>
    <w:p w14:paraId="1A8AD25A" w14:textId="77777777" w:rsidR="00DB7466" w:rsidRDefault="00DB7466" w:rsidP="00FC0786"/>
    <w:p w14:paraId="5AB47599" w14:textId="77777777" w:rsidR="00DB7466" w:rsidRDefault="00DB7466" w:rsidP="00FC0786"/>
    <w:p w14:paraId="5810638B" w14:textId="77777777" w:rsidR="00DB7466" w:rsidRDefault="00DB7466" w:rsidP="00FC0786"/>
    <w:p w14:paraId="07C7BA18" w14:textId="77777777" w:rsidR="00DB7466" w:rsidRDefault="00DB7466" w:rsidP="00FC0786"/>
    <w:p w14:paraId="143AE218" w14:textId="77777777" w:rsidR="00DB7466" w:rsidRDefault="00DB7466" w:rsidP="00884294"/>
    <w:p w14:paraId="32006F1D" w14:textId="77777777" w:rsidR="00DB7466" w:rsidRDefault="00DB7466" w:rsidP="00115C61"/>
    <w:p w14:paraId="55B36E72" w14:textId="77777777" w:rsidR="00DB7466" w:rsidRDefault="00DB7466" w:rsidP="00F21980"/>
    <w:p w14:paraId="5FA0ED1E" w14:textId="77777777" w:rsidR="00DB7466" w:rsidRDefault="00DB7466"/>
    <w:p w14:paraId="3BB592B5" w14:textId="77777777" w:rsidR="00DB7466" w:rsidRDefault="00DB7466" w:rsidP="004902EB"/>
    <w:p w14:paraId="3FC9F86E" w14:textId="77777777" w:rsidR="00DB7466" w:rsidRDefault="00DB7466" w:rsidP="00C165D6"/>
    <w:p w14:paraId="424C6329" w14:textId="77777777" w:rsidR="00DB7466" w:rsidRDefault="00DB7466" w:rsidP="00C165D6"/>
    <w:p w14:paraId="0784F583" w14:textId="77777777" w:rsidR="00DB7466" w:rsidRDefault="00DB7466" w:rsidP="00D1652A"/>
    <w:p w14:paraId="12CB5F5C" w14:textId="77777777" w:rsidR="00DB7466" w:rsidRDefault="00DB7466"/>
    <w:p w14:paraId="1F160BD0" w14:textId="77777777" w:rsidR="00DB7466" w:rsidRDefault="00DB7466"/>
    <w:p w14:paraId="2BCFF7AA" w14:textId="77777777" w:rsidR="00DB7466" w:rsidRDefault="00DB7466" w:rsidP="00665E23"/>
    <w:p w14:paraId="645D0B13" w14:textId="77777777" w:rsidR="00DB7466" w:rsidRDefault="00DB7466" w:rsidP="00665E23"/>
    <w:p w14:paraId="607EBB55" w14:textId="77777777" w:rsidR="00DB7466" w:rsidRDefault="00DB7466" w:rsidP="00665E23"/>
    <w:p w14:paraId="78E58723" w14:textId="77777777" w:rsidR="00DB7466" w:rsidRDefault="00DB7466"/>
    <w:p w14:paraId="187E5310" w14:textId="77777777" w:rsidR="00DB7466" w:rsidRDefault="00DB7466" w:rsidP="00FC625F"/>
    <w:p w14:paraId="41453E57" w14:textId="77777777" w:rsidR="00DB7466" w:rsidRDefault="00DB7466" w:rsidP="00CD26FF"/>
    <w:p w14:paraId="18756BEB" w14:textId="77777777" w:rsidR="00DB7466" w:rsidRDefault="00DB7466" w:rsidP="005C0894"/>
    <w:p w14:paraId="6BB9E7D1" w14:textId="77777777" w:rsidR="00DB7466" w:rsidRDefault="00DB7466" w:rsidP="005C0894"/>
    <w:p w14:paraId="55FF27C6" w14:textId="77777777" w:rsidR="00DB7466" w:rsidRDefault="00DB7466" w:rsidP="005C0894"/>
    <w:p w14:paraId="38A5B1AB" w14:textId="77777777" w:rsidR="00DB7466" w:rsidRDefault="00DB7466" w:rsidP="005C0894"/>
    <w:p w14:paraId="479DC5B0" w14:textId="77777777" w:rsidR="00DB7466" w:rsidRDefault="00DB7466" w:rsidP="005C0894"/>
    <w:p w14:paraId="0AB5BF3E" w14:textId="77777777" w:rsidR="00DB7466" w:rsidRDefault="00DB7466" w:rsidP="005C0894"/>
    <w:p w14:paraId="797659E1" w14:textId="77777777" w:rsidR="00DB7466" w:rsidRDefault="00DB7466" w:rsidP="005C0894"/>
    <w:p w14:paraId="4C62FAF5" w14:textId="77777777" w:rsidR="00DB7466" w:rsidRDefault="00DB7466" w:rsidP="005C0894"/>
    <w:p w14:paraId="0C426A57" w14:textId="77777777" w:rsidR="00DB7466" w:rsidRDefault="00DB7466" w:rsidP="00EE7F1F"/>
    <w:p w14:paraId="6AF63D35" w14:textId="77777777" w:rsidR="00DB7466" w:rsidRDefault="00DB7466" w:rsidP="00C6037F"/>
    <w:p w14:paraId="0396FD8A" w14:textId="77777777" w:rsidR="00DB7466" w:rsidRDefault="00DB7466" w:rsidP="00C6037F"/>
    <w:p w14:paraId="52893E2B" w14:textId="77777777" w:rsidR="00DB7466" w:rsidRDefault="00DB7466" w:rsidP="00C6037F"/>
    <w:p w14:paraId="7622E9CF" w14:textId="77777777" w:rsidR="00DB7466" w:rsidRDefault="00DB7466" w:rsidP="00C6037F"/>
    <w:p w14:paraId="3470A382" w14:textId="77777777" w:rsidR="00DB7466" w:rsidRDefault="00DB7466" w:rsidP="00C6037F"/>
    <w:p w14:paraId="603D8F10" w14:textId="77777777" w:rsidR="00DB7466" w:rsidRDefault="00DB7466" w:rsidP="00B8778C"/>
    <w:p w14:paraId="34A634AD" w14:textId="77777777" w:rsidR="00DB7466" w:rsidRDefault="00DB7466" w:rsidP="00B8778C"/>
    <w:p w14:paraId="673F9ED9" w14:textId="77777777" w:rsidR="00DB7466" w:rsidRDefault="00DB7466" w:rsidP="00B8778C"/>
    <w:p w14:paraId="0EBDC80C" w14:textId="77777777" w:rsidR="00DB7466" w:rsidRDefault="00DB7466" w:rsidP="00B8778C"/>
    <w:p w14:paraId="21B02657" w14:textId="77777777" w:rsidR="00DB7466" w:rsidRDefault="00DB7466" w:rsidP="00B8778C"/>
    <w:p w14:paraId="7DBB90FF" w14:textId="77777777" w:rsidR="00DB7466" w:rsidRDefault="00DB7466" w:rsidP="00B8778C"/>
    <w:p w14:paraId="1FB68C16" w14:textId="77777777" w:rsidR="00DB7466" w:rsidRDefault="00DB7466" w:rsidP="00B8778C"/>
    <w:p w14:paraId="3928EECD" w14:textId="77777777" w:rsidR="00DB7466" w:rsidRDefault="00DB7466"/>
    <w:p w14:paraId="725DFAE6" w14:textId="77777777" w:rsidR="00DB7466" w:rsidRDefault="00DB7466" w:rsidP="00054EA8"/>
    <w:p w14:paraId="1A6F2DE3" w14:textId="77777777" w:rsidR="00DB7466" w:rsidRDefault="00DB7466" w:rsidP="00054EA8"/>
    <w:p w14:paraId="36401955" w14:textId="77777777" w:rsidR="00DB7466" w:rsidRDefault="00DB7466" w:rsidP="009A1FE6"/>
    <w:p w14:paraId="5418B0BD" w14:textId="77777777" w:rsidR="00DB7466" w:rsidRDefault="00DB7466" w:rsidP="008508D9"/>
    <w:p w14:paraId="52411ADA" w14:textId="77777777" w:rsidR="00DB7466" w:rsidRDefault="00DB7466" w:rsidP="002E3F59"/>
    <w:p w14:paraId="26AFEF05" w14:textId="77777777" w:rsidR="00DB7466" w:rsidRDefault="00DB7466" w:rsidP="003347C9"/>
    <w:p w14:paraId="467153C7" w14:textId="77777777" w:rsidR="00DB7466" w:rsidRDefault="00DB7466" w:rsidP="00DB01F5"/>
    <w:p w14:paraId="04A7E5A5" w14:textId="77777777" w:rsidR="00DB7466" w:rsidRDefault="00DB7466" w:rsidP="00816B51"/>
    <w:p w14:paraId="38219115" w14:textId="77777777" w:rsidR="00DB7466" w:rsidRDefault="00DB7466"/>
    <w:p w14:paraId="7AC7978F" w14:textId="77777777" w:rsidR="00DB7466" w:rsidRDefault="00DB7466"/>
    <w:p w14:paraId="560E4D59" w14:textId="77777777" w:rsidR="00DB7466" w:rsidRDefault="00DB7466" w:rsidP="00D26309"/>
    <w:p w14:paraId="7DBA27AB" w14:textId="77777777" w:rsidR="00DB7466" w:rsidRDefault="00DB7466" w:rsidP="00C2442C"/>
    <w:p w14:paraId="6990D13E" w14:textId="77777777" w:rsidR="00DB7466" w:rsidRDefault="00DB7466"/>
    <w:p w14:paraId="73B816C1" w14:textId="77777777" w:rsidR="00DB7466" w:rsidRDefault="00DB7466" w:rsidP="001361EB"/>
    <w:p w14:paraId="784DE524" w14:textId="77777777" w:rsidR="00DB7466" w:rsidRDefault="00DB7466"/>
    <w:p w14:paraId="5F5CA02B" w14:textId="77777777" w:rsidR="00DB7466" w:rsidRDefault="00DB7466" w:rsidP="003159DE"/>
    <w:p w14:paraId="7F7988D4" w14:textId="77777777" w:rsidR="00DB7466" w:rsidRDefault="00DB7466" w:rsidP="003159DE"/>
    <w:p w14:paraId="74832CD7" w14:textId="77777777" w:rsidR="00DB7466" w:rsidRDefault="00DB7466"/>
    <w:p w14:paraId="675C2FCF" w14:textId="77777777" w:rsidR="00DB7466" w:rsidRDefault="00DB7466"/>
    <w:p w14:paraId="56A31434" w14:textId="77777777" w:rsidR="00DB7466" w:rsidRDefault="00DB7466"/>
    <w:p w14:paraId="494B0055" w14:textId="77777777" w:rsidR="00DB7466" w:rsidRDefault="00DB7466" w:rsidP="00071B02"/>
    <w:p w14:paraId="5D5896DE" w14:textId="77777777" w:rsidR="00DB7466" w:rsidRDefault="00DB7466" w:rsidP="00071B02"/>
    <w:p w14:paraId="2AA0A242" w14:textId="77777777" w:rsidR="00DB7466" w:rsidRDefault="00DB7466"/>
    <w:p w14:paraId="3B7F1E07" w14:textId="77777777" w:rsidR="00ED71D7" w:rsidRDefault="00ED71D7"/>
    <w:p w14:paraId="12D60280" w14:textId="77777777" w:rsidR="00ED71D7" w:rsidRDefault="00ED71D7" w:rsidP="00D90A2B"/>
    <w:p w14:paraId="29BDBC54" w14:textId="77777777" w:rsidR="009248A6" w:rsidRDefault="009248A6"/>
    <w:p w14:paraId="35086DC2" w14:textId="77777777" w:rsidR="009248A6" w:rsidRDefault="009248A6" w:rsidP="005A34FE"/>
    <w:p w14:paraId="61CA7BB0" w14:textId="77777777" w:rsidR="009248A6" w:rsidRDefault="009248A6" w:rsidP="005125FE"/>
    <w:p w14:paraId="4DAB4334" w14:textId="77777777" w:rsidR="009248A6" w:rsidRDefault="009248A6" w:rsidP="007D2527"/>
    <w:p w14:paraId="003369AB" w14:textId="77777777" w:rsidR="009248A6" w:rsidRDefault="009248A6" w:rsidP="00C61D7E"/>
  </w:footnote>
  <w:footnote w:type="continuationSeparator" w:id="0">
    <w:p w14:paraId="3EE88D9A" w14:textId="77777777" w:rsidR="00DB7466" w:rsidRDefault="00DB7466" w:rsidP="00AD4EA1">
      <w:r>
        <w:continuationSeparator/>
      </w:r>
    </w:p>
    <w:p w14:paraId="7A8D11CD" w14:textId="77777777" w:rsidR="00DB7466" w:rsidRDefault="00DB7466" w:rsidP="00AD4EA1"/>
    <w:p w14:paraId="10F0E2E8" w14:textId="77777777" w:rsidR="00DB7466" w:rsidRDefault="00DB7466" w:rsidP="00AD4EA1"/>
    <w:p w14:paraId="043D9475" w14:textId="77777777" w:rsidR="00DB7466" w:rsidRDefault="00DB7466" w:rsidP="00AD4EA1"/>
    <w:p w14:paraId="49750C7E" w14:textId="77777777" w:rsidR="00DB7466" w:rsidRDefault="00DB7466" w:rsidP="00AD4EA1"/>
    <w:p w14:paraId="2A6D1C42" w14:textId="77777777" w:rsidR="00DB7466" w:rsidRDefault="00DB7466" w:rsidP="00AD4EA1"/>
    <w:p w14:paraId="36E1EBB1" w14:textId="77777777" w:rsidR="00DB7466" w:rsidRDefault="00DB7466" w:rsidP="00AD4EA1"/>
    <w:p w14:paraId="141BA55E" w14:textId="77777777" w:rsidR="00DB7466" w:rsidRDefault="00DB7466" w:rsidP="00AD4EA1"/>
    <w:p w14:paraId="03A3C63E" w14:textId="77777777" w:rsidR="00DB7466" w:rsidRDefault="00DB7466" w:rsidP="00AD4EA1"/>
    <w:p w14:paraId="3CF8E9C0" w14:textId="77777777" w:rsidR="00DB7466" w:rsidRDefault="00DB7466" w:rsidP="00AD4EA1"/>
    <w:p w14:paraId="342C518D" w14:textId="77777777" w:rsidR="00DB7466" w:rsidRDefault="00DB7466" w:rsidP="00AD4EA1"/>
    <w:p w14:paraId="23417028" w14:textId="77777777" w:rsidR="00DB7466" w:rsidRDefault="00DB7466" w:rsidP="00AD4EA1"/>
    <w:p w14:paraId="20787185" w14:textId="77777777" w:rsidR="00DB7466" w:rsidRDefault="00DB7466" w:rsidP="00AD4EA1"/>
    <w:p w14:paraId="47A7BDA1" w14:textId="77777777" w:rsidR="00DB7466" w:rsidRDefault="00DB7466" w:rsidP="00AD4EA1"/>
    <w:p w14:paraId="092299D1" w14:textId="77777777" w:rsidR="00DB7466" w:rsidRDefault="00DB7466" w:rsidP="00AD4EA1"/>
    <w:p w14:paraId="0F738F9D" w14:textId="77777777" w:rsidR="00DB7466" w:rsidRDefault="00DB7466" w:rsidP="00AD4EA1"/>
    <w:p w14:paraId="5F5945B6" w14:textId="77777777" w:rsidR="00DB7466" w:rsidRDefault="00DB7466" w:rsidP="00AD4EA1"/>
    <w:p w14:paraId="7ED4427C" w14:textId="77777777" w:rsidR="00DB7466" w:rsidRDefault="00DB7466" w:rsidP="00AD4EA1"/>
    <w:p w14:paraId="30079A6A" w14:textId="77777777" w:rsidR="00DB7466" w:rsidRDefault="00DB7466" w:rsidP="00AD4EA1"/>
    <w:p w14:paraId="2EBBA8A7" w14:textId="77777777" w:rsidR="00DB7466" w:rsidRDefault="00DB7466" w:rsidP="00AD4EA1"/>
    <w:p w14:paraId="7041E7D4" w14:textId="77777777" w:rsidR="00DB7466" w:rsidRDefault="00DB7466" w:rsidP="00AD4EA1"/>
    <w:p w14:paraId="2B67B610" w14:textId="77777777" w:rsidR="00DB7466" w:rsidRDefault="00DB7466" w:rsidP="00AD4EA1"/>
    <w:p w14:paraId="44C05C01" w14:textId="77777777" w:rsidR="00DB7466" w:rsidRDefault="00DB7466" w:rsidP="00AD4EA1"/>
    <w:p w14:paraId="22966430" w14:textId="77777777" w:rsidR="00DB7466" w:rsidRDefault="00DB7466" w:rsidP="00AD4EA1"/>
    <w:p w14:paraId="7E8E4666" w14:textId="77777777" w:rsidR="00DB7466" w:rsidRDefault="00DB7466" w:rsidP="00AD4EA1"/>
    <w:p w14:paraId="332FA367" w14:textId="77777777" w:rsidR="00DB7466" w:rsidRDefault="00DB7466" w:rsidP="00AD4EA1"/>
    <w:p w14:paraId="459C7312" w14:textId="77777777" w:rsidR="00DB7466" w:rsidRDefault="00DB7466" w:rsidP="00AD4EA1"/>
    <w:p w14:paraId="1DF74C6A" w14:textId="77777777" w:rsidR="00DB7466" w:rsidRDefault="00DB7466" w:rsidP="00AD4EA1"/>
    <w:p w14:paraId="333B2DF0" w14:textId="77777777" w:rsidR="00DB7466" w:rsidRDefault="00DB7466" w:rsidP="00AD4EA1"/>
    <w:p w14:paraId="005E2935" w14:textId="77777777" w:rsidR="00DB7466" w:rsidRDefault="00DB7466" w:rsidP="00AD4EA1"/>
    <w:p w14:paraId="375F81A3" w14:textId="77777777" w:rsidR="00DB7466" w:rsidRDefault="00DB7466" w:rsidP="00AD4EA1"/>
    <w:p w14:paraId="65FD2A92" w14:textId="77777777" w:rsidR="00DB7466" w:rsidRDefault="00DB7466" w:rsidP="00AD4EA1"/>
    <w:p w14:paraId="3C5721E5" w14:textId="77777777" w:rsidR="00DB7466" w:rsidRDefault="00DB7466" w:rsidP="00AD4EA1"/>
    <w:p w14:paraId="75BC1585" w14:textId="77777777" w:rsidR="00DB7466" w:rsidRDefault="00DB7466" w:rsidP="00AD4EA1"/>
    <w:p w14:paraId="4B928C85" w14:textId="77777777" w:rsidR="00DB7466" w:rsidRDefault="00DB7466" w:rsidP="00AD4EA1"/>
    <w:p w14:paraId="5025B83C" w14:textId="77777777" w:rsidR="00DB7466" w:rsidRDefault="00DB7466" w:rsidP="00AD4EA1"/>
    <w:p w14:paraId="5219C18B" w14:textId="77777777" w:rsidR="00DB7466" w:rsidRDefault="00DB7466" w:rsidP="00AD4EA1"/>
    <w:p w14:paraId="4122D2FA" w14:textId="77777777" w:rsidR="00DB7466" w:rsidRDefault="00DB7466" w:rsidP="00AD4EA1"/>
    <w:p w14:paraId="7004A6B8" w14:textId="77777777" w:rsidR="00DB7466" w:rsidRDefault="00DB7466" w:rsidP="00AD4EA1"/>
    <w:p w14:paraId="7D7CE23E" w14:textId="77777777" w:rsidR="00DB7466" w:rsidRDefault="00DB7466" w:rsidP="00AD4EA1"/>
    <w:p w14:paraId="3B00590A" w14:textId="77777777" w:rsidR="00DB7466" w:rsidRDefault="00DB7466" w:rsidP="00AD4EA1"/>
    <w:p w14:paraId="1764997F" w14:textId="77777777" w:rsidR="00DB7466" w:rsidRDefault="00DB7466" w:rsidP="00AD4EA1"/>
    <w:p w14:paraId="09614DD8" w14:textId="77777777" w:rsidR="00DB7466" w:rsidRDefault="00DB7466" w:rsidP="00AD4EA1"/>
    <w:p w14:paraId="74F40D7D" w14:textId="77777777" w:rsidR="00DB7466" w:rsidRDefault="00DB7466" w:rsidP="00AD4EA1"/>
    <w:p w14:paraId="51B67330" w14:textId="77777777" w:rsidR="00DB7466" w:rsidRDefault="00DB7466" w:rsidP="00AD4EA1"/>
    <w:p w14:paraId="5F6DDF2A" w14:textId="77777777" w:rsidR="00DB7466" w:rsidRDefault="00DB7466" w:rsidP="00AD4EA1"/>
    <w:p w14:paraId="15172939" w14:textId="77777777" w:rsidR="00DB7466" w:rsidRDefault="00DB7466" w:rsidP="00AD4EA1"/>
    <w:p w14:paraId="349536D1" w14:textId="77777777" w:rsidR="00DB7466" w:rsidRDefault="00DB7466" w:rsidP="00AD4EA1"/>
    <w:p w14:paraId="5B64B1DD" w14:textId="77777777" w:rsidR="00DB7466" w:rsidRDefault="00DB7466" w:rsidP="00AD4EA1"/>
    <w:p w14:paraId="41083F21" w14:textId="77777777" w:rsidR="00DB7466" w:rsidRDefault="00DB7466" w:rsidP="00AD4EA1"/>
    <w:p w14:paraId="746AB8A4" w14:textId="77777777" w:rsidR="00DB7466" w:rsidRDefault="00DB7466" w:rsidP="00AD4EA1"/>
    <w:p w14:paraId="3D3A5BBF" w14:textId="77777777" w:rsidR="00DB7466" w:rsidRDefault="00DB7466" w:rsidP="00AD4EA1"/>
    <w:p w14:paraId="02DE8515" w14:textId="77777777" w:rsidR="00DB7466" w:rsidRDefault="00DB7466" w:rsidP="00AD4EA1"/>
    <w:p w14:paraId="2DA4302D" w14:textId="77777777" w:rsidR="00DB7466" w:rsidRDefault="00DB7466" w:rsidP="00AD4EA1"/>
    <w:p w14:paraId="0ED8F503" w14:textId="77777777" w:rsidR="00DB7466" w:rsidRDefault="00DB7466" w:rsidP="00AD4EA1"/>
    <w:p w14:paraId="343C2339" w14:textId="77777777" w:rsidR="00DB7466" w:rsidRDefault="00DB7466" w:rsidP="00AD4EA1"/>
    <w:p w14:paraId="021FFEDA" w14:textId="77777777" w:rsidR="00DB7466" w:rsidRDefault="00DB7466" w:rsidP="00AD4EA1"/>
    <w:p w14:paraId="2080AD11" w14:textId="77777777" w:rsidR="00DB7466" w:rsidRDefault="00DB7466" w:rsidP="00AD4EA1"/>
    <w:p w14:paraId="037C1DAE" w14:textId="77777777" w:rsidR="00DB7466" w:rsidRDefault="00DB7466" w:rsidP="00AD4EA1"/>
    <w:p w14:paraId="4B8B3EAD" w14:textId="77777777" w:rsidR="00DB7466" w:rsidRDefault="00DB7466" w:rsidP="00AD4EA1"/>
    <w:p w14:paraId="37F061F8" w14:textId="77777777" w:rsidR="00DB7466" w:rsidRDefault="00DB7466" w:rsidP="00AD4EA1"/>
    <w:p w14:paraId="1BEB28E2" w14:textId="77777777" w:rsidR="00DB7466" w:rsidRDefault="00DB7466" w:rsidP="00AD4EA1"/>
    <w:p w14:paraId="278C2C03" w14:textId="77777777" w:rsidR="00DB7466" w:rsidRDefault="00DB7466" w:rsidP="00AD4EA1"/>
    <w:p w14:paraId="478134A0" w14:textId="77777777" w:rsidR="00DB7466" w:rsidRDefault="00DB7466" w:rsidP="00AD4EA1"/>
    <w:p w14:paraId="42CCA72E" w14:textId="77777777" w:rsidR="00DB7466" w:rsidRDefault="00DB7466" w:rsidP="00AD4EA1"/>
    <w:p w14:paraId="40366D5F" w14:textId="77777777" w:rsidR="00DB7466" w:rsidRDefault="00DB7466" w:rsidP="00AD4EA1"/>
    <w:p w14:paraId="030EB14E" w14:textId="77777777" w:rsidR="00DB7466" w:rsidRDefault="00DB7466" w:rsidP="00AD4EA1"/>
    <w:p w14:paraId="65B49E01" w14:textId="77777777" w:rsidR="00DB7466" w:rsidRDefault="00DB7466" w:rsidP="00AD4EA1"/>
    <w:p w14:paraId="5D1E6DB2" w14:textId="77777777" w:rsidR="00DB7466" w:rsidRDefault="00DB7466" w:rsidP="00AD4EA1"/>
    <w:p w14:paraId="736334A1" w14:textId="77777777" w:rsidR="00DB7466" w:rsidRDefault="00DB7466" w:rsidP="00AD4EA1"/>
    <w:p w14:paraId="3FE70511" w14:textId="77777777" w:rsidR="00DB7466" w:rsidRDefault="00DB7466" w:rsidP="00AD4EA1"/>
    <w:p w14:paraId="1CBA2B54" w14:textId="77777777" w:rsidR="00DB7466" w:rsidRDefault="00DB7466" w:rsidP="00AD4EA1"/>
    <w:p w14:paraId="2D1CFA4D" w14:textId="77777777" w:rsidR="00DB7466" w:rsidRDefault="00DB7466" w:rsidP="00AD4EA1"/>
    <w:p w14:paraId="4BBB2C12" w14:textId="77777777" w:rsidR="00DB7466" w:rsidRDefault="00DB7466" w:rsidP="00AD4EA1"/>
    <w:p w14:paraId="66968F0B" w14:textId="77777777" w:rsidR="00DB7466" w:rsidRDefault="00DB7466" w:rsidP="00AD4EA1"/>
    <w:p w14:paraId="38FA9767" w14:textId="77777777" w:rsidR="00DB7466" w:rsidRDefault="00DB7466" w:rsidP="00AD4EA1"/>
    <w:p w14:paraId="008F0E4F" w14:textId="77777777" w:rsidR="00DB7466" w:rsidRDefault="00DB7466" w:rsidP="00AD4EA1"/>
    <w:p w14:paraId="0B248F8B" w14:textId="77777777" w:rsidR="00DB7466" w:rsidRDefault="00DB7466" w:rsidP="00AD4EA1"/>
    <w:p w14:paraId="14A38CBC" w14:textId="77777777" w:rsidR="00DB7466" w:rsidRDefault="00DB7466" w:rsidP="00AD4EA1"/>
    <w:p w14:paraId="615AC0FA" w14:textId="77777777" w:rsidR="00DB7466" w:rsidRDefault="00DB7466" w:rsidP="00AD4EA1"/>
    <w:p w14:paraId="71AA339C" w14:textId="77777777" w:rsidR="00DB7466" w:rsidRDefault="00DB7466" w:rsidP="00AD4EA1"/>
    <w:p w14:paraId="298AE8B3" w14:textId="77777777" w:rsidR="00DB7466" w:rsidRDefault="00DB7466" w:rsidP="00AD4EA1"/>
    <w:p w14:paraId="510DECC6" w14:textId="77777777" w:rsidR="00DB7466" w:rsidRDefault="00DB7466" w:rsidP="00AD4EA1"/>
    <w:p w14:paraId="1E41484A" w14:textId="77777777" w:rsidR="00DB7466" w:rsidRDefault="00DB7466" w:rsidP="00AD4EA1"/>
    <w:p w14:paraId="497F08FD" w14:textId="77777777" w:rsidR="00DB7466" w:rsidRDefault="00DB7466" w:rsidP="00AD4EA1"/>
    <w:p w14:paraId="29889E0A" w14:textId="77777777" w:rsidR="00DB7466" w:rsidRDefault="00DB7466" w:rsidP="00AD4EA1"/>
    <w:p w14:paraId="7923AE16" w14:textId="77777777" w:rsidR="00DB7466" w:rsidRDefault="00DB7466" w:rsidP="00AD4EA1"/>
    <w:p w14:paraId="68DA74A1" w14:textId="77777777" w:rsidR="00DB7466" w:rsidRDefault="00DB7466" w:rsidP="00AD4EA1"/>
    <w:p w14:paraId="1FB94165" w14:textId="77777777" w:rsidR="00DB7466" w:rsidRDefault="00DB7466" w:rsidP="00AD4EA1"/>
    <w:p w14:paraId="210E91AA" w14:textId="77777777" w:rsidR="00DB7466" w:rsidRDefault="00DB7466" w:rsidP="00AD4EA1"/>
    <w:p w14:paraId="46F6F5A8" w14:textId="77777777" w:rsidR="00DB7466" w:rsidRDefault="00DB7466" w:rsidP="00AD4EA1"/>
    <w:p w14:paraId="0B3B1224" w14:textId="77777777" w:rsidR="00DB7466" w:rsidRDefault="00DB7466" w:rsidP="00AD4EA1"/>
    <w:p w14:paraId="743395F7" w14:textId="77777777" w:rsidR="00DB7466" w:rsidRDefault="00DB7466" w:rsidP="00AD4EA1"/>
    <w:p w14:paraId="7A0D08FB" w14:textId="77777777" w:rsidR="00DB7466" w:rsidRDefault="00DB7466" w:rsidP="00AD4EA1"/>
    <w:p w14:paraId="611E86E2" w14:textId="77777777" w:rsidR="00DB7466" w:rsidRDefault="00DB7466" w:rsidP="00AD4EA1"/>
    <w:p w14:paraId="6B29761F" w14:textId="77777777" w:rsidR="00DB7466" w:rsidRDefault="00DB7466" w:rsidP="00AD4EA1"/>
    <w:p w14:paraId="30A5844A" w14:textId="77777777" w:rsidR="00DB7466" w:rsidRDefault="00DB7466" w:rsidP="00AD4EA1"/>
    <w:p w14:paraId="58D0DCA1" w14:textId="77777777" w:rsidR="00DB7466" w:rsidRDefault="00DB7466" w:rsidP="00AD4EA1"/>
    <w:p w14:paraId="5FACECD8" w14:textId="77777777" w:rsidR="00DB7466" w:rsidRDefault="00DB7466" w:rsidP="00AD4EA1"/>
    <w:p w14:paraId="08070AF1" w14:textId="77777777" w:rsidR="00DB7466" w:rsidRDefault="00DB7466" w:rsidP="00AD4EA1"/>
    <w:p w14:paraId="113B6551" w14:textId="77777777" w:rsidR="00DB7466" w:rsidRDefault="00DB7466" w:rsidP="00AD4EA1"/>
    <w:p w14:paraId="2EAA9CE2" w14:textId="77777777" w:rsidR="00DB7466" w:rsidRDefault="00DB7466" w:rsidP="00AD4EA1"/>
    <w:p w14:paraId="62515660" w14:textId="77777777" w:rsidR="00DB7466" w:rsidRDefault="00DB7466" w:rsidP="00AD4EA1"/>
    <w:p w14:paraId="656B9DA1" w14:textId="77777777" w:rsidR="00DB7466" w:rsidRDefault="00DB7466" w:rsidP="00AD4EA1"/>
    <w:p w14:paraId="6C8B13E2" w14:textId="77777777" w:rsidR="00DB7466" w:rsidRDefault="00DB7466" w:rsidP="00AD4EA1"/>
    <w:p w14:paraId="2E86C29C" w14:textId="77777777" w:rsidR="00DB7466" w:rsidRDefault="00DB7466" w:rsidP="00AD4EA1"/>
    <w:p w14:paraId="02E497BE" w14:textId="77777777" w:rsidR="00DB7466" w:rsidRDefault="00DB7466" w:rsidP="00AD4EA1"/>
    <w:p w14:paraId="169E08ED" w14:textId="77777777" w:rsidR="00DB7466" w:rsidRDefault="00DB7466" w:rsidP="00AD4EA1"/>
    <w:p w14:paraId="47C928B8" w14:textId="77777777" w:rsidR="00DB7466" w:rsidRDefault="00DB7466" w:rsidP="00AD4EA1"/>
    <w:p w14:paraId="0B2BE34E" w14:textId="77777777" w:rsidR="00DB7466" w:rsidRDefault="00DB7466" w:rsidP="00AD4EA1"/>
    <w:p w14:paraId="2DBBCD40" w14:textId="77777777" w:rsidR="00DB7466" w:rsidRDefault="00DB7466" w:rsidP="00AD4EA1"/>
    <w:p w14:paraId="18BDE6A5" w14:textId="77777777" w:rsidR="00DB7466" w:rsidRDefault="00DB7466" w:rsidP="00AD4EA1"/>
    <w:p w14:paraId="48460BFA" w14:textId="77777777" w:rsidR="00DB7466" w:rsidRDefault="00DB7466" w:rsidP="00AD4EA1"/>
    <w:p w14:paraId="42464CF6" w14:textId="77777777" w:rsidR="00DB7466" w:rsidRDefault="00DB7466" w:rsidP="00AD4EA1"/>
    <w:p w14:paraId="1E035CB9" w14:textId="77777777" w:rsidR="00DB7466" w:rsidRDefault="00DB7466" w:rsidP="00AD4EA1"/>
    <w:p w14:paraId="0208F981" w14:textId="77777777" w:rsidR="00DB7466" w:rsidRDefault="00DB7466" w:rsidP="00AD4EA1"/>
    <w:p w14:paraId="2D588A9A" w14:textId="77777777" w:rsidR="00DB7466" w:rsidRDefault="00DB7466" w:rsidP="00AD4EA1"/>
    <w:p w14:paraId="38CA0D64" w14:textId="77777777" w:rsidR="00DB7466" w:rsidRDefault="00DB7466" w:rsidP="00AD4EA1"/>
    <w:p w14:paraId="3A707ED5" w14:textId="77777777" w:rsidR="00DB7466" w:rsidRDefault="00DB7466" w:rsidP="00AD4EA1"/>
    <w:p w14:paraId="08BE927D" w14:textId="77777777" w:rsidR="00DB7466" w:rsidRDefault="00DB7466" w:rsidP="00AD4EA1"/>
    <w:p w14:paraId="12068879" w14:textId="77777777" w:rsidR="00DB7466" w:rsidRDefault="00DB7466" w:rsidP="00AD4EA1"/>
    <w:p w14:paraId="1FAE533D" w14:textId="77777777" w:rsidR="00DB7466" w:rsidRDefault="00DB7466" w:rsidP="00AD4EA1"/>
    <w:p w14:paraId="7DBC175C" w14:textId="77777777" w:rsidR="00DB7466" w:rsidRDefault="00DB7466" w:rsidP="00AD4EA1"/>
    <w:p w14:paraId="33D91A36" w14:textId="77777777" w:rsidR="00DB7466" w:rsidRDefault="00DB7466" w:rsidP="00AD4EA1"/>
    <w:p w14:paraId="2ACF51C6" w14:textId="77777777" w:rsidR="00DB7466" w:rsidRDefault="00DB7466" w:rsidP="00AD4EA1"/>
    <w:p w14:paraId="6E80EFB2" w14:textId="77777777" w:rsidR="00DB7466" w:rsidRDefault="00DB7466" w:rsidP="00AD4EA1"/>
    <w:p w14:paraId="6378668A" w14:textId="77777777" w:rsidR="00DB7466" w:rsidRDefault="00DB7466" w:rsidP="00AD4EA1"/>
    <w:p w14:paraId="1D02A51C" w14:textId="77777777" w:rsidR="00DB7466" w:rsidRDefault="00DB7466" w:rsidP="00AD4EA1"/>
    <w:p w14:paraId="0984E902" w14:textId="77777777" w:rsidR="00DB7466" w:rsidRDefault="00DB7466" w:rsidP="00AD4EA1"/>
    <w:p w14:paraId="4AEBB04B" w14:textId="77777777" w:rsidR="00DB7466" w:rsidRDefault="00DB7466" w:rsidP="00AD4EA1"/>
    <w:p w14:paraId="4ED6FA6C" w14:textId="77777777" w:rsidR="00DB7466" w:rsidRDefault="00DB7466" w:rsidP="00AD4EA1"/>
    <w:p w14:paraId="2851DE86" w14:textId="77777777" w:rsidR="00DB7466" w:rsidRDefault="00DB7466" w:rsidP="00AD4EA1"/>
    <w:p w14:paraId="67D273A0" w14:textId="77777777" w:rsidR="00DB7466" w:rsidRDefault="00DB7466" w:rsidP="00AD4EA1"/>
    <w:p w14:paraId="0FAA9CC4" w14:textId="77777777" w:rsidR="00DB7466" w:rsidRDefault="00DB7466" w:rsidP="00AD4EA1"/>
    <w:p w14:paraId="1F4CC44D" w14:textId="77777777" w:rsidR="00DB7466" w:rsidRDefault="00DB7466" w:rsidP="00AD4EA1"/>
    <w:p w14:paraId="5F13812F" w14:textId="77777777" w:rsidR="00DB7466" w:rsidRDefault="00DB7466" w:rsidP="00AD4EA1"/>
    <w:p w14:paraId="0A4FBF4B" w14:textId="77777777" w:rsidR="00DB7466" w:rsidRDefault="00DB7466" w:rsidP="00AD4EA1"/>
    <w:p w14:paraId="306A6435" w14:textId="77777777" w:rsidR="00DB7466" w:rsidRDefault="00DB7466" w:rsidP="00AD4EA1"/>
    <w:p w14:paraId="7C93156C" w14:textId="77777777" w:rsidR="00DB7466" w:rsidRDefault="00DB7466" w:rsidP="00AD4EA1"/>
    <w:p w14:paraId="31A9DE13" w14:textId="77777777" w:rsidR="00DB7466" w:rsidRDefault="00DB7466" w:rsidP="00AD4EA1"/>
    <w:p w14:paraId="5CB952E5" w14:textId="77777777" w:rsidR="00DB7466" w:rsidRDefault="00DB7466" w:rsidP="00AD4EA1"/>
    <w:p w14:paraId="4CAE0CC8" w14:textId="77777777" w:rsidR="00DB7466" w:rsidRDefault="00DB7466" w:rsidP="00AD4EA1"/>
    <w:p w14:paraId="4C2D3C95" w14:textId="77777777" w:rsidR="00DB7466" w:rsidRDefault="00DB7466" w:rsidP="00AD4EA1"/>
    <w:p w14:paraId="7E79F77E" w14:textId="77777777" w:rsidR="00DB7466" w:rsidRDefault="00DB7466" w:rsidP="00AD4EA1"/>
    <w:p w14:paraId="28189509" w14:textId="77777777" w:rsidR="00DB7466" w:rsidRDefault="00DB7466" w:rsidP="00AD4EA1"/>
    <w:p w14:paraId="521A4246" w14:textId="77777777" w:rsidR="00DB7466" w:rsidRDefault="00DB7466" w:rsidP="00AD4EA1"/>
    <w:p w14:paraId="546D669F" w14:textId="77777777" w:rsidR="00DB7466" w:rsidRDefault="00DB7466" w:rsidP="00AD4EA1"/>
    <w:p w14:paraId="0406D0E2" w14:textId="77777777" w:rsidR="00DB7466" w:rsidRDefault="00DB7466" w:rsidP="00AD4EA1"/>
    <w:p w14:paraId="14882FE4" w14:textId="77777777" w:rsidR="00DB7466" w:rsidRDefault="00DB7466" w:rsidP="00AD4EA1"/>
    <w:p w14:paraId="47A203BC" w14:textId="77777777" w:rsidR="00DB7466" w:rsidRDefault="00DB7466" w:rsidP="00AD4EA1"/>
    <w:p w14:paraId="2D762F32" w14:textId="77777777" w:rsidR="00DB7466" w:rsidRDefault="00DB7466" w:rsidP="00AD4EA1"/>
    <w:p w14:paraId="29FD5A39" w14:textId="77777777" w:rsidR="00DB7466" w:rsidRDefault="00DB7466" w:rsidP="00AD4EA1"/>
    <w:p w14:paraId="777AF400" w14:textId="77777777" w:rsidR="00DB7466" w:rsidRDefault="00DB7466" w:rsidP="00AD4EA1"/>
    <w:p w14:paraId="42EFA627" w14:textId="77777777" w:rsidR="00DB7466" w:rsidRDefault="00DB7466" w:rsidP="00AD4EA1"/>
    <w:p w14:paraId="7EC5ED45" w14:textId="77777777" w:rsidR="00DB7466" w:rsidRDefault="00DB7466" w:rsidP="00AD4EA1"/>
    <w:p w14:paraId="0A2C7EBC" w14:textId="77777777" w:rsidR="00DB7466" w:rsidRDefault="00DB7466" w:rsidP="00AD4EA1"/>
    <w:p w14:paraId="68069FC7" w14:textId="77777777" w:rsidR="00DB7466" w:rsidRDefault="00DB7466" w:rsidP="00AD4EA1"/>
    <w:p w14:paraId="612C78F2" w14:textId="77777777" w:rsidR="00DB7466" w:rsidRDefault="00DB7466" w:rsidP="00AD4EA1"/>
    <w:p w14:paraId="0228CC16" w14:textId="77777777" w:rsidR="00DB7466" w:rsidRDefault="00DB7466" w:rsidP="00AD4EA1"/>
    <w:p w14:paraId="722A183E" w14:textId="77777777" w:rsidR="00DB7466" w:rsidRDefault="00DB7466" w:rsidP="00AD4EA1"/>
    <w:p w14:paraId="53F101D4" w14:textId="77777777" w:rsidR="00DB7466" w:rsidRDefault="00DB7466" w:rsidP="00AD4EA1"/>
    <w:p w14:paraId="5FE003CC" w14:textId="77777777" w:rsidR="00DB7466" w:rsidRDefault="00DB7466" w:rsidP="00AD4EA1"/>
    <w:p w14:paraId="2FFE8486" w14:textId="77777777" w:rsidR="00DB7466" w:rsidRDefault="00DB7466" w:rsidP="00AD4EA1"/>
    <w:p w14:paraId="522ED33C" w14:textId="77777777" w:rsidR="00DB7466" w:rsidRDefault="00DB7466" w:rsidP="00AD4EA1"/>
    <w:p w14:paraId="696A745E" w14:textId="77777777" w:rsidR="00DB7466" w:rsidRDefault="00DB7466" w:rsidP="00AD4EA1"/>
    <w:p w14:paraId="33FF369B" w14:textId="77777777" w:rsidR="00DB7466" w:rsidRDefault="00DB7466" w:rsidP="00AD4EA1"/>
    <w:p w14:paraId="60DEA6D5" w14:textId="77777777" w:rsidR="00DB7466" w:rsidRDefault="00DB7466" w:rsidP="00AD4EA1"/>
    <w:p w14:paraId="58B32101" w14:textId="77777777" w:rsidR="00DB7466" w:rsidRDefault="00DB7466" w:rsidP="00AD4EA1"/>
    <w:p w14:paraId="6B060538" w14:textId="77777777" w:rsidR="00DB7466" w:rsidRDefault="00DB7466" w:rsidP="00AD4EA1"/>
    <w:p w14:paraId="610317B9" w14:textId="77777777" w:rsidR="00DB7466" w:rsidRDefault="00DB7466" w:rsidP="00AD4EA1"/>
    <w:p w14:paraId="4EB20114" w14:textId="77777777" w:rsidR="00DB7466" w:rsidRDefault="00DB7466" w:rsidP="00AD4EA1"/>
    <w:p w14:paraId="1DE0332F" w14:textId="77777777" w:rsidR="00DB7466" w:rsidRDefault="00DB7466" w:rsidP="00AD4EA1"/>
    <w:p w14:paraId="3D186086" w14:textId="77777777" w:rsidR="00DB7466" w:rsidRDefault="00DB7466" w:rsidP="00AD4EA1"/>
    <w:p w14:paraId="6B3BD556" w14:textId="77777777" w:rsidR="00DB7466" w:rsidRDefault="00DB7466" w:rsidP="00AD4EA1"/>
    <w:p w14:paraId="71742A38" w14:textId="77777777" w:rsidR="00DB7466" w:rsidRDefault="00DB7466" w:rsidP="00AD4EA1"/>
    <w:p w14:paraId="1084886E" w14:textId="77777777" w:rsidR="00DB7466" w:rsidRDefault="00DB7466" w:rsidP="00AD4EA1"/>
    <w:p w14:paraId="47728E98" w14:textId="77777777" w:rsidR="00DB7466" w:rsidRDefault="00DB7466" w:rsidP="00AD4EA1"/>
    <w:p w14:paraId="10D5449F" w14:textId="77777777" w:rsidR="00DB7466" w:rsidRDefault="00DB7466" w:rsidP="00AD4EA1"/>
    <w:p w14:paraId="60B654B6" w14:textId="77777777" w:rsidR="00DB7466" w:rsidRDefault="00DB7466" w:rsidP="00AD4EA1"/>
    <w:p w14:paraId="4DDCB8DC" w14:textId="77777777" w:rsidR="00DB7466" w:rsidRDefault="00DB7466" w:rsidP="00AD4EA1"/>
    <w:p w14:paraId="27ACBB98" w14:textId="77777777" w:rsidR="00DB7466" w:rsidRDefault="00DB7466" w:rsidP="00AD4EA1"/>
    <w:p w14:paraId="28A590BC" w14:textId="77777777" w:rsidR="00DB7466" w:rsidRDefault="00DB7466" w:rsidP="00AD4EA1"/>
    <w:p w14:paraId="72AE3FF4" w14:textId="77777777" w:rsidR="00DB7466" w:rsidRDefault="00DB7466" w:rsidP="00AD4EA1"/>
    <w:p w14:paraId="21D874AB" w14:textId="77777777" w:rsidR="00DB7466" w:rsidRDefault="00DB7466" w:rsidP="00AD4EA1"/>
    <w:p w14:paraId="080095DF" w14:textId="77777777" w:rsidR="00DB7466" w:rsidRDefault="00DB7466" w:rsidP="00AD4EA1"/>
    <w:p w14:paraId="19824602" w14:textId="77777777" w:rsidR="00DB7466" w:rsidRDefault="00DB7466" w:rsidP="00AD4EA1"/>
    <w:p w14:paraId="35C484D5" w14:textId="77777777" w:rsidR="00DB7466" w:rsidRDefault="00DB7466" w:rsidP="00AD4EA1"/>
    <w:p w14:paraId="4F28AB81" w14:textId="77777777" w:rsidR="00DB7466" w:rsidRDefault="00DB7466" w:rsidP="00AD4EA1"/>
    <w:p w14:paraId="664862AE" w14:textId="77777777" w:rsidR="00DB7466" w:rsidRDefault="00DB7466" w:rsidP="00AD4EA1"/>
    <w:p w14:paraId="01FE9FDB" w14:textId="77777777" w:rsidR="00DB7466" w:rsidRDefault="00DB7466" w:rsidP="00AD4EA1"/>
    <w:p w14:paraId="20474497" w14:textId="77777777" w:rsidR="00DB7466" w:rsidRDefault="00DB7466" w:rsidP="00AD4EA1"/>
    <w:p w14:paraId="691F18E4" w14:textId="77777777" w:rsidR="00DB7466" w:rsidRDefault="00DB7466" w:rsidP="00AD4EA1"/>
    <w:p w14:paraId="690AD0F8" w14:textId="77777777" w:rsidR="00DB7466" w:rsidRDefault="00DB7466" w:rsidP="00AD4EA1"/>
    <w:p w14:paraId="5EFFBABE" w14:textId="77777777" w:rsidR="00DB7466" w:rsidRDefault="00DB7466" w:rsidP="00AD4EA1"/>
    <w:p w14:paraId="13AC0682" w14:textId="77777777" w:rsidR="00DB7466" w:rsidRDefault="00DB7466" w:rsidP="00AD4EA1"/>
    <w:p w14:paraId="498269E4" w14:textId="77777777" w:rsidR="00DB7466" w:rsidRDefault="00DB7466" w:rsidP="00AD4EA1"/>
    <w:p w14:paraId="2B25204D" w14:textId="77777777" w:rsidR="00DB7466" w:rsidRDefault="00DB7466" w:rsidP="00AD4EA1"/>
    <w:p w14:paraId="4A5506F5" w14:textId="77777777" w:rsidR="00DB7466" w:rsidRDefault="00DB7466" w:rsidP="00AD4EA1"/>
    <w:p w14:paraId="3AF8CECE" w14:textId="77777777" w:rsidR="00DB7466" w:rsidRDefault="00DB7466" w:rsidP="00AD4EA1"/>
    <w:p w14:paraId="76227A97" w14:textId="77777777" w:rsidR="00DB7466" w:rsidRDefault="00DB7466" w:rsidP="00AD4EA1"/>
    <w:p w14:paraId="23C5F72E" w14:textId="77777777" w:rsidR="00DB7466" w:rsidRDefault="00DB7466" w:rsidP="00AD4EA1"/>
    <w:p w14:paraId="7CA87128" w14:textId="77777777" w:rsidR="00DB7466" w:rsidRDefault="00DB7466" w:rsidP="00AD4EA1"/>
    <w:p w14:paraId="6509F661" w14:textId="77777777" w:rsidR="00DB7466" w:rsidRDefault="00DB7466" w:rsidP="00AD4EA1"/>
    <w:p w14:paraId="4A3DC1FA" w14:textId="77777777" w:rsidR="00DB7466" w:rsidRDefault="00DB7466" w:rsidP="00AD4EA1"/>
    <w:p w14:paraId="3E476C63" w14:textId="77777777" w:rsidR="00DB7466" w:rsidRDefault="00DB7466" w:rsidP="00AD4EA1"/>
    <w:p w14:paraId="5515E044" w14:textId="77777777" w:rsidR="00DB7466" w:rsidRDefault="00DB7466" w:rsidP="00AD4EA1"/>
    <w:p w14:paraId="4349636D" w14:textId="77777777" w:rsidR="00DB7466" w:rsidRDefault="00DB7466" w:rsidP="00AD4EA1"/>
    <w:p w14:paraId="71781474" w14:textId="77777777" w:rsidR="00DB7466" w:rsidRDefault="00DB7466" w:rsidP="00AD4EA1"/>
    <w:p w14:paraId="26B58766" w14:textId="77777777" w:rsidR="00DB7466" w:rsidRDefault="00DB7466" w:rsidP="00AD4EA1"/>
    <w:p w14:paraId="1D182534" w14:textId="77777777" w:rsidR="00DB7466" w:rsidRDefault="00DB7466" w:rsidP="00AD4EA1"/>
    <w:p w14:paraId="42580ADD" w14:textId="77777777" w:rsidR="00DB7466" w:rsidRDefault="00DB7466" w:rsidP="00AD4EA1"/>
    <w:p w14:paraId="46A5AB5C" w14:textId="77777777" w:rsidR="00DB7466" w:rsidRDefault="00DB7466" w:rsidP="00AD4EA1"/>
    <w:p w14:paraId="5CABB18D" w14:textId="77777777" w:rsidR="00DB7466" w:rsidRDefault="00DB7466" w:rsidP="00AD4EA1"/>
    <w:p w14:paraId="41C752DA" w14:textId="77777777" w:rsidR="00DB7466" w:rsidRDefault="00DB7466" w:rsidP="00AD4EA1"/>
    <w:p w14:paraId="16C24CDD" w14:textId="77777777" w:rsidR="00DB7466" w:rsidRDefault="00DB7466" w:rsidP="00AD4EA1"/>
    <w:p w14:paraId="370B81B1" w14:textId="77777777" w:rsidR="00DB7466" w:rsidRDefault="00DB7466" w:rsidP="00AD4EA1"/>
    <w:p w14:paraId="4F7B411C" w14:textId="77777777" w:rsidR="00DB7466" w:rsidRDefault="00DB7466" w:rsidP="00AD4EA1"/>
    <w:p w14:paraId="467DB8E5" w14:textId="77777777" w:rsidR="00DB7466" w:rsidRDefault="00DB7466" w:rsidP="00AD4EA1"/>
    <w:p w14:paraId="602B0E58" w14:textId="77777777" w:rsidR="00DB7466" w:rsidRDefault="00DB7466" w:rsidP="00AD4EA1"/>
    <w:p w14:paraId="6ED2280C" w14:textId="77777777" w:rsidR="00DB7466" w:rsidRDefault="00DB7466" w:rsidP="00AD4EA1"/>
    <w:p w14:paraId="0F574BA6" w14:textId="77777777" w:rsidR="00DB7466" w:rsidRDefault="00DB7466" w:rsidP="00AD4EA1"/>
    <w:p w14:paraId="22FDD960" w14:textId="77777777" w:rsidR="00DB7466" w:rsidRDefault="00DB7466" w:rsidP="00AD4EA1"/>
    <w:p w14:paraId="7F8908F2" w14:textId="77777777" w:rsidR="00DB7466" w:rsidRDefault="00DB7466" w:rsidP="00AD4EA1"/>
    <w:p w14:paraId="47291A49" w14:textId="77777777" w:rsidR="00DB7466" w:rsidRDefault="00DB7466" w:rsidP="00AD4EA1"/>
    <w:p w14:paraId="0EE22B6E" w14:textId="77777777" w:rsidR="00DB7466" w:rsidRDefault="00DB7466" w:rsidP="00AD4EA1"/>
    <w:p w14:paraId="15A8C453" w14:textId="77777777" w:rsidR="00DB7466" w:rsidRDefault="00DB7466" w:rsidP="00AD4EA1"/>
    <w:p w14:paraId="068061D2" w14:textId="77777777" w:rsidR="00DB7466" w:rsidRDefault="00DB7466" w:rsidP="00AD4EA1"/>
    <w:p w14:paraId="06357B93" w14:textId="77777777" w:rsidR="00DB7466" w:rsidRDefault="00DB7466" w:rsidP="00AD4EA1"/>
    <w:p w14:paraId="4CD2786A" w14:textId="77777777" w:rsidR="00DB7466" w:rsidRDefault="00DB7466" w:rsidP="00AD4EA1"/>
    <w:p w14:paraId="41625552" w14:textId="77777777" w:rsidR="00DB7466" w:rsidRDefault="00DB7466" w:rsidP="00AD4EA1"/>
    <w:p w14:paraId="74700A52" w14:textId="77777777" w:rsidR="00DB7466" w:rsidRDefault="00DB7466" w:rsidP="00AD4EA1"/>
    <w:p w14:paraId="0948DC56" w14:textId="77777777" w:rsidR="00DB7466" w:rsidRDefault="00DB7466" w:rsidP="00AD4EA1"/>
    <w:p w14:paraId="4B397C20" w14:textId="77777777" w:rsidR="00DB7466" w:rsidRDefault="00DB7466" w:rsidP="00AD4EA1"/>
    <w:p w14:paraId="775BA9E5" w14:textId="77777777" w:rsidR="00DB7466" w:rsidRDefault="00DB7466" w:rsidP="00AD4EA1"/>
    <w:p w14:paraId="1291A0F8" w14:textId="77777777" w:rsidR="00DB7466" w:rsidRDefault="00DB7466" w:rsidP="00AD4EA1"/>
    <w:p w14:paraId="77D8F76C" w14:textId="77777777" w:rsidR="00DB7466" w:rsidRDefault="00DB7466" w:rsidP="00AD4EA1"/>
    <w:p w14:paraId="5998E650" w14:textId="77777777" w:rsidR="00DB7466" w:rsidRDefault="00DB7466" w:rsidP="00AD4EA1"/>
    <w:p w14:paraId="59C88379" w14:textId="77777777" w:rsidR="00DB7466" w:rsidRDefault="00DB7466" w:rsidP="00AD4EA1"/>
    <w:p w14:paraId="7C688ED2" w14:textId="77777777" w:rsidR="00DB7466" w:rsidRDefault="00DB7466" w:rsidP="00AD4EA1"/>
    <w:p w14:paraId="523C14A2" w14:textId="77777777" w:rsidR="00DB7466" w:rsidRDefault="00DB7466" w:rsidP="00AD4EA1"/>
    <w:p w14:paraId="65F07EEA" w14:textId="77777777" w:rsidR="00DB7466" w:rsidRDefault="00DB7466" w:rsidP="00AD4EA1"/>
    <w:p w14:paraId="5641BEB5" w14:textId="77777777" w:rsidR="00DB7466" w:rsidRDefault="00DB7466" w:rsidP="00AD4EA1"/>
    <w:p w14:paraId="333E0E94" w14:textId="77777777" w:rsidR="00DB7466" w:rsidRDefault="00DB7466" w:rsidP="00AD4EA1"/>
    <w:p w14:paraId="6EC22206" w14:textId="77777777" w:rsidR="00DB7466" w:rsidRDefault="00DB7466" w:rsidP="00AD4EA1"/>
    <w:p w14:paraId="28A02D5A" w14:textId="77777777" w:rsidR="00DB7466" w:rsidRDefault="00DB7466" w:rsidP="00AD4EA1"/>
    <w:p w14:paraId="23F8A233" w14:textId="77777777" w:rsidR="00DB7466" w:rsidRDefault="00DB7466" w:rsidP="00AD4EA1"/>
    <w:p w14:paraId="14734377" w14:textId="77777777" w:rsidR="00DB7466" w:rsidRDefault="00DB7466" w:rsidP="00AD4EA1"/>
    <w:p w14:paraId="24EFE3E7" w14:textId="77777777" w:rsidR="00DB7466" w:rsidRDefault="00DB7466" w:rsidP="00AD4EA1"/>
    <w:p w14:paraId="2206ED30" w14:textId="77777777" w:rsidR="00DB7466" w:rsidRDefault="00DB7466" w:rsidP="00AD4EA1"/>
    <w:p w14:paraId="7EC5FCDC" w14:textId="77777777" w:rsidR="00DB7466" w:rsidRDefault="00DB7466" w:rsidP="00AD4EA1"/>
    <w:p w14:paraId="0C828D7E" w14:textId="77777777" w:rsidR="00DB7466" w:rsidRDefault="00DB7466" w:rsidP="00AD4EA1"/>
    <w:p w14:paraId="077AE123" w14:textId="77777777" w:rsidR="00DB7466" w:rsidRDefault="00DB7466" w:rsidP="00AD4EA1"/>
    <w:p w14:paraId="101B9E56" w14:textId="77777777" w:rsidR="00DB7466" w:rsidRDefault="00DB7466" w:rsidP="00AD4EA1"/>
    <w:p w14:paraId="0E95F993" w14:textId="77777777" w:rsidR="00DB7466" w:rsidRDefault="00DB7466" w:rsidP="00AD4EA1"/>
    <w:p w14:paraId="2A9435F3" w14:textId="77777777" w:rsidR="00DB7466" w:rsidRDefault="00DB7466" w:rsidP="00AD4EA1"/>
    <w:p w14:paraId="12E671F0" w14:textId="77777777" w:rsidR="00DB7466" w:rsidRDefault="00DB7466" w:rsidP="00AD4EA1"/>
    <w:p w14:paraId="2DADC2AE" w14:textId="77777777" w:rsidR="00DB7466" w:rsidRDefault="00DB7466" w:rsidP="00AD4EA1"/>
    <w:p w14:paraId="7E12536A" w14:textId="77777777" w:rsidR="00DB7466" w:rsidRDefault="00DB7466" w:rsidP="00AD4EA1"/>
    <w:p w14:paraId="20171148" w14:textId="77777777" w:rsidR="00DB7466" w:rsidRDefault="00DB7466" w:rsidP="00AD4EA1"/>
    <w:p w14:paraId="2FFEAFBA" w14:textId="77777777" w:rsidR="00DB7466" w:rsidRDefault="00DB7466" w:rsidP="00AD4EA1"/>
    <w:p w14:paraId="58A851BA" w14:textId="77777777" w:rsidR="00DB7466" w:rsidRDefault="00DB7466" w:rsidP="00AD4EA1"/>
    <w:p w14:paraId="4C5440A2" w14:textId="77777777" w:rsidR="00DB7466" w:rsidRDefault="00DB7466" w:rsidP="00AD4EA1"/>
    <w:p w14:paraId="57406E8D" w14:textId="77777777" w:rsidR="00DB7466" w:rsidRDefault="00DB7466" w:rsidP="00AD4EA1"/>
    <w:p w14:paraId="5DDE000C" w14:textId="77777777" w:rsidR="00DB7466" w:rsidRDefault="00DB7466" w:rsidP="00AD4EA1"/>
    <w:p w14:paraId="28B4AA9F" w14:textId="77777777" w:rsidR="00DB7466" w:rsidRDefault="00DB7466" w:rsidP="00AD4EA1"/>
    <w:p w14:paraId="36025C92" w14:textId="77777777" w:rsidR="00DB7466" w:rsidRDefault="00DB7466" w:rsidP="00AD4EA1"/>
    <w:p w14:paraId="13A61978" w14:textId="77777777" w:rsidR="00DB7466" w:rsidRDefault="00DB7466" w:rsidP="00AD4EA1"/>
    <w:p w14:paraId="662BCE8F" w14:textId="77777777" w:rsidR="00DB7466" w:rsidRDefault="00DB7466" w:rsidP="00AD4EA1"/>
    <w:p w14:paraId="39A0261B" w14:textId="77777777" w:rsidR="00DB7466" w:rsidRDefault="00DB7466" w:rsidP="00AD4EA1"/>
    <w:p w14:paraId="4FE2B1B3" w14:textId="77777777" w:rsidR="00DB7466" w:rsidRDefault="00DB7466" w:rsidP="00AD4EA1"/>
    <w:p w14:paraId="46C7FC57" w14:textId="77777777" w:rsidR="00DB7466" w:rsidRDefault="00DB7466" w:rsidP="00AD4EA1"/>
    <w:p w14:paraId="0128670F" w14:textId="77777777" w:rsidR="00DB7466" w:rsidRDefault="00DB7466" w:rsidP="00AD4EA1"/>
    <w:p w14:paraId="06064893" w14:textId="77777777" w:rsidR="00DB7466" w:rsidRDefault="00DB7466" w:rsidP="00AD4EA1"/>
    <w:p w14:paraId="3A1AE3A1" w14:textId="77777777" w:rsidR="00DB7466" w:rsidRDefault="00DB7466" w:rsidP="00AD4EA1"/>
    <w:p w14:paraId="349B6D9D" w14:textId="77777777" w:rsidR="00DB7466" w:rsidRDefault="00DB7466" w:rsidP="00AD4EA1"/>
    <w:p w14:paraId="49C8FD9F" w14:textId="77777777" w:rsidR="00DB7466" w:rsidRDefault="00DB7466" w:rsidP="00AD4EA1"/>
    <w:p w14:paraId="3EB69195" w14:textId="77777777" w:rsidR="00DB7466" w:rsidRDefault="00DB7466" w:rsidP="00AD4EA1"/>
    <w:p w14:paraId="7CFBCC47" w14:textId="77777777" w:rsidR="00DB7466" w:rsidRDefault="00DB7466" w:rsidP="00AD4EA1"/>
    <w:p w14:paraId="62D8C71D" w14:textId="77777777" w:rsidR="00DB7466" w:rsidRDefault="00DB7466" w:rsidP="00AD4EA1"/>
    <w:p w14:paraId="315B7F2C" w14:textId="77777777" w:rsidR="00DB7466" w:rsidRDefault="00DB7466" w:rsidP="00AD4EA1"/>
    <w:p w14:paraId="1E2A9A72" w14:textId="77777777" w:rsidR="00DB7466" w:rsidRDefault="00DB7466" w:rsidP="00AD4EA1"/>
    <w:p w14:paraId="6373CA9F" w14:textId="77777777" w:rsidR="00DB7466" w:rsidRDefault="00DB7466" w:rsidP="00AD4EA1"/>
    <w:p w14:paraId="6C313357" w14:textId="77777777" w:rsidR="00DB7466" w:rsidRDefault="00DB7466" w:rsidP="00AD4EA1"/>
    <w:p w14:paraId="368B7AEE" w14:textId="77777777" w:rsidR="00DB7466" w:rsidRDefault="00DB7466" w:rsidP="00AD4EA1"/>
    <w:p w14:paraId="1FF7CCB6" w14:textId="77777777" w:rsidR="00DB7466" w:rsidRDefault="00DB7466" w:rsidP="00AD4EA1"/>
    <w:p w14:paraId="00752A34" w14:textId="77777777" w:rsidR="00DB7466" w:rsidRDefault="00DB7466" w:rsidP="00AD4EA1"/>
    <w:p w14:paraId="29E0B654" w14:textId="77777777" w:rsidR="00DB7466" w:rsidRDefault="00DB7466" w:rsidP="00AD4EA1"/>
    <w:p w14:paraId="2CBF7927" w14:textId="77777777" w:rsidR="00DB7466" w:rsidRDefault="00DB7466" w:rsidP="00AD4EA1"/>
    <w:p w14:paraId="48979AD5" w14:textId="77777777" w:rsidR="00DB7466" w:rsidRDefault="00DB7466" w:rsidP="00AD4EA1"/>
    <w:p w14:paraId="7B1BAE69" w14:textId="77777777" w:rsidR="00DB7466" w:rsidRDefault="00DB7466" w:rsidP="00AD4EA1"/>
    <w:p w14:paraId="6FFEF02C" w14:textId="77777777" w:rsidR="00DB7466" w:rsidRDefault="00DB7466" w:rsidP="00AD4EA1"/>
    <w:p w14:paraId="2250B5E8" w14:textId="77777777" w:rsidR="00DB7466" w:rsidRDefault="00DB7466" w:rsidP="00AD4EA1"/>
    <w:p w14:paraId="0D5F4ABE" w14:textId="77777777" w:rsidR="00DB7466" w:rsidRDefault="00DB7466" w:rsidP="00AD4EA1"/>
    <w:p w14:paraId="1BC31D1D" w14:textId="77777777" w:rsidR="00DB7466" w:rsidRDefault="00DB7466" w:rsidP="00AD4EA1"/>
    <w:p w14:paraId="27409CF5" w14:textId="77777777" w:rsidR="00DB7466" w:rsidRDefault="00DB7466" w:rsidP="00AD4EA1"/>
    <w:p w14:paraId="74D2180D" w14:textId="77777777" w:rsidR="00DB7466" w:rsidRDefault="00DB7466" w:rsidP="00AD4EA1"/>
    <w:p w14:paraId="3AF19BA4" w14:textId="77777777" w:rsidR="00DB7466" w:rsidRDefault="00DB7466" w:rsidP="00AD4EA1"/>
    <w:p w14:paraId="61ECB23A" w14:textId="77777777" w:rsidR="00DB7466" w:rsidRDefault="00DB7466" w:rsidP="00AD4EA1"/>
    <w:p w14:paraId="507E3821" w14:textId="77777777" w:rsidR="00DB7466" w:rsidRDefault="00DB7466" w:rsidP="00AD4EA1"/>
    <w:p w14:paraId="153C3AC2" w14:textId="77777777" w:rsidR="00DB7466" w:rsidRDefault="00DB7466" w:rsidP="00AD4EA1"/>
    <w:p w14:paraId="42A6E61D" w14:textId="77777777" w:rsidR="00DB7466" w:rsidRDefault="00DB7466" w:rsidP="00AD4EA1"/>
    <w:p w14:paraId="17D6C4DF" w14:textId="77777777" w:rsidR="00DB7466" w:rsidRDefault="00DB7466" w:rsidP="00AD4EA1"/>
    <w:p w14:paraId="254B6CCA" w14:textId="77777777" w:rsidR="00DB7466" w:rsidRDefault="00DB7466" w:rsidP="00AD4EA1"/>
    <w:p w14:paraId="599949B0" w14:textId="77777777" w:rsidR="00DB7466" w:rsidRDefault="00DB7466" w:rsidP="00AD4EA1"/>
    <w:p w14:paraId="68ACC9A4" w14:textId="77777777" w:rsidR="00DB7466" w:rsidRDefault="00DB7466" w:rsidP="00AD4EA1"/>
    <w:p w14:paraId="47C07736" w14:textId="77777777" w:rsidR="00DB7466" w:rsidRDefault="00DB7466" w:rsidP="00AD4EA1"/>
    <w:p w14:paraId="3DAA3C44" w14:textId="77777777" w:rsidR="00DB7466" w:rsidRDefault="00DB7466" w:rsidP="00AD4EA1"/>
    <w:p w14:paraId="46D6DAE3" w14:textId="77777777" w:rsidR="00DB7466" w:rsidRDefault="00DB7466" w:rsidP="00AD4EA1"/>
    <w:p w14:paraId="3B981CAB" w14:textId="77777777" w:rsidR="00DB7466" w:rsidRDefault="00DB7466" w:rsidP="00AD4EA1"/>
    <w:p w14:paraId="55909CAB" w14:textId="77777777" w:rsidR="00DB7466" w:rsidRDefault="00DB7466" w:rsidP="00AD4EA1"/>
    <w:p w14:paraId="27D73014" w14:textId="77777777" w:rsidR="00DB7466" w:rsidRDefault="00DB7466" w:rsidP="00AD4EA1"/>
    <w:p w14:paraId="055C2E95" w14:textId="77777777" w:rsidR="00DB7466" w:rsidRDefault="00DB7466" w:rsidP="00AD4EA1"/>
    <w:p w14:paraId="3C73D043" w14:textId="77777777" w:rsidR="00DB7466" w:rsidRDefault="00DB7466" w:rsidP="00AD4EA1"/>
    <w:p w14:paraId="420974C7" w14:textId="77777777" w:rsidR="00DB7466" w:rsidRDefault="00DB7466" w:rsidP="00AD4EA1"/>
    <w:p w14:paraId="7FD1D958" w14:textId="77777777" w:rsidR="00DB7466" w:rsidRDefault="00DB7466" w:rsidP="00AD4EA1"/>
    <w:p w14:paraId="308C0A1E" w14:textId="77777777" w:rsidR="00DB7466" w:rsidRDefault="00DB7466" w:rsidP="00AD4EA1"/>
    <w:p w14:paraId="076CF233" w14:textId="77777777" w:rsidR="00DB7466" w:rsidRDefault="00DB7466" w:rsidP="00AD4EA1"/>
    <w:p w14:paraId="79944512" w14:textId="77777777" w:rsidR="00DB7466" w:rsidRDefault="00DB7466" w:rsidP="00AD4EA1"/>
    <w:p w14:paraId="482ACCBC" w14:textId="77777777" w:rsidR="00DB7466" w:rsidRDefault="00DB7466" w:rsidP="00AD4EA1"/>
    <w:p w14:paraId="2CFD1241" w14:textId="77777777" w:rsidR="00DB7466" w:rsidRDefault="00DB7466" w:rsidP="00AD4EA1"/>
    <w:p w14:paraId="03B205CF" w14:textId="77777777" w:rsidR="00DB7466" w:rsidRDefault="00DB7466" w:rsidP="00AD4EA1"/>
    <w:p w14:paraId="5F958088" w14:textId="77777777" w:rsidR="00DB7466" w:rsidRDefault="00DB7466" w:rsidP="00AD4EA1"/>
    <w:p w14:paraId="0570D34D" w14:textId="77777777" w:rsidR="00DB7466" w:rsidRDefault="00DB7466" w:rsidP="00AD4EA1"/>
    <w:p w14:paraId="5466E80B" w14:textId="77777777" w:rsidR="00DB7466" w:rsidRDefault="00DB7466" w:rsidP="00AD4EA1"/>
    <w:p w14:paraId="0AE0DB3F" w14:textId="77777777" w:rsidR="00DB7466" w:rsidRDefault="00DB7466" w:rsidP="00AD4EA1"/>
    <w:p w14:paraId="6F47ACEB" w14:textId="77777777" w:rsidR="00DB7466" w:rsidRDefault="00DB7466" w:rsidP="00AD4EA1"/>
    <w:p w14:paraId="2BC19395" w14:textId="77777777" w:rsidR="00DB7466" w:rsidRDefault="00DB7466" w:rsidP="00AD4EA1"/>
    <w:p w14:paraId="3C47774C" w14:textId="77777777" w:rsidR="00DB7466" w:rsidRDefault="00DB7466" w:rsidP="00AD4EA1"/>
    <w:p w14:paraId="1CB872FB" w14:textId="77777777" w:rsidR="00DB7466" w:rsidRDefault="00DB7466" w:rsidP="00AD4EA1"/>
    <w:p w14:paraId="6B1FCEE3" w14:textId="77777777" w:rsidR="00DB7466" w:rsidRDefault="00DB7466" w:rsidP="00AD4EA1"/>
    <w:p w14:paraId="3E50D426" w14:textId="77777777" w:rsidR="00DB7466" w:rsidRDefault="00DB7466" w:rsidP="00AD4EA1"/>
    <w:p w14:paraId="3DE78F0B" w14:textId="77777777" w:rsidR="00DB7466" w:rsidRDefault="00DB7466" w:rsidP="00AD4EA1"/>
    <w:p w14:paraId="77677FA5" w14:textId="77777777" w:rsidR="00DB7466" w:rsidRDefault="00DB7466" w:rsidP="00AD4EA1"/>
    <w:p w14:paraId="5898D74C" w14:textId="77777777" w:rsidR="00DB7466" w:rsidRDefault="00DB7466" w:rsidP="00AD4EA1"/>
    <w:p w14:paraId="7A887046" w14:textId="77777777" w:rsidR="00DB7466" w:rsidRDefault="00DB7466" w:rsidP="00AD4EA1"/>
    <w:p w14:paraId="5F481C52" w14:textId="77777777" w:rsidR="00DB7466" w:rsidRDefault="00DB7466" w:rsidP="00AD4EA1"/>
    <w:p w14:paraId="6C736F65" w14:textId="77777777" w:rsidR="00DB7466" w:rsidRDefault="00DB7466" w:rsidP="00AD4EA1"/>
    <w:p w14:paraId="23856E54" w14:textId="77777777" w:rsidR="00DB7466" w:rsidRDefault="00DB7466" w:rsidP="00AD4EA1"/>
    <w:p w14:paraId="50E65113" w14:textId="77777777" w:rsidR="00DB7466" w:rsidRDefault="00DB7466" w:rsidP="00AD4EA1"/>
    <w:p w14:paraId="2EC12776" w14:textId="77777777" w:rsidR="00DB7466" w:rsidRDefault="00DB7466" w:rsidP="00AD4EA1"/>
    <w:p w14:paraId="4313A060" w14:textId="77777777" w:rsidR="00DB7466" w:rsidRDefault="00DB7466" w:rsidP="00AD4EA1"/>
    <w:p w14:paraId="62FC59CA" w14:textId="77777777" w:rsidR="00DB7466" w:rsidRDefault="00DB7466" w:rsidP="00AD4EA1"/>
    <w:p w14:paraId="060D8F33" w14:textId="77777777" w:rsidR="00DB7466" w:rsidRDefault="00DB7466" w:rsidP="00AD4EA1"/>
    <w:p w14:paraId="513B51D2" w14:textId="77777777" w:rsidR="00DB7466" w:rsidRDefault="00DB7466" w:rsidP="00AD4EA1"/>
    <w:p w14:paraId="6BBECB44" w14:textId="77777777" w:rsidR="00DB7466" w:rsidRDefault="00DB7466" w:rsidP="00AD4EA1"/>
    <w:p w14:paraId="1188D1B6" w14:textId="77777777" w:rsidR="00DB7466" w:rsidRDefault="00DB7466" w:rsidP="00AD4EA1"/>
    <w:p w14:paraId="48E1FD12" w14:textId="77777777" w:rsidR="00DB7466" w:rsidRDefault="00DB7466" w:rsidP="00AD4EA1"/>
    <w:p w14:paraId="20B68018" w14:textId="77777777" w:rsidR="00DB7466" w:rsidRDefault="00DB7466" w:rsidP="00AD4EA1"/>
    <w:p w14:paraId="145CE96B" w14:textId="77777777" w:rsidR="00DB7466" w:rsidRDefault="00DB7466" w:rsidP="00AD4EA1"/>
    <w:p w14:paraId="4B737966" w14:textId="77777777" w:rsidR="00DB7466" w:rsidRDefault="00DB7466" w:rsidP="00AD4EA1"/>
    <w:p w14:paraId="28051B7E" w14:textId="77777777" w:rsidR="00DB7466" w:rsidRDefault="00DB7466" w:rsidP="00AD4EA1"/>
    <w:p w14:paraId="66FC77A7" w14:textId="77777777" w:rsidR="00DB7466" w:rsidRDefault="00DB7466" w:rsidP="00AD4EA1"/>
    <w:p w14:paraId="7E873B6C" w14:textId="77777777" w:rsidR="00DB7466" w:rsidRDefault="00DB7466" w:rsidP="00AD4EA1"/>
    <w:p w14:paraId="24FFA4CF" w14:textId="77777777" w:rsidR="00DB7466" w:rsidRDefault="00DB7466" w:rsidP="00AD4EA1"/>
    <w:p w14:paraId="7E62555D" w14:textId="77777777" w:rsidR="00DB7466" w:rsidRDefault="00DB7466" w:rsidP="00AD4EA1"/>
    <w:p w14:paraId="1D71CB85" w14:textId="77777777" w:rsidR="00DB7466" w:rsidRDefault="00DB7466" w:rsidP="00AD4EA1"/>
    <w:p w14:paraId="3199752D" w14:textId="77777777" w:rsidR="00DB7466" w:rsidRDefault="00DB7466" w:rsidP="00AD4EA1"/>
    <w:p w14:paraId="6730FA3D" w14:textId="77777777" w:rsidR="00DB7466" w:rsidRDefault="00DB7466" w:rsidP="00AD4EA1"/>
    <w:p w14:paraId="5CFCED85" w14:textId="77777777" w:rsidR="00DB7466" w:rsidRDefault="00DB7466" w:rsidP="00AD4EA1"/>
    <w:p w14:paraId="6E30EEB7" w14:textId="77777777" w:rsidR="00DB7466" w:rsidRDefault="00DB7466" w:rsidP="00AD4EA1"/>
    <w:p w14:paraId="6642D5CB" w14:textId="77777777" w:rsidR="00DB7466" w:rsidRDefault="00DB7466" w:rsidP="00AD4EA1"/>
    <w:p w14:paraId="2D10BB91" w14:textId="77777777" w:rsidR="00DB7466" w:rsidRDefault="00DB7466" w:rsidP="00AD4EA1"/>
    <w:p w14:paraId="75F875F3" w14:textId="77777777" w:rsidR="00DB7466" w:rsidRDefault="00DB7466" w:rsidP="00AD4EA1"/>
    <w:p w14:paraId="57D1E808" w14:textId="77777777" w:rsidR="00DB7466" w:rsidRDefault="00DB7466" w:rsidP="00AD4EA1"/>
    <w:p w14:paraId="2ABF6562" w14:textId="77777777" w:rsidR="00DB7466" w:rsidRDefault="00DB7466" w:rsidP="00AD4EA1"/>
    <w:p w14:paraId="0BA1185A" w14:textId="77777777" w:rsidR="00DB7466" w:rsidRDefault="00DB7466" w:rsidP="00AD4EA1"/>
    <w:p w14:paraId="3E2FED91" w14:textId="77777777" w:rsidR="00DB7466" w:rsidRDefault="00DB7466" w:rsidP="00AD4EA1"/>
    <w:p w14:paraId="4FB9A858" w14:textId="77777777" w:rsidR="00DB7466" w:rsidRDefault="00DB7466" w:rsidP="00AD4EA1"/>
    <w:p w14:paraId="207C1B8D" w14:textId="77777777" w:rsidR="00DB7466" w:rsidRDefault="00DB7466" w:rsidP="00AD4EA1"/>
    <w:p w14:paraId="5439B30F" w14:textId="77777777" w:rsidR="00DB7466" w:rsidRDefault="00DB7466" w:rsidP="00AD4EA1"/>
    <w:p w14:paraId="44972130" w14:textId="77777777" w:rsidR="00DB7466" w:rsidRDefault="00DB7466" w:rsidP="00AD4EA1"/>
    <w:p w14:paraId="74E10700" w14:textId="77777777" w:rsidR="00DB7466" w:rsidRDefault="00DB7466" w:rsidP="00AD4EA1"/>
    <w:p w14:paraId="77D67FA9" w14:textId="77777777" w:rsidR="00DB7466" w:rsidRDefault="00DB7466" w:rsidP="00AD4EA1"/>
    <w:p w14:paraId="7AEC6F8D" w14:textId="77777777" w:rsidR="00DB7466" w:rsidRDefault="00DB7466" w:rsidP="00AD4EA1"/>
    <w:p w14:paraId="5B80697C" w14:textId="77777777" w:rsidR="00DB7466" w:rsidRDefault="00DB7466" w:rsidP="00AD4EA1"/>
    <w:p w14:paraId="685B9E39" w14:textId="77777777" w:rsidR="00DB7466" w:rsidRDefault="00DB7466" w:rsidP="00AD4EA1"/>
    <w:p w14:paraId="1DD1EB4B" w14:textId="77777777" w:rsidR="00DB7466" w:rsidRDefault="00DB7466" w:rsidP="00AD4EA1"/>
    <w:p w14:paraId="193C5605" w14:textId="77777777" w:rsidR="00DB7466" w:rsidRDefault="00DB7466" w:rsidP="00AD4EA1"/>
    <w:p w14:paraId="3ABCB304" w14:textId="77777777" w:rsidR="00DB7466" w:rsidRDefault="00DB7466" w:rsidP="00AD4EA1"/>
    <w:p w14:paraId="742C78F1" w14:textId="77777777" w:rsidR="00DB7466" w:rsidRDefault="00DB7466" w:rsidP="00AD4EA1"/>
    <w:p w14:paraId="6928A33E" w14:textId="77777777" w:rsidR="00DB7466" w:rsidRDefault="00DB7466" w:rsidP="00AD4EA1"/>
    <w:p w14:paraId="570B7EBA" w14:textId="77777777" w:rsidR="00DB7466" w:rsidRDefault="00DB7466" w:rsidP="00AD4EA1"/>
    <w:p w14:paraId="6F09936A" w14:textId="77777777" w:rsidR="00DB7466" w:rsidRDefault="00DB7466" w:rsidP="00AD4EA1"/>
    <w:p w14:paraId="5D692E49" w14:textId="77777777" w:rsidR="00DB7466" w:rsidRDefault="00DB7466" w:rsidP="00AD4EA1"/>
    <w:p w14:paraId="27218C33" w14:textId="77777777" w:rsidR="00DB7466" w:rsidRDefault="00DB7466" w:rsidP="00AD4EA1"/>
    <w:p w14:paraId="4D0C46A9" w14:textId="77777777" w:rsidR="00DB7466" w:rsidRDefault="00DB7466" w:rsidP="00AD4EA1"/>
    <w:p w14:paraId="6AFF9BD5" w14:textId="77777777" w:rsidR="00DB7466" w:rsidRDefault="00DB7466" w:rsidP="00AD4EA1"/>
    <w:p w14:paraId="6B0A1D6F" w14:textId="77777777" w:rsidR="00DB7466" w:rsidRDefault="00DB7466" w:rsidP="00AD4EA1"/>
    <w:p w14:paraId="7E180A41" w14:textId="77777777" w:rsidR="00DB7466" w:rsidRDefault="00DB7466" w:rsidP="00AD4EA1"/>
    <w:p w14:paraId="7B4E6535" w14:textId="77777777" w:rsidR="00DB7466" w:rsidRDefault="00DB7466" w:rsidP="00AD4EA1"/>
    <w:p w14:paraId="098D9D5D" w14:textId="77777777" w:rsidR="00DB7466" w:rsidRDefault="00DB7466" w:rsidP="00AD4EA1"/>
    <w:p w14:paraId="18DABD0C" w14:textId="77777777" w:rsidR="00DB7466" w:rsidRDefault="00DB7466" w:rsidP="00AD4EA1"/>
    <w:p w14:paraId="1A933B0C" w14:textId="77777777" w:rsidR="00DB7466" w:rsidRDefault="00DB7466" w:rsidP="00AD4EA1"/>
    <w:p w14:paraId="1D4CEBFE" w14:textId="77777777" w:rsidR="00DB7466" w:rsidRDefault="00DB7466" w:rsidP="00AD4EA1"/>
    <w:p w14:paraId="2B061E54" w14:textId="77777777" w:rsidR="00DB7466" w:rsidRDefault="00DB7466" w:rsidP="00AD4EA1"/>
    <w:p w14:paraId="24C6590E" w14:textId="77777777" w:rsidR="00DB7466" w:rsidRDefault="00DB7466" w:rsidP="00AD4EA1"/>
    <w:p w14:paraId="68532E13" w14:textId="77777777" w:rsidR="00DB7466" w:rsidRDefault="00DB7466" w:rsidP="00AD4EA1"/>
    <w:p w14:paraId="5A1B6D63" w14:textId="77777777" w:rsidR="00DB7466" w:rsidRDefault="00DB7466" w:rsidP="00AD4EA1"/>
    <w:p w14:paraId="69404AAD" w14:textId="77777777" w:rsidR="00DB7466" w:rsidRDefault="00DB7466" w:rsidP="00AD4EA1"/>
    <w:p w14:paraId="627DB546" w14:textId="77777777" w:rsidR="00DB7466" w:rsidRDefault="00DB7466" w:rsidP="00AD4EA1"/>
    <w:p w14:paraId="0BA023E3" w14:textId="77777777" w:rsidR="00DB7466" w:rsidRDefault="00DB7466" w:rsidP="00AD4EA1"/>
    <w:p w14:paraId="198D6CB2" w14:textId="77777777" w:rsidR="00DB7466" w:rsidRDefault="00DB7466" w:rsidP="00AD4EA1"/>
    <w:p w14:paraId="618FA91A" w14:textId="77777777" w:rsidR="00DB7466" w:rsidRDefault="00DB7466" w:rsidP="00AD4EA1"/>
    <w:p w14:paraId="5F572C60" w14:textId="77777777" w:rsidR="00DB7466" w:rsidRDefault="00DB7466" w:rsidP="00AD4EA1"/>
    <w:p w14:paraId="2E4E483A" w14:textId="77777777" w:rsidR="00DB7466" w:rsidRDefault="00DB7466" w:rsidP="00AD4EA1"/>
    <w:p w14:paraId="0C359B63" w14:textId="77777777" w:rsidR="00DB7466" w:rsidRDefault="00DB7466" w:rsidP="00AD4EA1"/>
    <w:p w14:paraId="7F96CEEC" w14:textId="77777777" w:rsidR="00DB7466" w:rsidRDefault="00DB7466" w:rsidP="00AD4EA1"/>
    <w:p w14:paraId="578D2925" w14:textId="77777777" w:rsidR="00DB7466" w:rsidRDefault="00DB7466" w:rsidP="00AD4EA1"/>
    <w:p w14:paraId="5D70628E" w14:textId="77777777" w:rsidR="00DB7466" w:rsidRDefault="00DB7466" w:rsidP="00AD4EA1"/>
    <w:p w14:paraId="3B81D3ED" w14:textId="77777777" w:rsidR="00DB7466" w:rsidRDefault="00DB7466" w:rsidP="00AD4EA1"/>
    <w:p w14:paraId="7EAC0BFA" w14:textId="77777777" w:rsidR="00DB7466" w:rsidRDefault="00DB7466" w:rsidP="00AD4EA1"/>
    <w:p w14:paraId="295470B4" w14:textId="77777777" w:rsidR="00DB7466" w:rsidRDefault="00DB7466" w:rsidP="00AD4EA1"/>
    <w:p w14:paraId="27747F09" w14:textId="77777777" w:rsidR="00DB7466" w:rsidRDefault="00DB7466" w:rsidP="00AD4EA1"/>
    <w:p w14:paraId="3B3A4759" w14:textId="77777777" w:rsidR="00DB7466" w:rsidRDefault="00DB7466" w:rsidP="00AD4EA1"/>
    <w:p w14:paraId="45CFFB52" w14:textId="77777777" w:rsidR="00DB7466" w:rsidRDefault="00DB7466" w:rsidP="00AD4EA1"/>
    <w:p w14:paraId="56E95866" w14:textId="77777777" w:rsidR="00DB7466" w:rsidRDefault="00DB7466" w:rsidP="00AD4EA1"/>
    <w:p w14:paraId="50F11234" w14:textId="77777777" w:rsidR="00DB7466" w:rsidRDefault="00DB7466" w:rsidP="00AD4EA1"/>
    <w:p w14:paraId="4B5423DD" w14:textId="77777777" w:rsidR="00DB7466" w:rsidRDefault="00DB7466" w:rsidP="00AD4EA1"/>
    <w:p w14:paraId="75F0C05B" w14:textId="77777777" w:rsidR="00DB7466" w:rsidRDefault="00DB7466" w:rsidP="00AD4EA1"/>
    <w:p w14:paraId="3010528E" w14:textId="77777777" w:rsidR="00DB7466" w:rsidRDefault="00DB7466" w:rsidP="00AD4EA1"/>
    <w:p w14:paraId="7D3BCFD9" w14:textId="77777777" w:rsidR="00DB7466" w:rsidRDefault="00DB7466" w:rsidP="00AD4EA1"/>
    <w:p w14:paraId="7AA1B5DC" w14:textId="77777777" w:rsidR="00DB7466" w:rsidRDefault="00DB7466" w:rsidP="00AD4EA1"/>
    <w:p w14:paraId="28CAA6D8" w14:textId="77777777" w:rsidR="00DB7466" w:rsidRDefault="00DB7466" w:rsidP="00AD4EA1"/>
    <w:p w14:paraId="016F71EE" w14:textId="77777777" w:rsidR="00DB7466" w:rsidRDefault="00DB7466" w:rsidP="00AD4EA1"/>
    <w:p w14:paraId="2B72798D" w14:textId="77777777" w:rsidR="00DB7466" w:rsidRDefault="00DB7466" w:rsidP="00AD4EA1"/>
    <w:p w14:paraId="61ADD1A4" w14:textId="77777777" w:rsidR="00DB7466" w:rsidRDefault="00DB7466" w:rsidP="00AD4EA1"/>
    <w:p w14:paraId="6450677E" w14:textId="77777777" w:rsidR="00DB7466" w:rsidRDefault="00DB7466" w:rsidP="00AD4EA1"/>
    <w:p w14:paraId="7B9F25EF" w14:textId="77777777" w:rsidR="00DB7466" w:rsidRDefault="00DB7466" w:rsidP="00AD4EA1"/>
    <w:p w14:paraId="237F47DF" w14:textId="77777777" w:rsidR="00DB7466" w:rsidRDefault="00DB7466" w:rsidP="00AD4EA1"/>
    <w:p w14:paraId="64F50E33" w14:textId="77777777" w:rsidR="00DB7466" w:rsidRDefault="00DB7466" w:rsidP="00AD4EA1"/>
    <w:p w14:paraId="282EB2B7" w14:textId="77777777" w:rsidR="00DB7466" w:rsidRDefault="00DB7466" w:rsidP="00AD4EA1"/>
    <w:p w14:paraId="228AD772" w14:textId="77777777" w:rsidR="00DB7466" w:rsidRDefault="00DB7466" w:rsidP="00AD4EA1"/>
    <w:p w14:paraId="4377F666" w14:textId="77777777" w:rsidR="00DB7466" w:rsidRDefault="00DB7466" w:rsidP="00AD4EA1"/>
    <w:p w14:paraId="6C34738E" w14:textId="77777777" w:rsidR="00DB7466" w:rsidRDefault="00DB7466" w:rsidP="00AD4EA1"/>
    <w:p w14:paraId="3341F9E2" w14:textId="77777777" w:rsidR="00DB7466" w:rsidRDefault="00DB7466" w:rsidP="00AD4EA1"/>
    <w:p w14:paraId="051C3124" w14:textId="77777777" w:rsidR="00DB7466" w:rsidRDefault="00DB7466" w:rsidP="00AD4EA1"/>
    <w:p w14:paraId="2595E3FB" w14:textId="77777777" w:rsidR="00DB7466" w:rsidRDefault="00DB7466" w:rsidP="00AD4EA1"/>
    <w:p w14:paraId="0257ECFA" w14:textId="77777777" w:rsidR="00DB7466" w:rsidRDefault="00DB7466" w:rsidP="00AD4EA1"/>
    <w:p w14:paraId="022AEFAB" w14:textId="77777777" w:rsidR="00DB7466" w:rsidRDefault="00DB7466" w:rsidP="00AD4EA1"/>
    <w:p w14:paraId="4439131E" w14:textId="77777777" w:rsidR="00DB7466" w:rsidRDefault="00DB7466" w:rsidP="00AD4EA1"/>
    <w:p w14:paraId="5C9F45E0" w14:textId="77777777" w:rsidR="00DB7466" w:rsidRDefault="00DB7466" w:rsidP="00AD4EA1"/>
    <w:p w14:paraId="65488EB8" w14:textId="77777777" w:rsidR="00DB7466" w:rsidRDefault="00DB7466" w:rsidP="00AD4EA1"/>
    <w:p w14:paraId="2B981BB6" w14:textId="77777777" w:rsidR="00DB7466" w:rsidRDefault="00DB7466" w:rsidP="00AD4EA1"/>
    <w:p w14:paraId="056BDA0E" w14:textId="77777777" w:rsidR="00DB7466" w:rsidRDefault="00DB7466" w:rsidP="00AD4EA1"/>
    <w:p w14:paraId="159902C3" w14:textId="77777777" w:rsidR="00DB7466" w:rsidRDefault="00DB7466" w:rsidP="00AD4EA1"/>
    <w:p w14:paraId="2A0BA4BE" w14:textId="77777777" w:rsidR="00DB7466" w:rsidRDefault="00DB7466" w:rsidP="00AD4EA1"/>
    <w:p w14:paraId="1BBBE5D1" w14:textId="77777777" w:rsidR="00DB7466" w:rsidRDefault="00DB7466" w:rsidP="00AD4EA1"/>
    <w:p w14:paraId="126C3FC5" w14:textId="77777777" w:rsidR="00DB7466" w:rsidRDefault="00DB7466" w:rsidP="00AD4EA1"/>
    <w:p w14:paraId="5DD72EEC" w14:textId="77777777" w:rsidR="00DB7466" w:rsidRDefault="00DB7466" w:rsidP="00AD4EA1"/>
    <w:p w14:paraId="23300314" w14:textId="77777777" w:rsidR="00DB7466" w:rsidRDefault="00DB7466" w:rsidP="00AD4EA1"/>
    <w:p w14:paraId="03F2ECF6" w14:textId="77777777" w:rsidR="00DB7466" w:rsidRDefault="00DB7466" w:rsidP="00AD4EA1"/>
    <w:p w14:paraId="197952EA" w14:textId="77777777" w:rsidR="00DB7466" w:rsidRDefault="00DB7466" w:rsidP="00AD4EA1"/>
    <w:p w14:paraId="5E6EA1AA" w14:textId="77777777" w:rsidR="00DB7466" w:rsidRDefault="00DB7466" w:rsidP="00AD4EA1"/>
    <w:p w14:paraId="553CDB9C" w14:textId="77777777" w:rsidR="00DB7466" w:rsidRDefault="00DB7466" w:rsidP="00AD4EA1"/>
    <w:p w14:paraId="1AC1DC3F" w14:textId="77777777" w:rsidR="00DB7466" w:rsidRDefault="00DB7466" w:rsidP="00AD4EA1"/>
    <w:p w14:paraId="1A2B17EF" w14:textId="77777777" w:rsidR="00DB7466" w:rsidRDefault="00DB7466" w:rsidP="00AD4EA1"/>
    <w:p w14:paraId="0241E466" w14:textId="77777777" w:rsidR="00DB7466" w:rsidRDefault="00DB7466" w:rsidP="00AD4EA1"/>
    <w:p w14:paraId="34E3D5DA" w14:textId="77777777" w:rsidR="00DB7466" w:rsidRDefault="00DB7466" w:rsidP="00AD4EA1"/>
    <w:p w14:paraId="238FD9E6" w14:textId="77777777" w:rsidR="00DB7466" w:rsidRDefault="00DB7466" w:rsidP="00AD4EA1"/>
    <w:p w14:paraId="60A724E5" w14:textId="77777777" w:rsidR="00DB7466" w:rsidRDefault="00DB7466" w:rsidP="00AD4EA1"/>
    <w:p w14:paraId="073F44F4" w14:textId="77777777" w:rsidR="00DB7466" w:rsidRDefault="00DB7466" w:rsidP="00AD4EA1"/>
    <w:p w14:paraId="2144FD5D" w14:textId="77777777" w:rsidR="00DB7466" w:rsidRDefault="00DB7466" w:rsidP="00AD4EA1"/>
    <w:p w14:paraId="6EB89F84" w14:textId="77777777" w:rsidR="00DB7466" w:rsidRDefault="00DB7466" w:rsidP="00AD4EA1"/>
    <w:p w14:paraId="3BCC76C7" w14:textId="77777777" w:rsidR="00DB7466" w:rsidRDefault="00DB7466" w:rsidP="00AD4EA1"/>
    <w:p w14:paraId="2DF57275" w14:textId="77777777" w:rsidR="00DB7466" w:rsidRDefault="00DB7466" w:rsidP="00AD4EA1"/>
    <w:p w14:paraId="3C34B4E4" w14:textId="77777777" w:rsidR="00DB7466" w:rsidRDefault="00DB7466" w:rsidP="00AD4EA1"/>
    <w:p w14:paraId="4D0C661E" w14:textId="77777777" w:rsidR="00DB7466" w:rsidRDefault="00DB7466" w:rsidP="00AD4EA1"/>
    <w:p w14:paraId="6FB67E30" w14:textId="77777777" w:rsidR="00DB7466" w:rsidRDefault="00DB7466" w:rsidP="00AD4EA1"/>
    <w:p w14:paraId="4713E9DA" w14:textId="77777777" w:rsidR="00DB7466" w:rsidRDefault="00DB7466" w:rsidP="00AD4EA1"/>
    <w:p w14:paraId="61FF381E" w14:textId="77777777" w:rsidR="00DB7466" w:rsidRDefault="00DB7466" w:rsidP="00AD4EA1"/>
    <w:p w14:paraId="1718D4A2" w14:textId="77777777" w:rsidR="00DB7466" w:rsidRDefault="00DB7466" w:rsidP="00AD4EA1"/>
    <w:p w14:paraId="2EA1F663" w14:textId="77777777" w:rsidR="00DB7466" w:rsidRDefault="00DB7466" w:rsidP="00AD4EA1"/>
    <w:p w14:paraId="1675FBE6" w14:textId="77777777" w:rsidR="00DB7466" w:rsidRDefault="00DB7466" w:rsidP="00AD4EA1"/>
    <w:p w14:paraId="474D686B" w14:textId="77777777" w:rsidR="00DB7466" w:rsidRDefault="00DB7466" w:rsidP="00AD4EA1"/>
    <w:p w14:paraId="7FAB9DBE" w14:textId="77777777" w:rsidR="00DB7466" w:rsidRDefault="00DB7466" w:rsidP="00AD4EA1"/>
    <w:p w14:paraId="75CF9029" w14:textId="77777777" w:rsidR="00DB7466" w:rsidRDefault="00DB7466" w:rsidP="00AD4EA1"/>
    <w:p w14:paraId="36DA64C3" w14:textId="77777777" w:rsidR="00DB7466" w:rsidRDefault="00DB7466" w:rsidP="00AD4EA1"/>
    <w:p w14:paraId="73586E05" w14:textId="77777777" w:rsidR="00DB7466" w:rsidRDefault="00DB7466" w:rsidP="00AD4EA1"/>
    <w:p w14:paraId="2281A636" w14:textId="77777777" w:rsidR="00DB7466" w:rsidRDefault="00DB7466" w:rsidP="00AD4EA1"/>
    <w:p w14:paraId="62D22AC6" w14:textId="77777777" w:rsidR="00DB7466" w:rsidRDefault="00DB7466" w:rsidP="00AD4EA1"/>
    <w:p w14:paraId="33BFE0DF" w14:textId="77777777" w:rsidR="00DB7466" w:rsidRDefault="00DB7466" w:rsidP="00AD4EA1"/>
    <w:p w14:paraId="632296EA" w14:textId="77777777" w:rsidR="00DB7466" w:rsidRDefault="00DB7466" w:rsidP="00AD4EA1"/>
    <w:p w14:paraId="410468EC" w14:textId="77777777" w:rsidR="00DB7466" w:rsidRDefault="00DB7466" w:rsidP="00AD4EA1"/>
    <w:p w14:paraId="6139FE5F" w14:textId="77777777" w:rsidR="00DB7466" w:rsidRDefault="00DB7466" w:rsidP="00AD4EA1"/>
    <w:p w14:paraId="08E07E26" w14:textId="77777777" w:rsidR="00DB7466" w:rsidRDefault="00DB7466" w:rsidP="00AD4EA1"/>
    <w:p w14:paraId="2754200B" w14:textId="77777777" w:rsidR="00DB7466" w:rsidRDefault="00DB7466" w:rsidP="00AD4EA1"/>
    <w:p w14:paraId="615E0E3A" w14:textId="77777777" w:rsidR="00DB7466" w:rsidRDefault="00DB7466" w:rsidP="00AD4EA1"/>
    <w:p w14:paraId="7054A4CE" w14:textId="77777777" w:rsidR="00DB7466" w:rsidRDefault="00DB7466" w:rsidP="00AD4EA1"/>
    <w:p w14:paraId="7A435597" w14:textId="77777777" w:rsidR="00DB7466" w:rsidRDefault="00DB7466" w:rsidP="00AD4EA1"/>
    <w:p w14:paraId="04376B49" w14:textId="77777777" w:rsidR="00DB7466" w:rsidRDefault="00DB7466" w:rsidP="00AD4EA1"/>
    <w:p w14:paraId="5D1B7282" w14:textId="77777777" w:rsidR="00DB7466" w:rsidRDefault="00DB7466" w:rsidP="00AD4EA1"/>
    <w:p w14:paraId="0104DEC4" w14:textId="77777777" w:rsidR="00DB7466" w:rsidRDefault="00DB7466" w:rsidP="00AD4EA1"/>
    <w:p w14:paraId="32E2AA25" w14:textId="77777777" w:rsidR="00DB7466" w:rsidRDefault="00DB7466" w:rsidP="00AD4EA1"/>
    <w:p w14:paraId="3CA615F9" w14:textId="77777777" w:rsidR="00DB7466" w:rsidRDefault="00DB7466" w:rsidP="00AD4EA1"/>
    <w:p w14:paraId="4AA5D034" w14:textId="77777777" w:rsidR="00DB7466" w:rsidRDefault="00DB7466" w:rsidP="00AD4EA1"/>
    <w:p w14:paraId="56313BD9" w14:textId="77777777" w:rsidR="00DB7466" w:rsidRDefault="00DB7466" w:rsidP="00AD4EA1"/>
    <w:p w14:paraId="39D1CF52" w14:textId="77777777" w:rsidR="00DB7466" w:rsidRDefault="00DB7466" w:rsidP="00AD4EA1"/>
    <w:p w14:paraId="410B4E50" w14:textId="77777777" w:rsidR="00DB7466" w:rsidRDefault="00DB7466" w:rsidP="00AD4EA1"/>
    <w:p w14:paraId="69C81E83" w14:textId="77777777" w:rsidR="00DB7466" w:rsidRDefault="00DB7466" w:rsidP="00AD4EA1"/>
    <w:p w14:paraId="3D47846C" w14:textId="77777777" w:rsidR="00DB7466" w:rsidRDefault="00DB7466" w:rsidP="00AD4EA1"/>
    <w:p w14:paraId="7BAFEE3C" w14:textId="77777777" w:rsidR="00DB7466" w:rsidRDefault="00DB7466" w:rsidP="00AD4EA1"/>
    <w:p w14:paraId="27536D2F" w14:textId="77777777" w:rsidR="00DB7466" w:rsidRDefault="00DB7466" w:rsidP="00AD4EA1"/>
    <w:p w14:paraId="46906171" w14:textId="77777777" w:rsidR="00DB7466" w:rsidRDefault="00DB7466" w:rsidP="00AD4EA1"/>
    <w:p w14:paraId="2BF6FCD3" w14:textId="77777777" w:rsidR="00DB7466" w:rsidRDefault="00DB7466" w:rsidP="00AD4EA1"/>
    <w:p w14:paraId="3D4DFD26" w14:textId="77777777" w:rsidR="00DB7466" w:rsidRDefault="00DB7466" w:rsidP="00AD4EA1"/>
    <w:p w14:paraId="73F5741E" w14:textId="77777777" w:rsidR="00DB7466" w:rsidRDefault="00DB7466" w:rsidP="00AD4EA1"/>
    <w:p w14:paraId="2A749085" w14:textId="77777777" w:rsidR="00DB7466" w:rsidRDefault="00DB7466" w:rsidP="00AD4EA1"/>
    <w:p w14:paraId="54D90E44" w14:textId="77777777" w:rsidR="00DB7466" w:rsidRDefault="00DB7466" w:rsidP="00AD4EA1"/>
    <w:p w14:paraId="26051947" w14:textId="77777777" w:rsidR="00DB7466" w:rsidRDefault="00DB7466" w:rsidP="00AD4EA1"/>
    <w:p w14:paraId="2CA772B7" w14:textId="77777777" w:rsidR="00DB7466" w:rsidRDefault="00DB7466" w:rsidP="00AD4EA1"/>
    <w:p w14:paraId="2EE8999E" w14:textId="77777777" w:rsidR="00DB7466" w:rsidRDefault="00DB7466" w:rsidP="00AD4EA1"/>
    <w:p w14:paraId="2C5A12A6" w14:textId="77777777" w:rsidR="00DB7466" w:rsidRDefault="00DB7466" w:rsidP="00AD4EA1"/>
    <w:p w14:paraId="168A3263" w14:textId="77777777" w:rsidR="00DB7466" w:rsidRDefault="00DB7466" w:rsidP="00AD4EA1"/>
    <w:p w14:paraId="4EBBCFC3" w14:textId="77777777" w:rsidR="00DB7466" w:rsidRDefault="00DB7466" w:rsidP="00AD4EA1"/>
    <w:p w14:paraId="161E56D7" w14:textId="77777777" w:rsidR="00DB7466" w:rsidRDefault="00DB7466" w:rsidP="00AD4EA1"/>
    <w:p w14:paraId="24F63845" w14:textId="77777777" w:rsidR="00DB7466" w:rsidRDefault="00DB7466" w:rsidP="00AD4EA1"/>
    <w:p w14:paraId="14D97175" w14:textId="77777777" w:rsidR="00DB7466" w:rsidRDefault="00DB7466" w:rsidP="00AD4EA1"/>
    <w:p w14:paraId="74E2466E" w14:textId="77777777" w:rsidR="00DB7466" w:rsidRDefault="00DB7466" w:rsidP="00AD4EA1"/>
    <w:p w14:paraId="27B4DB41" w14:textId="77777777" w:rsidR="00DB7466" w:rsidRDefault="00DB7466" w:rsidP="00AD4EA1"/>
    <w:p w14:paraId="604C18AA" w14:textId="77777777" w:rsidR="00DB7466" w:rsidRDefault="00DB7466" w:rsidP="00AD4EA1"/>
    <w:p w14:paraId="625B199B" w14:textId="77777777" w:rsidR="00DB7466" w:rsidRDefault="00DB7466" w:rsidP="00AD4EA1"/>
    <w:p w14:paraId="5BF24612" w14:textId="77777777" w:rsidR="00DB7466" w:rsidRDefault="00DB7466" w:rsidP="00AD4EA1"/>
    <w:p w14:paraId="7876F68E" w14:textId="77777777" w:rsidR="00DB7466" w:rsidRDefault="00DB7466" w:rsidP="00AD4EA1"/>
    <w:p w14:paraId="06DD9382" w14:textId="77777777" w:rsidR="00DB7466" w:rsidRDefault="00DB7466" w:rsidP="00AD4EA1"/>
    <w:p w14:paraId="7D70A7AF" w14:textId="77777777" w:rsidR="00DB7466" w:rsidRDefault="00DB7466" w:rsidP="00AD4EA1"/>
    <w:p w14:paraId="65DDCD06" w14:textId="77777777" w:rsidR="00DB7466" w:rsidRDefault="00DB7466" w:rsidP="00AD4EA1"/>
    <w:p w14:paraId="090F411D" w14:textId="77777777" w:rsidR="00DB7466" w:rsidRDefault="00DB7466" w:rsidP="00AD4EA1"/>
    <w:p w14:paraId="2941B886" w14:textId="77777777" w:rsidR="00DB7466" w:rsidRDefault="00DB7466" w:rsidP="00AD4EA1"/>
    <w:p w14:paraId="5950AEFD" w14:textId="77777777" w:rsidR="00DB7466" w:rsidRDefault="00DB7466" w:rsidP="00AD4EA1"/>
    <w:p w14:paraId="0756169A" w14:textId="77777777" w:rsidR="00DB7466" w:rsidRDefault="00DB7466" w:rsidP="00AD4EA1"/>
    <w:p w14:paraId="0CADBAA3" w14:textId="77777777" w:rsidR="00DB7466" w:rsidRDefault="00DB7466" w:rsidP="00AD4EA1"/>
    <w:p w14:paraId="7FDDA487" w14:textId="77777777" w:rsidR="00DB7466" w:rsidRDefault="00DB7466" w:rsidP="00AD4EA1"/>
    <w:p w14:paraId="74FDBA6A" w14:textId="77777777" w:rsidR="00DB7466" w:rsidRDefault="00DB7466" w:rsidP="00AD4EA1"/>
    <w:p w14:paraId="44E55996" w14:textId="77777777" w:rsidR="00DB7466" w:rsidRDefault="00DB7466" w:rsidP="00AD4EA1"/>
    <w:p w14:paraId="2DAAAAAE" w14:textId="77777777" w:rsidR="00DB7466" w:rsidRDefault="00DB7466" w:rsidP="00AD4EA1"/>
    <w:p w14:paraId="0762B13A" w14:textId="77777777" w:rsidR="00DB7466" w:rsidRDefault="00DB7466" w:rsidP="00AD4EA1"/>
    <w:p w14:paraId="7035B3A4" w14:textId="77777777" w:rsidR="00DB7466" w:rsidRDefault="00DB7466" w:rsidP="00AD4EA1"/>
    <w:p w14:paraId="573995E9" w14:textId="77777777" w:rsidR="00DB7466" w:rsidRDefault="00DB7466" w:rsidP="00AD4EA1"/>
    <w:p w14:paraId="5738E4E2" w14:textId="77777777" w:rsidR="00DB7466" w:rsidRDefault="00DB7466" w:rsidP="00AD4EA1"/>
    <w:p w14:paraId="3CB198C1" w14:textId="77777777" w:rsidR="00DB7466" w:rsidRDefault="00DB7466" w:rsidP="00AD4EA1"/>
    <w:p w14:paraId="043DF81D" w14:textId="77777777" w:rsidR="00DB7466" w:rsidRDefault="00DB7466" w:rsidP="00AD4EA1"/>
    <w:p w14:paraId="58641566" w14:textId="77777777" w:rsidR="00DB7466" w:rsidRDefault="00DB7466" w:rsidP="00AD4EA1"/>
    <w:p w14:paraId="1295D1FC" w14:textId="77777777" w:rsidR="00DB7466" w:rsidRDefault="00DB7466" w:rsidP="00AD4EA1"/>
    <w:p w14:paraId="18A5618D" w14:textId="77777777" w:rsidR="00DB7466" w:rsidRDefault="00DB7466" w:rsidP="00AD4EA1"/>
    <w:p w14:paraId="1B9C301F" w14:textId="77777777" w:rsidR="00DB7466" w:rsidRDefault="00DB7466" w:rsidP="00AD4EA1"/>
    <w:p w14:paraId="51EEDD31" w14:textId="77777777" w:rsidR="00DB7466" w:rsidRDefault="00DB7466" w:rsidP="00AD4EA1"/>
    <w:p w14:paraId="53A88906" w14:textId="77777777" w:rsidR="00DB7466" w:rsidRDefault="00DB7466" w:rsidP="00AD4EA1"/>
    <w:p w14:paraId="039D9E6C" w14:textId="77777777" w:rsidR="00DB7466" w:rsidRDefault="00DB7466" w:rsidP="00AD4EA1"/>
    <w:p w14:paraId="50D356A5" w14:textId="77777777" w:rsidR="00DB7466" w:rsidRDefault="00DB7466" w:rsidP="00AD4EA1"/>
    <w:p w14:paraId="56AFE7BC" w14:textId="77777777" w:rsidR="00DB7466" w:rsidRDefault="00DB7466" w:rsidP="00AD4EA1"/>
    <w:p w14:paraId="3559F170" w14:textId="77777777" w:rsidR="00DB7466" w:rsidRDefault="00DB7466" w:rsidP="00AD4EA1"/>
    <w:p w14:paraId="56901CDE" w14:textId="77777777" w:rsidR="00DB7466" w:rsidRDefault="00DB7466" w:rsidP="00AD4EA1"/>
    <w:p w14:paraId="71B05FEA" w14:textId="77777777" w:rsidR="00DB7466" w:rsidRDefault="00DB7466" w:rsidP="00AD4EA1"/>
    <w:p w14:paraId="165C8A19" w14:textId="77777777" w:rsidR="00DB7466" w:rsidRDefault="00DB7466" w:rsidP="00AD4EA1"/>
    <w:p w14:paraId="772A9EBF" w14:textId="77777777" w:rsidR="00DB7466" w:rsidRDefault="00DB7466" w:rsidP="00AD4EA1"/>
    <w:p w14:paraId="3918F209" w14:textId="77777777" w:rsidR="00DB7466" w:rsidRDefault="00DB7466" w:rsidP="00AD4EA1"/>
    <w:p w14:paraId="0D0A056F" w14:textId="77777777" w:rsidR="00DB7466" w:rsidRDefault="00DB7466" w:rsidP="00AD4EA1"/>
    <w:p w14:paraId="547F35B6" w14:textId="77777777" w:rsidR="00DB7466" w:rsidRDefault="00DB7466" w:rsidP="00AD4EA1"/>
    <w:p w14:paraId="2F3C5E69" w14:textId="77777777" w:rsidR="00DB7466" w:rsidRDefault="00DB7466" w:rsidP="00AD4EA1"/>
    <w:p w14:paraId="39FEAD13" w14:textId="77777777" w:rsidR="00DB7466" w:rsidRDefault="00DB7466" w:rsidP="00AD4EA1"/>
    <w:p w14:paraId="7A427DF4" w14:textId="77777777" w:rsidR="00DB7466" w:rsidRDefault="00DB7466" w:rsidP="00AD4EA1"/>
    <w:p w14:paraId="63E6E17D" w14:textId="77777777" w:rsidR="00DB7466" w:rsidRDefault="00DB7466" w:rsidP="00AD4EA1"/>
    <w:p w14:paraId="2B656F53" w14:textId="77777777" w:rsidR="00DB7466" w:rsidRDefault="00DB7466" w:rsidP="00AD4EA1"/>
    <w:p w14:paraId="6D6C80BE" w14:textId="77777777" w:rsidR="00DB7466" w:rsidRDefault="00DB7466" w:rsidP="00AD4EA1"/>
    <w:p w14:paraId="7693DEB3" w14:textId="77777777" w:rsidR="00DB7466" w:rsidRDefault="00DB7466" w:rsidP="00AD4EA1"/>
    <w:p w14:paraId="21D3659A" w14:textId="77777777" w:rsidR="00DB7466" w:rsidRDefault="00DB7466" w:rsidP="00AD4EA1"/>
    <w:p w14:paraId="45ED8010" w14:textId="77777777" w:rsidR="00DB7466" w:rsidRDefault="00DB7466" w:rsidP="00AD4EA1"/>
    <w:p w14:paraId="4356CBB7" w14:textId="77777777" w:rsidR="00DB7466" w:rsidRDefault="00DB7466" w:rsidP="00AD4EA1"/>
    <w:p w14:paraId="73D20684" w14:textId="77777777" w:rsidR="00DB7466" w:rsidRDefault="00DB7466" w:rsidP="00AD4EA1"/>
    <w:p w14:paraId="5B50EA64" w14:textId="77777777" w:rsidR="00DB7466" w:rsidRDefault="00DB7466" w:rsidP="00AD4EA1"/>
    <w:p w14:paraId="4A3CE2A8" w14:textId="77777777" w:rsidR="00DB7466" w:rsidRDefault="00DB7466" w:rsidP="00AD4EA1"/>
    <w:p w14:paraId="1CD02931" w14:textId="77777777" w:rsidR="00DB7466" w:rsidRDefault="00DB7466" w:rsidP="00AD4EA1"/>
    <w:p w14:paraId="78C8EE53" w14:textId="77777777" w:rsidR="00DB7466" w:rsidRDefault="00DB7466" w:rsidP="00AD4EA1"/>
    <w:p w14:paraId="4F6BE8D4" w14:textId="77777777" w:rsidR="00DB7466" w:rsidRDefault="00DB7466" w:rsidP="00AD4EA1"/>
    <w:p w14:paraId="79CFDE76" w14:textId="77777777" w:rsidR="00DB7466" w:rsidRDefault="00DB7466" w:rsidP="00AD4EA1"/>
    <w:p w14:paraId="36963FB7" w14:textId="77777777" w:rsidR="00DB7466" w:rsidRDefault="00DB7466" w:rsidP="00AD4EA1"/>
    <w:p w14:paraId="3D172A38" w14:textId="77777777" w:rsidR="00DB7466" w:rsidRDefault="00DB7466" w:rsidP="00AD4EA1"/>
    <w:p w14:paraId="3CBB7EE9" w14:textId="77777777" w:rsidR="00DB7466" w:rsidRDefault="00DB7466" w:rsidP="00AD4EA1"/>
    <w:p w14:paraId="00007EF3" w14:textId="77777777" w:rsidR="00DB7466" w:rsidRDefault="00DB7466" w:rsidP="00AD4EA1"/>
    <w:p w14:paraId="2E12DCA3" w14:textId="77777777" w:rsidR="00DB7466" w:rsidRDefault="00DB7466" w:rsidP="00AD4EA1"/>
    <w:p w14:paraId="24A72113" w14:textId="77777777" w:rsidR="00DB7466" w:rsidRDefault="00DB7466" w:rsidP="00AD4EA1"/>
    <w:p w14:paraId="3AAC9E95" w14:textId="77777777" w:rsidR="00DB7466" w:rsidRDefault="00DB7466" w:rsidP="00AD4EA1"/>
    <w:p w14:paraId="0B4C9B50" w14:textId="77777777" w:rsidR="00DB7466" w:rsidRDefault="00DB7466" w:rsidP="00AD4EA1"/>
    <w:p w14:paraId="14EF1618" w14:textId="77777777" w:rsidR="00DB7466" w:rsidRDefault="00DB7466" w:rsidP="00AD4EA1"/>
    <w:p w14:paraId="332F5BE1" w14:textId="77777777" w:rsidR="00DB7466" w:rsidRDefault="00DB7466" w:rsidP="00AD4EA1"/>
    <w:p w14:paraId="3AE49351" w14:textId="77777777" w:rsidR="00DB7466" w:rsidRDefault="00DB7466" w:rsidP="00AD4EA1"/>
    <w:p w14:paraId="6DF45653" w14:textId="77777777" w:rsidR="00DB7466" w:rsidRDefault="00DB7466" w:rsidP="00AD4EA1"/>
    <w:p w14:paraId="51A0AE6E" w14:textId="77777777" w:rsidR="00DB7466" w:rsidRDefault="00DB7466" w:rsidP="00AD4EA1"/>
    <w:p w14:paraId="1C508A9B" w14:textId="77777777" w:rsidR="00DB7466" w:rsidRDefault="00DB7466" w:rsidP="00AD4EA1"/>
    <w:p w14:paraId="58E20B36" w14:textId="77777777" w:rsidR="00DB7466" w:rsidRDefault="00DB7466" w:rsidP="00AD4EA1"/>
    <w:p w14:paraId="72D50B94" w14:textId="77777777" w:rsidR="00DB7466" w:rsidRDefault="00DB7466" w:rsidP="00AD4EA1"/>
    <w:p w14:paraId="722A1B5B" w14:textId="77777777" w:rsidR="00DB7466" w:rsidRDefault="00DB7466" w:rsidP="00AD4EA1"/>
    <w:p w14:paraId="54687628" w14:textId="77777777" w:rsidR="00DB7466" w:rsidRDefault="00DB7466" w:rsidP="00AD4EA1"/>
    <w:p w14:paraId="4689BF5D" w14:textId="77777777" w:rsidR="00DB7466" w:rsidRDefault="00DB7466" w:rsidP="00AD4EA1"/>
    <w:p w14:paraId="2D7F1CAA" w14:textId="77777777" w:rsidR="00DB7466" w:rsidRDefault="00DB7466" w:rsidP="00AD4EA1"/>
    <w:p w14:paraId="007B8359" w14:textId="77777777" w:rsidR="00DB7466" w:rsidRDefault="00DB7466" w:rsidP="00AD4EA1"/>
    <w:p w14:paraId="1D6A9BCA" w14:textId="77777777" w:rsidR="00DB7466" w:rsidRDefault="00DB7466" w:rsidP="00AD4EA1"/>
    <w:p w14:paraId="1DE75F8A" w14:textId="77777777" w:rsidR="00DB7466" w:rsidRDefault="00DB7466" w:rsidP="00AD4EA1"/>
    <w:p w14:paraId="5048F73A" w14:textId="77777777" w:rsidR="00DB7466" w:rsidRDefault="00DB7466" w:rsidP="00AD4EA1"/>
    <w:p w14:paraId="1A415635" w14:textId="77777777" w:rsidR="00DB7466" w:rsidRDefault="00DB7466" w:rsidP="00AD4EA1"/>
    <w:p w14:paraId="57950139" w14:textId="77777777" w:rsidR="00DB7466" w:rsidRDefault="00DB7466" w:rsidP="00AD4EA1"/>
    <w:p w14:paraId="0A5CDCF9" w14:textId="77777777" w:rsidR="00DB7466" w:rsidRDefault="00DB7466" w:rsidP="00AD4EA1"/>
    <w:p w14:paraId="2795FA33" w14:textId="77777777" w:rsidR="00DB7466" w:rsidRDefault="00DB7466" w:rsidP="00AD4EA1"/>
    <w:p w14:paraId="3FAC43C7" w14:textId="77777777" w:rsidR="00DB7466" w:rsidRDefault="00DB7466" w:rsidP="00AD4EA1"/>
    <w:p w14:paraId="4EB10D8C" w14:textId="77777777" w:rsidR="00DB7466" w:rsidRDefault="00DB7466" w:rsidP="00AD4EA1"/>
    <w:p w14:paraId="79618F0B" w14:textId="77777777" w:rsidR="00DB7466" w:rsidRDefault="00DB7466" w:rsidP="00AD4EA1"/>
    <w:p w14:paraId="2EB99B5F" w14:textId="77777777" w:rsidR="00DB7466" w:rsidRDefault="00DB7466" w:rsidP="00AD4EA1"/>
    <w:p w14:paraId="218A6773" w14:textId="77777777" w:rsidR="00DB7466" w:rsidRDefault="00DB7466" w:rsidP="00AD4EA1"/>
    <w:p w14:paraId="55AF7BBF" w14:textId="77777777" w:rsidR="00DB7466" w:rsidRDefault="00DB7466" w:rsidP="00AD4EA1"/>
    <w:p w14:paraId="482B277A" w14:textId="77777777" w:rsidR="00DB7466" w:rsidRDefault="00DB7466" w:rsidP="00AD4EA1"/>
    <w:p w14:paraId="3A964C09" w14:textId="77777777" w:rsidR="00DB7466" w:rsidRDefault="00DB7466" w:rsidP="00AD4EA1"/>
    <w:p w14:paraId="32EFD182" w14:textId="77777777" w:rsidR="00DB7466" w:rsidRDefault="00DB7466" w:rsidP="00AD4EA1"/>
    <w:p w14:paraId="354532B5" w14:textId="77777777" w:rsidR="00DB7466" w:rsidRDefault="00DB7466" w:rsidP="00AD4EA1"/>
    <w:p w14:paraId="3AB7125C" w14:textId="77777777" w:rsidR="00DB7466" w:rsidRDefault="00DB7466" w:rsidP="00AD4EA1"/>
    <w:p w14:paraId="1C482DA3" w14:textId="77777777" w:rsidR="00DB7466" w:rsidRDefault="00DB7466" w:rsidP="00AD4EA1"/>
    <w:p w14:paraId="180B945E" w14:textId="77777777" w:rsidR="00DB7466" w:rsidRDefault="00DB7466" w:rsidP="00AD4EA1"/>
    <w:p w14:paraId="0F479EF0" w14:textId="77777777" w:rsidR="00DB7466" w:rsidRDefault="00DB7466" w:rsidP="00AD4EA1"/>
    <w:p w14:paraId="49A906EC" w14:textId="77777777" w:rsidR="00DB7466" w:rsidRDefault="00DB7466" w:rsidP="00AD4EA1"/>
    <w:p w14:paraId="747B6C3D" w14:textId="77777777" w:rsidR="00DB7466" w:rsidRDefault="00DB7466" w:rsidP="00AD4EA1"/>
    <w:p w14:paraId="3DF45E91" w14:textId="77777777" w:rsidR="00DB7466" w:rsidRDefault="00DB7466" w:rsidP="00AD4EA1"/>
    <w:p w14:paraId="62DCA4A2" w14:textId="77777777" w:rsidR="00DB7466" w:rsidRDefault="00DB7466" w:rsidP="00AD4EA1"/>
    <w:p w14:paraId="45A4D163" w14:textId="77777777" w:rsidR="00DB7466" w:rsidRDefault="00DB7466" w:rsidP="00AD4EA1"/>
    <w:p w14:paraId="5F01AA70" w14:textId="77777777" w:rsidR="00DB7466" w:rsidRDefault="00DB7466" w:rsidP="00AD4EA1"/>
    <w:p w14:paraId="5DF484F8" w14:textId="77777777" w:rsidR="00DB7466" w:rsidRDefault="00DB7466" w:rsidP="00AD4EA1"/>
    <w:p w14:paraId="089E08B8" w14:textId="77777777" w:rsidR="00DB7466" w:rsidRDefault="00DB7466" w:rsidP="00AD4EA1"/>
    <w:p w14:paraId="31C14087" w14:textId="77777777" w:rsidR="00DB7466" w:rsidRDefault="00DB7466" w:rsidP="00AD4EA1"/>
    <w:p w14:paraId="5DD55209" w14:textId="77777777" w:rsidR="00DB7466" w:rsidRDefault="00DB7466" w:rsidP="00AD4EA1"/>
    <w:p w14:paraId="5BB8F8B0" w14:textId="77777777" w:rsidR="00DB7466" w:rsidRDefault="00DB7466" w:rsidP="00AD4EA1"/>
    <w:p w14:paraId="62295479" w14:textId="77777777" w:rsidR="00DB7466" w:rsidRDefault="00DB7466" w:rsidP="00AD4EA1"/>
    <w:p w14:paraId="669A8C4F" w14:textId="77777777" w:rsidR="00DB7466" w:rsidRDefault="00DB7466" w:rsidP="00AD4EA1"/>
    <w:p w14:paraId="5205912F" w14:textId="77777777" w:rsidR="00DB7466" w:rsidRDefault="00DB7466" w:rsidP="00AD4EA1"/>
    <w:p w14:paraId="3A9F93C9" w14:textId="77777777" w:rsidR="00DB7466" w:rsidRDefault="00DB7466" w:rsidP="00AD4EA1"/>
    <w:p w14:paraId="16F56C73" w14:textId="77777777" w:rsidR="00DB7466" w:rsidRDefault="00DB7466" w:rsidP="00AD4EA1"/>
    <w:p w14:paraId="604E36DE" w14:textId="77777777" w:rsidR="00DB7466" w:rsidRDefault="00DB7466" w:rsidP="00AD4EA1"/>
    <w:p w14:paraId="339BBA3E" w14:textId="77777777" w:rsidR="00DB7466" w:rsidRDefault="00DB7466" w:rsidP="00AD4EA1"/>
    <w:p w14:paraId="78449CF5" w14:textId="77777777" w:rsidR="00DB7466" w:rsidRDefault="00DB7466" w:rsidP="00AD4EA1"/>
    <w:p w14:paraId="7B466B4C" w14:textId="77777777" w:rsidR="00DB7466" w:rsidRDefault="00DB7466" w:rsidP="00AD4EA1"/>
    <w:p w14:paraId="578F2C08" w14:textId="77777777" w:rsidR="00DB7466" w:rsidRDefault="00DB7466" w:rsidP="00AD4EA1"/>
    <w:p w14:paraId="2A991EA0" w14:textId="77777777" w:rsidR="00DB7466" w:rsidRDefault="00DB7466" w:rsidP="00AD4EA1"/>
    <w:p w14:paraId="4F38B34B" w14:textId="77777777" w:rsidR="00DB7466" w:rsidRDefault="00DB7466" w:rsidP="00AD4EA1"/>
    <w:p w14:paraId="4D4335E9" w14:textId="77777777" w:rsidR="00DB7466" w:rsidRDefault="00DB7466" w:rsidP="00AD4EA1"/>
    <w:p w14:paraId="26781A8A" w14:textId="77777777" w:rsidR="00DB7466" w:rsidRDefault="00DB7466" w:rsidP="00AD4EA1"/>
    <w:p w14:paraId="689EF360" w14:textId="77777777" w:rsidR="00DB7466" w:rsidRDefault="00DB7466" w:rsidP="00AD4EA1"/>
    <w:p w14:paraId="34EBA283" w14:textId="77777777" w:rsidR="00DB7466" w:rsidRDefault="00DB7466" w:rsidP="00AD4EA1"/>
    <w:p w14:paraId="4EC64000" w14:textId="77777777" w:rsidR="00DB7466" w:rsidRDefault="00DB7466" w:rsidP="00AD4EA1"/>
    <w:p w14:paraId="2692139F" w14:textId="77777777" w:rsidR="00DB7466" w:rsidRDefault="00DB7466" w:rsidP="00AD4EA1"/>
    <w:p w14:paraId="4D078983" w14:textId="77777777" w:rsidR="00DB7466" w:rsidRDefault="00DB7466" w:rsidP="00AD4EA1"/>
    <w:p w14:paraId="35333CC2" w14:textId="77777777" w:rsidR="00DB7466" w:rsidRDefault="00DB7466" w:rsidP="00AD4EA1"/>
    <w:p w14:paraId="09AEB3F9" w14:textId="77777777" w:rsidR="00DB7466" w:rsidRDefault="00DB7466" w:rsidP="00AD4EA1"/>
    <w:p w14:paraId="0E3B149A" w14:textId="77777777" w:rsidR="00DB7466" w:rsidRDefault="00DB7466" w:rsidP="00AD4EA1"/>
    <w:p w14:paraId="0B9213D1" w14:textId="77777777" w:rsidR="00DB7466" w:rsidRDefault="00DB7466" w:rsidP="00AD4EA1"/>
    <w:p w14:paraId="7E0EF16B" w14:textId="77777777" w:rsidR="00DB7466" w:rsidRDefault="00DB7466" w:rsidP="00AD4EA1"/>
    <w:p w14:paraId="1E50946D" w14:textId="77777777" w:rsidR="00DB7466" w:rsidRDefault="00DB7466" w:rsidP="00AD4EA1"/>
    <w:p w14:paraId="145AEB7F" w14:textId="77777777" w:rsidR="00DB7466" w:rsidRDefault="00DB7466" w:rsidP="00AD4EA1"/>
    <w:p w14:paraId="7F092F10" w14:textId="77777777" w:rsidR="00DB7466" w:rsidRDefault="00DB7466" w:rsidP="00AD4EA1"/>
    <w:p w14:paraId="1E5F8767" w14:textId="77777777" w:rsidR="00DB7466" w:rsidRDefault="00DB7466" w:rsidP="00AD4EA1"/>
    <w:p w14:paraId="51DA475E" w14:textId="77777777" w:rsidR="00DB7466" w:rsidRDefault="00DB7466" w:rsidP="00AD4EA1"/>
    <w:p w14:paraId="3DF0CFE5" w14:textId="77777777" w:rsidR="00DB7466" w:rsidRDefault="00DB7466" w:rsidP="00AD4EA1"/>
    <w:p w14:paraId="5A644980" w14:textId="77777777" w:rsidR="00DB7466" w:rsidRDefault="00DB7466" w:rsidP="00AD4EA1"/>
    <w:p w14:paraId="54648E03" w14:textId="77777777" w:rsidR="00DB7466" w:rsidRDefault="00DB7466" w:rsidP="00AD4EA1"/>
    <w:p w14:paraId="30A8F31D" w14:textId="77777777" w:rsidR="00DB7466" w:rsidRDefault="00DB7466" w:rsidP="00AD4EA1"/>
    <w:p w14:paraId="5C837A32" w14:textId="77777777" w:rsidR="00DB7466" w:rsidRDefault="00DB7466" w:rsidP="00AD4EA1"/>
    <w:p w14:paraId="3AF3C820" w14:textId="77777777" w:rsidR="00DB7466" w:rsidRDefault="00DB7466" w:rsidP="00AD4EA1"/>
    <w:p w14:paraId="3551460C" w14:textId="77777777" w:rsidR="00DB7466" w:rsidRDefault="00DB7466" w:rsidP="00AD4EA1"/>
    <w:p w14:paraId="09F90CB6" w14:textId="77777777" w:rsidR="00DB7466" w:rsidRDefault="00DB7466" w:rsidP="00AD4EA1"/>
    <w:p w14:paraId="32694722" w14:textId="77777777" w:rsidR="00DB7466" w:rsidRDefault="00DB7466" w:rsidP="00AD4EA1"/>
    <w:p w14:paraId="0BDAB2DB" w14:textId="77777777" w:rsidR="00DB7466" w:rsidRDefault="00DB7466" w:rsidP="00AD4EA1"/>
    <w:p w14:paraId="600C2451" w14:textId="77777777" w:rsidR="00DB7466" w:rsidRDefault="00DB7466" w:rsidP="00AD4EA1"/>
    <w:p w14:paraId="4CDA306F" w14:textId="77777777" w:rsidR="00DB7466" w:rsidRDefault="00DB7466" w:rsidP="00AD4EA1"/>
    <w:p w14:paraId="6980F993" w14:textId="77777777" w:rsidR="00DB7466" w:rsidRDefault="00DB7466" w:rsidP="00AD4EA1"/>
    <w:p w14:paraId="13F361C9" w14:textId="77777777" w:rsidR="00DB7466" w:rsidRDefault="00DB7466" w:rsidP="00AD4EA1"/>
    <w:p w14:paraId="7AFB0647" w14:textId="77777777" w:rsidR="00DB7466" w:rsidRDefault="00DB7466" w:rsidP="00AD4EA1"/>
    <w:p w14:paraId="0B2CBCB8" w14:textId="77777777" w:rsidR="00DB7466" w:rsidRDefault="00DB7466" w:rsidP="00AD4EA1"/>
    <w:p w14:paraId="4E509A1D" w14:textId="77777777" w:rsidR="00DB7466" w:rsidRDefault="00DB7466" w:rsidP="00AD4EA1"/>
    <w:p w14:paraId="05351804" w14:textId="77777777" w:rsidR="00DB7466" w:rsidRDefault="00DB7466" w:rsidP="00AD4EA1"/>
    <w:p w14:paraId="60E6FDE2" w14:textId="77777777" w:rsidR="00DB7466" w:rsidRDefault="00DB7466" w:rsidP="00AD4EA1"/>
    <w:p w14:paraId="18A6BC4B" w14:textId="77777777" w:rsidR="00DB7466" w:rsidRDefault="00DB7466" w:rsidP="00AD4EA1"/>
    <w:p w14:paraId="4F924005" w14:textId="77777777" w:rsidR="00DB7466" w:rsidRDefault="00DB7466" w:rsidP="00AD4EA1"/>
    <w:p w14:paraId="38AED130" w14:textId="77777777" w:rsidR="00DB7466" w:rsidRDefault="00DB7466" w:rsidP="00AD4EA1"/>
    <w:p w14:paraId="259C0252" w14:textId="77777777" w:rsidR="00DB7466" w:rsidRDefault="00DB7466" w:rsidP="00AD4EA1"/>
    <w:p w14:paraId="6D11BC22" w14:textId="77777777" w:rsidR="00DB7466" w:rsidRDefault="00DB7466" w:rsidP="00AD4EA1"/>
    <w:p w14:paraId="5C6B54F8" w14:textId="77777777" w:rsidR="00DB7466" w:rsidRDefault="00DB7466" w:rsidP="00AD4EA1"/>
    <w:p w14:paraId="1CA7883C" w14:textId="77777777" w:rsidR="00DB7466" w:rsidRDefault="00DB7466" w:rsidP="00AD4EA1"/>
    <w:p w14:paraId="62222CFA" w14:textId="77777777" w:rsidR="00DB7466" w:rsidRDefault="00DB7466" w:rsidP="00AD4EA1"/>
    <w:p w14:paraId="54246217" w14:textId="77777777" w:rsidR="00DB7466" w:rsidRDefault="00DB7466" w:rsidP="00AD4EA1"/>
    <w:p w14:paraId="12D3DC15" w14:textId="77777777" w:rsidR="00DB7466" w:rsidRDefault="00DB7466" w:rsidP="00AD4EA1"/>
    <w:p w14:paraId="64AECF4B" w14:textId="77777777" w:rsidR="00DB7466" w:rsidRDefault="00DB7466" w:rsidP="00AD4EA1"/>
    <w:p w14:paraId="21535CE5" w14:textId="77777777" w:rsidR="00DB7466" w:rsidRDefault="00DB7466" w:rsidP="00AD4EA1"/>
    <w:p w14:paraId="161F7F35" w14:textId="77777777" w:rsidR="00DB7466" w:rsidRDefault="00DB7466" w:rsidP="00AD4EA1"/>
    <w:p w14:paraId="515FC8B4" w14:textId="77777777" w:rsidR="00DB7466" w:rsidRDefault="00DB7466" w:rsidP="00AD4EA1"/>
    <w:p w14:paraId="62A380EC" w14:textId="77777777" w:rsidR="00DB7466" w:rsidRDefault="00DB7466" w:rsidP="00AD4EA1"/>
    <w:p w14:paraId="3595CE47" w14:textId="77777777" w:rsidR="00DB7466" w:rsidRDefault="00DB7466" w:rsidP="00AD4EA1"/>
    <w:p w14:paraId="4F174CE3" w14:textId="77777777" w:rsidR="00DB7466" w:rsidRDefault="00DB7466" w:rsidP="00AD4EA1"/>
    <w:p w14:paraId="4BED8B2A" w14:textId="77777777" w:rsidR="00DB7466" w:rsidRDefault="00DB7466" w:rsidP="00AD4EA1"/>
    <w:p w14:paraId="730096E8" w14:textId="77777777" w:rsidR="00DB7466" w:rsidRDefault="00DB7466" w:rsidP="00AD4EA1"/>
    <w:p w14:paraId="78AA3B83" w14:textId="77777777" w:rsidR="00DB7466" w:rsidRDefault="00DB7466" w:rsidP="00AD4EA1"/>
    <w:p w14:paraId="35BA0CE6" w14:textId="77777777" w:rsidR="00DB7466" w:rsidRDefault="00DB7466" w:rsidP="00AD4EA1"/>
    <w:p w14:paraId="3D8D9438" w14:textId="77777777" w:rsidR="00DB7466" w:rsidRDefault="00DB7466" w:rsidP="00AD4EA1"/>
    <w:p w14:paraId="7B7BF8D0" w14:textId="77777777" w:rsidR="00DB7466" w:rsidRDefault="00DB7466" w:rsidP="00AD4EA1"/>
    <w:p w14:paraId="5E0546E9" w14:textId="77777777" w:rsidR="00DB7466" w:rsidRDefault="00DB7466" w:rsidP="00AD4EA1"/>
    <w:p w14:paraId="0B7E4286" w14:textId="77777777" w:rsidR="00DB7466" w:rsidRDefault="00DB7466" w:rsidP="00AD4EA1"/>
    <w:p w14:paraId="05CAB50C" w14:textId="77777777" w:rsidR="00DB7466" w:rsidRDefault="00DB7466" w:rsidP="00AD4EA1"/>
    <w:p w14:paraId="4C9040D6" w14:textId="77777777" w:rsidR="00DB7466" w:rsidRDefault="00DB7466" w:rsidP="00AD4EA1"/>
    <w:p w14:paraId="5514236A" w14:textId="77777777" w:rsidR="00DB7466" w:rsidRDefault="00DB7466" w:rsidP="00AD4EA1"/>
    <w:p w14:paraId="009F72E7" w14:textId="77777777" w:rsidR="00DB7466" w:rsidRDefault="00DB7466" w:rsidP="00AD4EA1"/>
    <w:p w14:paraId="0007AFC9" w14:textId="77777777" w:rsidR="00DB7466" w:rsidRDefault="00DB7466" w:rsidP="00AD4EA1"/>
    <w:p w14:paraId="41EF5769" w14:textId="77777777" w:rsidR="00DB7466" w:rsidRDefault="00DB7466" w:rsidP="00AD4EA1"/>
    <w:p w14:paraId="15F92EA0" w14:textId="77777777" w:rsidR="00DB7466" w:rsidRDefault="00DB7466" w:rsidP="00AD4EA1"/>
    <w:p w14:paraId="137E646E" w14:textId="77777777" w:rsidR="00DB7466" w:rsidRDefault="00DB7466" w:rsidP="00AD4EA1"/>
    <w:p w14:paraId="72DF7B31" w14:textId="77777777" w:rsidR="00DB7466" w:rsidRDefault="00DB7466" w:rsidP="00AD4EA1"/>
    <w:p w14:paraId="0285FF97" w14:textId="77777777" w:rsidR="00DB7466" w:rsidRDefault="00DB7466" w:rsidP="00AD4EA1"/>
    <w:p w14:paraId="69AAEFD6" w14:textId="77777777" w:rsidR="00DB7466" w:rsidRDefault="00DB7466" w:rsidP="00AD4EA1"/>
    <w:p w14:paraId="5DBFD67C" w14:textId="77777777" w:rsidR="00DB7466" w:rsidRDefault="00DB7466" w:rsidP="00AD4EA1"/>
    <w:p w14:paraId="2394398D" w14:textId="77777777" w:rsidR="00DB7466" w:rsidRDefault="00DB7466" w:rsidP="00AD4EA1"/>
    <w:p w14:paraId="08709C49" w14:textId="77777777" w:rsidR="00DB7466" w:rsidRDefault="00DB7466" w:rsidP="00AD4EA1"/>
    <w:p w14:paraId="632849A0" w14:textId="77777777" w:rsidR="00DB7466" w:rsidRDefault="00DB7466" w:rsidP="00AD4EA1"/>
    <w:p w14:paraId="1B9D664E" w14:textId="77777777" w:rsidR="00DB7466" w:rsidRDefault="00DB7466" w:rsidP="00AD4EA1"/>
    <w:p w14:paraId="006A7663" w14:textId="77777777" w:rsidR="00DB7466" w:rsidRDefault="00DB7466" w:rsidP="00AD4EA1"/>
    <w:p w14:paraId="0F4C6259" w14:textId="77777777" w:rsidR="00DB7466" w:rsidRDefault="00DB7466" w:rsidP="00AD4EA1"/>
    <w:p w14:paraId="0065B486" w14:textId="77777777" w:rsidR="00DB7466" w:rsidRDefault="00DB7466" w:rsidP="00AD4EA1"/>
    <w:p w14:paraId="58CB1C88" w14:textId="77777777" w:rsidR="00DB7466" w:rsidRDefault="00DB7466" w:rsidP="00AD4EA1"/>
    <w:p w14:paraId="0312772C" w14:textId="77777777" w:rsidR="00DB7466" w:rsidRDefault="00DB7466" w:rsidP="00AD4EA1"/>
    <w:p w14:paraId="7672906C" w14:textId="77777777" w:rsidR="00DB7466" w:rsidRDefault="00DB7466" w:rsidP="00AD4EA1"/>
    <w:p w14:paraId="241B7D58" w14:textId="77777777" w:rsidR="00DB7466" w:rsidRDefault="00DB7466" w:rsidP="00AD4EA1"/>
    <w:p w14:paraId="4DA457FC" w14:textId="77777777" w:rsidR="00DB7466" w:rsidRDefault="00DB7466" w:rsidP="00AD4EA1"/>
    <w:p w14:paraId="34D02F2C" w14:textId="77777777" w:rsidR="00DB7466" w:rsidRDefault="00DB7466" w:rsidP="00AD4EA1"/>
    <w:p w14:paraId="31AE6F8C" w14:textId="77777777" w:rsidR="00DB7466" w:rsidRDefault="00DB7466" w:rsidP="00AD4EA1"/>
    <w:p w14:paraId="0BFA090E" w14:textId="77777777" w:rsidR="00DB7466" w:rsidRDefault="00DB7466" w:rsidP="00AD4EA1"/>
    <w:p w14:paraId="123A2499" w14:textId="77777777" w:rsidR="00DB7466" w:rsidRDefault="00DB7466" w:rsidP="00AD4EA1"/>
    <w:p w14:paraId="5B9AB222" w14:textId="77777777" w:rsidR="00DB7466" w:rsidRDefault="00DB7466" w:rsidP="00AD4EA1"/>
    <w:p w14:paraId="58B0B72A" w14:textId="77777777" w:rsidR="00DB7466" w:rsidRDefault="00DB7466" w:rsidP="00AD4EA1"/>
    <w:p w14:paraId="0E6FA6EB" w14:textId="77777777" w:rsidR="00DB7466" w:rsidRDefault="00DB7466" w:rsidP="00AD4EA1"/>
    <w:p w14:paraId="6C6344FC" w14:textId="77777777" w:rsidR="00DB7466" w:rsidRDefault="00DB7466" w:rsidP="00AD4EA1"/>
    <w:p w14:paraId="375A598E" w14:textId="77777777" w:rsidR="00DB7466" w:rsidRDefault="00DB7466" w:rsidP="00AD4EA1"/>
    <w:p w14:paraId="202A668B" w14:textId="77777777" w:rsidR="00DB7466" w:rsidRDefault="00DB7466" w:rsidP="00AD4EA1"/>
    <w:p w14:paraId="15ACA0B1" w14:textId="77777777" w:rsidR="00DB7466" w:rsidRDefault="00DB7466" w:rsidP="00AD4EA1"/>
    <w:p w14:paraId="1A9D50A3" w14:textId="77777777" w:rsidR="00DB7466" w:rsidRDefault="00DB7466" w:rsidP="00AD4EA1"/>
    <w:p w14:paraId="202B48BF" w14:textId="77777777" w:rsidR="00DB7466" w:rsidRDefault="00DB7466" w:rsidP="00AD4EA1"/>
    <w:p w14:paraId="37927E76" w14:textId="77777777" w:rsidR="00DB7466" w:rsidRDefault="00DB7466" w:rsidP="00AD4EA1"/>
    <w:p w14:paraId="0A0A3BC1" w14:textId="77777777" w:rsidR="00DB7466" w:rsidRDefault="00DB7466" w:rsidP="00AD4EA1"/>
    <w:p w14:paraId="45A30825" w14:textId="77777777" w:rsidR="00DB7466" w:rsidRDefault="00DB7466" w:rsidP="00AD4EA1"/>
    <w:p w14:paraId="1A7C53A7" w14:textId="77777777" w:rsidR="00DB7466" w:rsidRDefault="00DB7466" w:rsidP="00AD4EA1"/>
    <w:p w14:paraId="2EA1E9D6" w14:textId="77777777" w:rsidR="00DB7466" w:rsidRDefault="00DB7466" w:rsidP="00AD4EA1"/>
    <w:p w14:paraId="14948B1D" w14:textId="77777777" w:rsidR="00DB7466" w:rsidRDefault="00DB7466" w:rsidP="00AD4EA1"/>
    <w:p w14:paraId="21A99F3E" w14:textId="77777777" w:rsidR="00DB7466" w:rsidRDefault="00DB7466" w:rsidP="00AD4EA1"/>
    <w:p w14:paraId="034EE0D9" w14:textId="77777777" w:rsidR="00DB7466" w:rsidRDefault="00DB7466" w:rsidP="00AD4EA1"/>
    <w:p w14:paraId="041497B6" w14:textId="77777777" w:rsidR="00DB7466" w:rsidRDefault="00DB7466" w:rsidP="00AD4EA1"/>
    <w:p w14:paraId="250CE169" w14:textId="77777777" w:rsidR="00DB7466" w:rsidRDefault="00DB7466" w:rsidP="00AD4EA1"/>
    <w:p w14:paraId="7A303DC4" w14:textId="77777777" w:rsidR="00DB7466" w:rsidRDefault="00DB7466" w:rsidP="00AD4EA1"/>
    <w:p w14:paraId="27BE87D8" w14:textId="77777777" w:rsidR="00DB7466" w:rsidRDefault="00DB7466" w:rsidP="00AD4EA1"/>
    <w:p w14:paraId="536E4076" w14:textId="77777777" w:rsidR="00DB7466" w:rsidRDefault="00DB7466" w:rsidP="00AD4EA1"/>
    <w:p w14:paraId="47ABC449" w14:textId="77777777" w:rsidR="00DB7466" w:rsidRDefault="00DB7466" w:rsidP="00AD4EA1"/>
    <w:p w14:paraId="2396010F" w14:textId="77777777" w:rsidR="00DB7466" w:rsidRDefault="00DB7466" w:rsidP="00AD4EA1"/>
    <w:p w14:paraId="4CB35C70" w14:textId="77777777" w:rsidR="00DB7466" w:rsidRDefault="00DB7466" w:rsidP="00AD4EA1"/>
    <w:p w14:paraId="17EE132D" w14:textId="77777777" w:rsidR="00DB7466" w:rsidRDefault="00DB7466" w:rsidP="00AD4EA1"/>
    <w:p w14:paraId="23625AB3" w14:textId="77777777" w:rsidR="00DB7466" w:rsidRDefault="00DB7466" w:rsidP="00AD4EA1"/>
    <w:p w14:paraId="0F3E4518" w14:textId="77777777" w:rsidR="00DB7466" w:rsidRDefault="00DB7466" w:rsidP="00AD4EA1"/>
    <w:p w14:paraId="62ED68CE" w14:textId="77777777" w:rsidR="00DB7466" w:rsidRDefault="00DB7466" w:rsidP="00AD4EA1"/>
    <w:p w14:paraId="48DAA4CA" w14:textId="77777777" w:rsidR="00DB7466" w:rsidRDefault="00DB7466" w:rsidP="00AD4EA1"/>
    <w:p w14:paraId="06F0C030" w14:textId="77777777" w:rsidR="00DB7466" w:rsidRDefault="00DB7466" w:rsidP="00AD4EA1"/>
    <w:p w14:paraId="5D09AD01" w14:textId="77777777" w:rsidR="00DB7466" w:rsidRDefault="00DB7466" w:rsidP="00AD4EA1"/>
    <w:p w14:paraId="573EE8B6" w14:textId="77777777" w:rsidR="00DB7466" w:rsidRDefault="00DB7466" w:rsidP="00AD4EA1"/>
    <w:p w14:paraId="237276CB" w14:textId="77777777" w:rsidR="00DB7466" w:rsidRDefault="00DB7466" w:rsidP="00AD4EA1"/>
    <w:p w14:paraId="79441A11" w14:textId="77777777" w:rsidR="00DB7466" w:rsidRDefault="00DB7466" w:rsidP="00AD4EA1"/>
    <w:p w14:paraId="44A8F397" w14:textId="77777777" w:rsidR="00DB7466" w:rsidRDefault="00DB7466" w:rsidP="00AD4EA1"/>
    <w:p w14:paraId="2095B39C" w14:textId="77777777" w:rsidR="00DB7466" w:rsidRDefault="00DB7466" w:rsidP="00AD4EA1"/>
    <w:p w14:paraId="2A1833A7" w14:textId="77777777" w:rsidR="00DB7466" w:rsidRDefault="00DB7466" w:rsidP="00AD4EA1"/>
    <w:p w14:paraId="7D82482F" w14:textId="77777777" w:rsidR="00DB7466" w:rsidRDefault="00DB7466" w:rsidP="00AD4EA1"/>
    <w:p w14:paraId="0A182DF6" w14:textId="77777777" w:rsidR="00DB7466" w:rsidRDefault="00DB7466" w:rsidP="00AD4EA1"/>
    <w:p w14:paraId="5CA7E5A5" w14:textId="77777777" w:rsidR="00DB7466" w:rsidRDefault="00DB7466" w:rsidP="00AD4EA1"/>
    <w:p w14:paraId="3021DC62" w14:textId="77777777" w:rsidR="00DB7466" w:rsidRDefault="00DB7466" w:rsidP="00AD4EA1"/>
    <w:p w14:paraId="1E107598" w14:textId="77777777" w:rsidR="00DB7466" w:rsidRDefault="00DB7466" w:rsidP="00AD4EA1"/>
    <w:p w14:paraId="787C0176" w14:textId="77777777" w:rsidR="00DB7466" w:rsidRDefault="00DB7466" w:rsidP="00AD4EA1"/>
    <w:p w14:paraId="48510361" w14:textId="77777777" w:rsidR="00DB7466" w:rsidRDefault="00DB7466" w:rsidP="00AD4EA1"/>
    <w:p w14:paraId="66FB6F49" w14:textId="77777777" w:rsidR="00DB7466" w:rsidRDefault="00DB7466" w:rsidP="00AD4EA1"/>
    <w:p w14:paraId="56E9358F" w14:textId="77777777" w:rsidR="00DB7466" w:rsidRDefault="00DB7466" w:rsidP="00AD4EA1"/>
    <w:p w14:paraId="4BB89A52" w14:textId="77777777" w:rsidR="00DB7466" w:rsidRDefault="00DB7466" w:rsidP="00AD4EA1"/>
    <w:p w14:paraId="040520CC" w14:textId="77777777" w:rsidR="00DB7466" w:rsidRDefault="00DB7466" w:rsidP="00AD4EA1"/>
    <w:p w14:paraId="53C7DFE4" w14:textId="77777777" w:rsidR="00DB7466" w:rsidRDefault="00DB7466" w:rsidP="00AD4EA1"/>
    <w:p w14:paraId="35E506FE" w14:textId="77777777" w:rsidR="00DB7466" w:rsidRDefault="00DB7466" w:rsidP="00AD4EA1"/>
    <w:p w14:paraId="2E4A1DF5" w14:textId="77777777" w:rsidR="00DB7466" w:rsidRDefault="00DB7466" w:rsidP="00AD4EA1"/>
    <w:p w14:paraId="6C6C181E" w14:textId="77777777" w:rsidR="00DB7466" w:rsidRDefault="00DB7466" w:rsidP="00AD4EA1"/>
    <w:p w14:paraId="09E6281E" w14:textId="77777777" w:rsidR="00DB7466" w:rsidRDefault="00DB7466" w:rsidP="00AD4EA1"/>
    <w:p w14:paraId="5D9DCC0E" w14:textId="77777777" w:rsidR="00DB7466" w:rsidRDefault="00DB7466" w:rsidP="00AD4EA1"/>
    <w:p w14:paraId="09AA2808" w14:textId="77777777" w:rsidR="00DB7466" w:rsidRDefault="00DB7466" w:rsidP="00AD4EA1"/>
    <w:p w14:paraId="5FCE6072" w14:textId="77777777" w:rsidR="00DB7466" w:rsidRDefault="00DB7466" w:rsidP="00AD4EA1"/>
    <w:p w14:paraId="0B56CF55" w14:textId="77777777" w:rsidR="00DB7466" w:rsidRDefault="00DB7466" w:rsidP="00AD4EA1"/>
    <w:p w14:paraId="1C5CA229" w14:textId="77777777" w:rsidR="00DB7466" w:rsidRDefault="00DB7466" w:rsidP="00AD4EA1"/>
    <w:p w14:paraId="28C5ADCD" w14:textId="77777777" w:rsidR="00DB7466" w:rsidRDefault="00DB7466" w:rsidP="00AD4EA1"/>
    <w:p w14:paraId="42A96013" w14:textId="77777777" w:rsidR="00DB7466" w:rsidRDefault="00DB7466" w:rsidP="00AD4EA1"/>
    <w:p w14:paraId="76D78121" w14:textId="77777777" w:rsidR="00DB7466" w:rsidRDefault="00DB7466" w:rsidP="00AD4EA1"/>
    <w:p w14:paraId="4481D316" w14:textId="77777777" w:rsidR="00DB7466" w:rsidRDefault="00DB7466" w:rsidP="00AD4EA1"/>
    <w:p w14:paraId="438BD5D3" w14:textId="77777777" w:rsidR="00DB7466" w:rsidRDefault="00DB7466" w:rsidP="00AD4EA1"/>
    <w:p w14:paraId="6696C988" w14:textId="77777777" w:rsidR="00DB7466" w:rsidRDefault="00DB7466" w:rsidP="00AD4EA1"/>
    <w:p w14:paraId="41BE43FE" w14:textId="77777777" w:rsidR="00DB7466" w:rsidRDefault="00DB7466" w:rsidP="00AD4EA1"/>
    <w:p w14:paraId="3B433C18" w14:textId="77777777" w:rsidR="00DB7466" w:rsidRDefault="00DB7466" w:rsidP="00AD4EA1"/>
    <w:p w14:paraId="1D652FE0" w14:textId="77777777" w:rsidR="00DB7466" w:rsidRDefault="00DB7466" w:rsidP="00AD4EA1"/>
    <w:p w14:paraId="4DEA5EF8" w14:textId="77777777" w:rsidR="00DB7466" w:rsidRDefault="00DB7466" w:rsidP="00AD4EA1"/>
    <w:p w14:paraId="334A2B95" w14:textId="77777777" w:rsidR="00DB7466" w:rsidRDefault="00DB7466" w:rsidP="00AD4EA1"/>
    <w:p w14:paraId="3F76C4A7" w14:textId="77777777" w:rsidR="00DB7466" w:rsidRDefault="00DB7466" w:rsidP="00AD4EA1"/>
    <w:p w14:paraId="4A63061F" w14:textId="77777777" w:rsidR="00DB7466" w:rsidRDefault="00DB7466" w:rsidP="00AD4EA1"/>
    <w:p w14:paraId="53EEA9BA" w14:textId="77777777" w:rsidR="00DB7466" w:rsidRDefault="00DB7466" w:rsidP="00AD4EA1"/>
    <w:p w14:paraId="05F235F1" w14:textId="77777777" w:rsidR="00DB7466" w:rsidRDefault="00DB7466" w:rsidP="00AD4EA1"/>
    <w:p w14:paraId="380C0B35" w14:textId="77777777" w:rsidR="00DB7466" w:rsidRDefault="00DB7466" w:rsidP="00AD4EA1"/>
    <w:p w14:paraId="4116D3FC" w14:textId="77777777" w:rsidR="00DB7466" w:rsidRDefault="00DB7466" w:rsidP="00AD4EA1"/>
    <w:p w14:paraId="23CF3B52" w14:textId="77777777" w:rsidR="00DB7466" w:rsidRDefault="00DB7466" w:rsidP="00AD4EA1"/>
    <w:p w14:paraId="60238B49" w14:textId="77777777" w:rsidR="00DB7466" w:rsidRDefault="00DB7466" w:rsidP="00AD4EA1"/>
    <w:p w14:paraId="4EA348D5" w14:textId="77777777" w:rsidR="00DB7466" w:rsidRDefault="00DB7466" w:rsidP="00AD4EA1"/>
    <w:p w14:paraId="692E00FF" w14:textId="77777777" w:rsidR="00DB7466" w:rsidRDefault="00DB7466" w:rsidP="00AD4EA1"/>
    <w:p w14:paraId="24E92CE0" w14:textId="77777777" w:rsidR="00DB7466" w:rsidRDefault="00DB7466" w:rsidP="00AD4EA1"/>
    <w:p w14:paraId="206B58FB" w14:textId="77777777" w:rsidR="00DB7466" w:rsidRDefault="00DB7466" w:rsidP="00AD4EA1"/>
    <w:p w14:paraId="51415339" w14:textId="77777777" w:rsidR="00DB7466" w:rsidRDefault="00DB7466" w:rsidP="00AD4EA1"/>
    <w:p w14:paraId="52229AD5" w14:textId="77777777" w:rsidR="00DB7466" w:rsidRDefault="00DB7466" w:rsidP="00AD4EA1"/>
    <w:p w14:paraId="149AB127" w14:textId="77777777" w:rsidR="00DB7466" w:rsidRDefault="00DB7466" w:rsidP="00AD4EA1"/>
    <w:p w14:paraId="0D8ADB7F" w14:textId="77777777" w:rsidR="00DB7466" w:rsidRDefault="00DB7466" w:rsidP="00AD4EA1"/>
    <w:p w14:paraId="23133EB3" w14:textId="77777777" w:rsidR="00DB7466" w:rsidRDefault="00DB7466" w:rsidP="00AD4EA1"/>
    <w:p w14:paraId="34592F45" w14:textId="77777777" w:rsidR="00DB7466" w:rsidRDefault="00DB7466" w:rsidP="00AD4EA1"/>
    <w:p w14:paraId="5C774687" w14:textId="77777777" w:rsidR="00DB7466" w:rsidRDefault="00DB7466" w:rsidP="00AD4EA1"/>
    <w:p w14:paraId="66D9886D" w14:textId="77777777" w:rsidR="00DB7466" w:rsidRDefault="00DB7466" w:rsidP="00AD4EA1"/>
    <w:p w14:paraId="4253A034" w14:textId="77777777" w:rsidR="00DB7466" w:rsidRDefault="00DB7466" w:rsidP="00AD4EA1"/>
    <w:p w14:paraId="1D35C63B" w14:textId="77777777" w:rsidR="00DB7466" w:rsidRDefault="00DB7466" w:rsidP="00AD4EA1"/>
    <w:p w14:paraId="33028905" w14:textId="77777777" w:rsidR="00DB7466" w:rsidRDefault="00DB7466" w:rsidP="00AD4EA1"/>
    <w:p w14:paraId="034F5884" w14:textId="77777777" w:rsidR="00DB7466" w:rsidRDefault="00DB7466" w:rsidP="00AD4EA1"/>
    <w:p w14:paraId="16036F50" w14:textId="77777777" w:rsidR="00DB7466" w:rsidRDefault="00DB7466" w:rsidP="00AD4EA1"/>
    <w:p w14:paraId="1CD1FBC0" w14:textId="77777777" w:rsidR="00DB7466" w:rsidRDefault="00DB7466" w:rsidP="00AD4EA1"/>
    <w:p w14:paraId="3EB3BB42" w14:textId="77777777" w:rsidR="00DB7466" w:rsidRDefault="00DB7466" w:rsidP="00AD4EA1"/>
    <w:p w14:paraId="1023A9E6" w14:textId="77777777" w:rsidR="00DB7466" w:rsidRDefault="00DB7466" w:rsidP="00AD4EA1"/>
    <w:p w14:paraId="433984A4" w14:textId="77777777" w:rsidR="00DB7466" w:rsidRDefault="00DB7466" w:rsidP="00AD4EA1"/>
    <w:p w14:paraId="10A2683D" w14:textId="77777777" w:rsidR="00DB7466" w:rsidRDefault="00DB7466" w:rsidP="00AD4EA1"/>
    <w:p w14:paraId="4185ABC6" w14:textId="77777777" w:rsidR="00DB7466" w:rsidRDefault="00DB7466" w:rsidP="00AD4EA1"/>
    <w:p w14:paraId="401BACF0" w14:textId="77777777" w:rsidR="00DB7466" w:rsidRDefault="00DB7466" w:rsidP="00AD4EA1"/>
    <w:p w14:paraId="00C63D25" w14:textId="77777777" w:rsidR="00DB7466" w:rsidRDefault="00DB7466" w:rsidP="00AD4EA1"/>
    <w:p w14:paraId="502472A2" w14:textId="77777777" w:rsidR="00DB7466" w:rsidRDefault="00DB7466" w:rsidP="00AD4EA1"/>
    <w:p w14:paraId="214E818D" w14:textId="77777777" w:rsidR="00DB7466" w:rsidRDefault="00DB7466" w:rsidP="00AD4EA1"/>
    <w:p w14:paraId="5BCCD537" w14:textId="77777777" w:rsidR="00DB7466" w:rsidRDefault="00DB7466" w:rsidP="00AD4EA1"/>
    <w:p w14:paraId="5C1C7466" w14:textId="77777777" w:rsidR="00DB7466" w:rsidRDefault="00DB7466" w:rsidP="00AD4EA1"/>
    <w:p w14:paraId="4AAA4997" w14:textId="77777777" w:rsidR="00DB7466" w:rsidRDefault="00DB7466" w:rsidP="00AD4EA1"/>
    <w:p w14:paraId="01D60C36" w14:textId="77777777" w:rsidR="00DB7466" w:rsidRDefault="00DB7466" w:rsidP="00AD4EA1"/>
    <w:p w14:paraId="0B9F2BBE" w14:textId="77777777" w:rsidR="00DB7466" w:rsidRDefault="00DB7466" w:rsidP="00AD4EA1"/>
    <w:p w14:paraId="745DCD5F" w14:textId="77777777" w:rsidR="00DB7466" w:rsidRDefault="00DB7466" w:rsidP="00AD4EA1"/>
    <w:p w14:paraId="4D9CB2EF" w14:textId="77777777" w:rsidR="00DB7466" w:rsidRDefault="00DB7466" w:rsidP="00AD4EA1"/>
    <w:p w14:paraId="0F894814" w14:textId="77777777" w:rsidR="00DB7466" w:rsidRDefault="00DB7466" w:rsidP="00AD4EA1"/>
    <w:p w14:paraId="209EE529" w14:textId="77777777" w:rsidR="00DB7466" w:rsidRDefault="00DB7466" w:rsidP="00AD4EA1"/>
    <w:p w14:paraId="0ACA0AB9" w14:textId="77777777" w:rsidR="00DB7466" w:rsidRDefault="00DB7466" w:rsidP="00AD4EA1"/>
    <w:p w14:paraId="040A10DC" w14:textId="77777777" w:rsidR="00DB7466" w:rsidRDefault="00DB7466" w:rsidP="00AD4EA1"/>
    <w:p w14:paraId="11357D80" w14:textId="77777777" w:rsidR="00DB7466" w:rsidRDefault="00DB7466" w:rsidP="00AD4EA1"/>
    <w:p w14:paraId="4C1C461B" w14:textId="77777777" w:rsidR="00DB7466" w:rsidRDefault="00DB7466" w:rsidP="00AD4EA1"/>
    <w:p w14:paraId="73BA52E5" w14:textId="77777777" w:rsidR="00DB7466" w:rsidRDefault="00DB7466" w:rsidP="00AD4EA1"/>
    <w:p w14:paraId="4E0B1A45" w14:textId="77777777" w:rsidR="00DB7466" w:rsidRDefault="00DB7466" w:rsidP="00AD4EA1"/>
    <w:p w14:paraId="1AFBA54E" w14:textId="77777777" w:rsidR="00DB7466" w:rsidRDefault="00DB7466" w:rsidP="00AD4EA1"/>
    <w:p w14:paraId="43016BD1" w14:textId="77777777" w:rsidR="00DB7466" w:rsidRDefault="00DB7466" w:rsidP="00AD4EA1"/>
    <w:p w14:paraId="2891F988" w14:textId="77777777" w:rsidR="00DB7466" w:rsidRDefault="00DB7466" w:rsidP="00AD4EA1"/>
    <w:p w14:paraId="031EB0A0" w14:textId="77777777" w:rsidR="00DB7466" w:rsidRDefault="00DB7466" w:rsidP="00AD4EA1"/>
    <w:p w14:paraId="4B6A91E9" w14:textId="77777777" w:rsidR="00DB7466" w:rsidRDefault="00DB7466" w:rsidP="00AD4EA1"/>
    <w:p w14:paraId="526C82CB" w14:textId="77777777" w:rsidR="00DB7466" w:rsidRDefault="00DB7466" w:rsidP="00AD4EA1"/>
    <w:p w14:paraId="27E28CD9" w14:textId="77777777" w:rsidR="00DB7466" w:rsidRDefault="00DB7466" w:rsidP="00AD4EA1"/>
    <w:p w14:paraId="39423846" w14:textId="77777777" w:rsidR="00DB7466" w:rsidRDefault="00DB7466" w:rsidP="00AD4EA1"/>
    <w:p w14:paraId="3C75AE4C" w14:textId="77777777" w:rsidR="00DB7466" w:rsidRDefault="00DB7466" w:rsidP="00AD4EA1"/>
    <w:p w14:paraId="09AC5D6C" w14:textId="77777777" w:rsidR="00DB7466" w:rsidRDefault="00DB7466" w:rsidP="00AD4EA1"/>
    <w:p w14:paraId="3488BA79" w14:textId="77777777" w:rsidR="00DB7466" w:rsidRDefault="00DB7466" w:rsidP="00AD4EA1"/>
    <w:p w14:paraId="7C667D4F" w14:textId="77777777" w:rsidR="00DB7466" w:rsidRDefault="00DB7466" w:rsidP="00AD4EA1"/>
    <w:p w14:paraId="02E2393D" w14:textId="77777777" w:rsidR="00DB7466" w:rsidRDefault="00DB7466" w:rsidP="00AD4EA1"/>
    <w:p w14:paraId="3BBA7E40" w14:textId="77777777" w:rsidR="00DB7466" w:rsidRDefault="00DB7466" w:rsidP="00AD4EA1"/>
    <w:p w14:paraId="7C8A33B7" w14:textId="77777777" w:rsidR="00DB7466" w:rsidRDefault="00DB7466" w:rsidP="00AD4EA1"/>
    <w:p w14:paraId="5CEEFBD9" w14:textId="77777777" w:rsidR="00DB7466" w:rsidRDefault="00DB7466" w:rsidP="00AD4EA1"/>
    <w:p w14:paraId="5740A426" w14:textId="77777777" w:rsidR="00DB7466" w:rsidRDefault="00DB7466" w:rsidP="00AD4EA1"/>
    <w:p w14:paraId="65E62A5B" w14:textId="77777777" w:rsidR="00DB7466" w:rsidRDefault="00DB7466" w:rsidP="00AD4EA1"/>
    <w:p w14:paraId="49F3DC1F" w14:textId="77777777" w:rsidR="00DB7466" w:rsidRDefault="00DB7466" w:rsidP="00AD4EA1"/>
    <w:p w14:paraId="2B505CCB" w14:textId="77777777" w:rsidR="00DB7466" w:rsidRDefault="00DB7466" w:rsidP="00AD4EA1"/>
    <w:p w14:paraId="45048ED2" w14:textId="77777777" w:rsidR="00DB7466" w:rsidRDefault="00DB7466" w:rsidP="00AD4EA1"/>
    <w:p w14:paraId="5AE7D52B" w14:textId="77777777" w:rsidR="00DB7466" w:rsidRDefault="00DB7466" w:rsidP="00AD4EA1"/>
    <w:p w14:paraId="0AE9CC62" w14:textId="77777777" w:rsidR="00DB7466" w:rsidRDefault="00DB7466" w:rsidP="00AD4EA1"/>
    <w:p w14:paraId="46528572" w14:textId="77777777" w:rsidR="00DB7466" w:rsidRDefault="00DB7466" w:rsidP="00AD4EA1"/>
    <w:p w14:paraId="66D648F1" w14:textId="77777777" w:rsidR="00DB7466" w:rsidRDefault="00DB7466" w:rsidP="00AD4EA1"/>
    <w:p w14:paraId="45B94049" w14:textId="77777777" w:rsidR="00DB7466" w:rsidRDefault="00DB7466" w:rsidP="00AD4EA1"/>
    <w:p w14:paraId="6EE3F839" w14:textId="77777777" w:rsidR="00DB7466" w:rsidRDefault="00DB7466" w:rsidP="00AD4EA1"/>
    <w:p w14:paraId="3AB69C64" w14:textId="77777777" w:rsidR="00DB7466" w:rsidRDefault="00DB7466" w:rsidP="00AD4EA1"/>
    <w:p w14:paraId="0A9A8192" w14:textId="77777777" w:rsidR="00DB7466" w:rsidRDefault="00DB7466" w:rsidP="00AD4EA1"/>
    <w:p w14:paraId="64697E53" w14:textId="77777777" w:rsidR="00DB7466" w:rsidRDefault="00DB7466" w:rsidP="00AD4EA1"/>
    <w:p w14:paraId="3E203083" w14:textId="77777777" w:rsidR="00DB7466" w:rsidRDefault="00DB7466" w:rsidP="00AD4EA1"/>
    <w:p w14:paraId="73F1DCD1" w14:textId="77777777" w:rsidR="00DB7466" w:rsidRDefault="00DB7466" w:rsidP="00AD4EA1"/>
    <w:p w14:paraId="20B125DB" w14:textId="77777777" w:rsidR="00DB7466" w:rsidRDefault="00DB7466" w:rsidP="00AD4EA1"/>
    <w:p w14:paraId="4705F3A3" w14:textId="77777777" w:rsidR="00DB7466" w:rsidRDefault="00DB7466" w:rsidP="00AD4EA1"/>
    <w:p w14:paraId="4A608D14" w14:textId="77777777" w:rsidR="00DB7466" w:rsidRDefault="00DB7466" w:rsidP="00AD4EA1"/>
    <w:p w14:paraId="75112270" w14:textId="77777777" w:rsidR="00DB7466" w:rsidRDefault="00DB7466" w:rsidP="00AD4EA1"/>
    <w:p w14:paraId="2D630B4A" w14:textId="77777777" w:rsidR="00DB7466" w:rsidRDefault="00DB7466" w:rsidP="00AD4EA1"/>
    <w:p w14:paraId="4BB4DF3D" w14:textId="77777777" w:rsidR="00DB7466" w:rsidRDefault="00DB7466" w:rsidP="00AD4EA1"/>
    <w:p w14:paraId="74E4FA54" w14:textId="77777777" w:rsidR="00DB7466" w:rsidRDefault="00DB7466" w:rsidP="00AD4EA1"/>
    <w:p w14:paraId="0F645A2F" w14:textId="77777777" w:rsidR="00DB7466" w:rsidRDefault="00DB7466" w:rsidP="00AD4EA1"/>
    <w:p w14:paraId="17E485AF" w14:textId="77777777" w:rsidR="00DB7466" w:rsidRDefault="00DB7466" w:rsidP="00AD4EA1"/>
    <w:p w14:paraId="34E93E6D" w14:textId="77777777" w:rsidR="00DB7466" w:rsidRDefault="00DB7466" w:rsidP="00AD4EA1"/>
    <w:p w14:paraId="730CA9BF" w14:textId="77777777" w:rsidR="00DB7466" w:rsidRDefault="00DB7466" w:rsidP="00AD4EA1"/>
    <w:p w14:paraId="47D8EF89" w14:textId="77777777" w:rsidR="00DB7466" w:rsidRDefault="00DB7466" w:rsidP="00AD4EA1"/>
    <w:p w14:paraId="686A2B04" w14:textId="77777777" w:rsidR="00DB7466" w:rsidRDefault="00DB7466" w:rsidP="00AD4EA1"/>
    <w:p w14:paraId="4C0126E6" w14:textId="77777777" w:rsidR="00DB7466" w:rsidRDefault="00DB7466" w:rsidP="00AD4EA1"/>
    <w:p w14:paraId="633E155A" w14:textId="77777777" w:rsidR="00DB7466" w:rsidRDefault="00DB7466" w:rsidP="00AD4EA1"/>
    <w:p w14:paraId="5FC608B1" w14:textId="77777777" w:rsidR="00DB7466" w:rsidRDefault="00DB7466" w:rsidP="00AD4EA1"/>
    <w:p w14:paraId="4B4856D3" w14:textId="77777777" w:rsidR="00DB7466" w:rsidRDefault="00DB7466" w:rsidP="00AD4EA1"/>
    <w:p w14:paraId="3137C567" w14:textId="77777777" w:rsidR="00DB7466" w:rsidRDefault="00DB7466" w:rsidP="00AD4EA1"/>
    <w:p w14:paraId="439CD7B6" w14:textId="77777777" w:rsidR="00DB7466" w:rsidRDefault="00DB7466" w:rsidP="00AD4EA1"/>
    <w:p w14:paraId="730C2C0B" w14:textId="77777777" w:rsidR="00DB7466" w:rsidRDefault="00DB7466" w:rsidP="00AD4EA1"/>
    <w:p w14:paraId="3502946A" w14:textId="77777777" w:rsidR="00DB7466" w:rsidRDefault="00DB7466" w:rsidP="00AD4EA1"/>
    <w:p w14:paraId="3F046812" w14:textId="77777777" w:rsidR="00DB7466" w:rsidRDefault="00DB7466" w:rsidP="00AD4EA1"/>
    <w:p w14:paraId="271951E8" w14:textId="77777777" w:rsidR="00DB7466" w:rsidRDefault="00DB7466" w:rsidP="00AD4EA1"/>
    <w:p w14:paraId="1168032E" w14:textId="77777777" w:rsidR="00DB7466" w:rsidRDefault="00DB7466" w:rsidP="00AD4EA1"/>
    <w:p w14:paraId="5E4EC3A4" w14:textId="77777777" w:rsidR="00DB7466" w:rsidRDefault="00DB7466" w:rsidP="00AD4EA1"/>
    <w:p w14:paraId="0EB452CF" w14:textId="77777777" w:rsidR="00DB7466" w:rsidRDefault="00DB7466" w:rsidP="00AD4EA1"/>
    <w:p w14:paraId="36D975B7" w14:textId="77777777" w:rsidR="00DB7466" w:rsidRDefault="00DB7466" w:rsidP="00AD4EA1"/>
    <w:p w14:paraId="4F85AEE4" w14:textId="77777777" w:rsidR="00DB7466" w:rsidRDefault="00DB7466" w:rsidP="00AD4EA1"/>
    <w:p w14:paraId="5693509F" w14:textId="77777777" w:rsidR="00DB7466" w:rsidRDefault="00DB7466" w:rsidP="00AD4EA1"/>
    <w:p w14:paraId="6C88BDE6" w14:textId="77777777" w:rsidR="00DB7466" w:rsidRDefault="00DB7466" w:rsidP="00AD4EA1"/>
    <w:p w14:paraId="54EA0E19" w14:textId="77777777" w:rsidR="00DB7466" w:rsidRDefault="00DB7466" w:rsidP="00AD4EA1"/>
    <w:p w14:paraId="322BC480" w14:textId="77777777" w:rsidR="00DB7466" w:rsidRDefault="00DB7466" w:rsidP="00AD4EA1"/>
    <w:p w14:paraId="541E4029" w14:textId="77777777" w:rsidR="00DB7466" w:rsidRDefault="00DB7466" w:rsidP="00AD4EA1"/>
    <w:p w14:paraId="279040AF" w14:textId="77777777" w:rsidR="00DB7466" w:rsidRDefault="00DB7466" w:rsidP="00AD4EA1"/>
    <w:p w14:paraId="640E409B" w14:textId="77777777" w:rsidR="00DB7466" w:rsidRDefault="00DB7466" w:rsidP="00AD4EA1"/>
    <w:p w14:paraId="11D15BA5" w14:textId="77777777" w:rsidR="00DB7466" w:rsidRDefault="00DB7466" w:rsidP="00AD4EA1"/>
    <w:p w14:paraId="27B57A8C" w14:textId="77777777" w:rsidR="00DB7466" w:rsidRDefault="00DB7466" w:rsidP="00AD4EA1"/>
    <w:p w14:paraId="782B09C6" w14:textId="77777777" w:rsidR="00DB7466" w:rsidRDefault="00DB7466" w:rsidP="00AD4EA1"/>
    <w:p w14:paraId="2622E49F" w14:textId="77777777" w:rsidR="00DB7466" w:rsidRDefault="00DB7466" w:rsidP="00AD4EA1"/>
    <w:p w14:paraId="23A96C9F" w14:textId="77777777" w:rsidR="00DB7466" w:rsidRDefault="00DB7466" w:rsidP="00AD4EA1"/>
    <w:p w14:paraId="35B8E6D4" w14:textId="77777777" w:rsidR="00DB7466" w:rsidRDefault="00DB7466" w:rsidP="00AD4EA1"/>
    <w:p w14:paraId="117C2F68" w14:textId="77777777" w:rsidR="00DB7466" w:rsidRDefault="00DB7466" w:rsidP="00AD4EA1"/>
    <w:p w14:paraId="64335AD5" w14:textId="77777777" w:rsidR="00DB7466" w:rsidRDefault="00DB7466" w:rsidP="00AD4EA1"/>
    <w:p w14:paraId="2130841C" w14:textId="77777777" w:rsidR="00DB7466" w:rsidRDefault="00DB7466" w:rsidP="00AD4EA1"/>
    <w:p w14:paraId="5D48DAC5" w14:textId="77777777" w:rsidR="00DB7466" w:rsidRDefault="00DB7466" w:rsidP="00AD4EA1"/>
    <w:p w14:paraId="4EFDA509" w14:textId="77777777" w:rsidR="00DB7466" w:rsidRDefault="00DB7466" w:rsidP="00AD4EA1"/>
    <w:p w14:paraId="73B13291" w14:textId="77777777" w:rsidR="00DB7466" w:rsidRDefault="00DB7466" w:rsidP="00AD4EA1"/>
    <w:p w14:paraId="6FEDDEE2" w14:textId="77777777" w:rsidR="00DB7466" w:rsidRDefault="00DB7466" w:rsidP="00AD4EA1"/>
    <w:p w14:paraId="138C67D6" w14:textId="77777777" w:rsidR="00DB7466" w:rsidRDefault="00DB7466" w:rsidP="00AD4EA1"/>
    <w:p w14:paraId="0C78273B" w14:textId="77777777" w:rsidR="00DB7466" w:rsidRDefault="00DB7466" w:rsidP="00AD4EA1"/>
    <w:p w14:paraId="7885B588" w14:textId="77777777" w:rsidR="00DB7466" w:rsidRDefault="00DB7466" w:rsidP="00AD4EA1"/>
    <w:p w14:paraId="3C921DF7" w14:textId="77777777" w:rsidR="00DB7466" w:rsidRDefault="00DB7466" w:rsidP="00AD4EA1"/>
    <w:p w14:paraId="4C945470" w14:textId="77777777" w:rsidR="00DB7466" w:rsidRDefault="00DB7466" w:rsidP="00AD4EA1"/>
    <w:p w14:paraId="71782001" w14:textId="77777777" w:rsidR="00DB7466" w:rsidRDefault="00DB7466" w:rsidP="00AD4EA1"/>
    <w:p w14:paraId="2870C5F8" w14:textId="77777777" w:rsidR="00DB7466" w:rsidRDefault="00DB7466" w:rsidP="00AD4EA1"/>
    <w:p w14:paraId="09677B76" w14:textId="77777777" w:rsidR="00DB7466" w:rsidRDefault="00DB7466" w:rsidP="00AD4EA1"/>
    <w:p w14:paraId="61F81277" w14:textId="77777777" w:rsidR="00DB7466" w:rsidRDefault="00DB7466" w:rsidP="00AD4EA1"/>
    <w:p w14:paraId="04E94CB4" w14:textId="77777777" w:rsidR="00DB7466" w:rsidRDefault="00DB7466" w:rsidP="00AD4EA1"/>
    <w:p w14:paraId="05305755" w14:textId="77777777" w:rsidR="00DB7466" w:rsidRDefault="00DB7466" w:rsidP="00AD4EA1"/>
    <w:p w14:paraId="2A93055D" w14:textId="77777777" w:rsidR="00DB7466" w:rsidRDefault="00DB7466" w:rsidP="00AD4EA1"/>
    <w:p w14:paraId="65417E13" w14:textId="77777777" w:rsidR="00DB7466" w:rsidRDefault="00DB7466" w:rsidP="00AD4EA1"/>
    <w:p w14:paraId="1C8E8F13" w14:textId="77777777" w:rsidR="00DB7466" w:rsidRDefault="00DB7466" w:rsidP="00AD4EA1"/>
    <w:p w14:paraId="24137C28" w14:textId="77777777" w:rsidR="00DB7466" w:rsidRDefault="00DB7466" w:rsidP="00AD4EA1"/>
    <w:p w14:paraId="1A8EE379" w14:textId="77777777" w:rsidR="00DB7466" w:rsidRDefault="00DB7466" w:rsidP="00AD4EA1"/>
    <w:p w14:paraId="76B963BC" w14:textId="77777777" w:rsidR="00DB7466" w:rsidRDefault="00DB7466" w:rsidP="00AD4EA1"/>
    <w:p w14:paraId="413407C7" w14:textId="77777777" w:rsidR="00DB7466" w:rsidRDefault="00DB7466" w:rsidP="00AD4EA1"/>
    <w:p w14:paraId="041B271A" w14:textId="77777777" w:rsidR="00DB7466" w:rsidRDefault="00DB7466" w:rsidP="00AD4EA1"/>
    <w:p w14:paraId="20B7C0B4" w14:textId="77777777" w:rsidR="00DB7466" w:rsidRDefault="00DB7466" w:rsidP="00AD4EA1"/>
    <w:p w14:paraId="44686BF8" w14:textId="77777777" w:rsidR="00DB7466" w:rsidRDefault="00DB7466" w:rsidP="00AD4EA1"/>
    <w:p w14:paraId="7502D3DF" w14:textId="77777777" w:rsidR="00DB7466" w:rsidRDefault="00DB7466" w:rsidP="00AD4EA1"/>
    <w:p w14:paraId="0886F67F" w14:textId="77777777" w:rsidR="00DB7466" w:rsidRDefault="00DB7466" w:rsidP="00AD4EA1"/>
    <w:p w14:paraId="3CAB0994" w14:textId="77777777" w:rsidR="00DB7466" w:rsidRDefault="00DB7466" w:rsidP="00AD4EA1"/>
    <w:p w14:paraId="089B4963" w14:textId="77777777" w:rsidR="00DB7466" w:rsidRDefault="00DB7466" w:rsidP="00AD4EA1"/>
    <w:p w14:paraId="485B0D8B" w14:textId="77777777" w:rsidR="00DB7466" w:rsidRDefault="00DB7466" w:rsidP="00AD4EA1"/>
    <w:p w14:paraId="68235846" w14:textId="77777777" w:rsidR="00DB7466" w:rsidRDefault="00DB7466" w:rsidP="00AD4EA1"/>
    <w:p w14:paraId="2EFE59E9" w14:textId="77777777" w:rsidR="00DB7466" w:rsidRDefault="00DB7466" w:rsidP="00AD4EA1"/>
    <w:p w14:paraId="6ECC095F" w14:textId="77777777" w:rsidR="00DB7466" w:rsidRDefault="00DB7466" w:rsidP="00AD4EA1"/>
    <w:p w14:paraId="24907787" w14:textId="77777777" w:rsidR="00DB7466" w:rsidRDefault="00DB7466" w:rsidP="00AD4EA1"/>
    <w:p w14:paraId="55462CD1" w14:textId="77777777" w:rsidR="00DB7466" w:rsidRDefault="00DB7466" w:rsidP="00AD4EA1"/>
    <w:p w14:paraId="00321F4D" w14:textId="77777777" w:rsidR="00DB7466" w:rsidRDefault="00DB7466" w:rsidP="00AD4EA1"/>
    <w:p w14:paraId="1DE78A7E" w14:textId="77777777" w:rsidR="00DB7466" w:rsidRDefault="00DB7466" w:rsidP="00AD4EA1"/>
    <w:p w14:paraId="56B8BC1F" w14:textId="77777777" w:rsidR="00DB7466" w:rsidRDefault="00DB7466" w:rsidP="00AD4EA1"/>
    <w:p w14:paraId="0815C9E8" w14:textId="77777777" w:rsidR="00DB7466" w:rsidRDefault="00DB7466" w:rsidP="00AD4EA1"/>
    <w:p w14:paraId="46EF7830" w14:textId="77777777" w:rsidR="00DB7466" w:rsidRDefault="00DB7466" w:rsidP="00AD4EA1"/>
    <w:p w14:paraId="6BE29809" w14:textId="77777777" w:rsidR="00DB7466" w:rsidRDefault="00DB7466" w:rsidP="00AD4EA1"/>
    <w:p w14:paraId="6EEF7FDC" w14:textId="77777777" w:rsidR="00DB7466" w:rsidRDefault="00DB7466" w:rsidP="00AD4EA1"/>
    <w:p w14:paraId="75091F04" w14:textId="77777777" w:rsidR="00DB7466" w:rsidRDefault="00DB7466" w:rsidP="00AD4EA1"/>
    <w:p w14:paraId="79F7E5A5" w14:textId="77777777" w:rsidR="00DB7466" w:rsidRDefault="00DB7466" w:rsidP="00AD4EA1"/>
    <w:p w14:paraId="3631DB43" w14:textId="77777777" w:rsidR="00DB7466" w:rsidRDefault="00DB7466" w:rsidP="00AD4EA1"/>
    <w:p w14:paraId="31B5579B" w14:textId="77777777" w:rsidR="00DB7466" w:rsidRDefault="00DB7466" w:rsidP="00AD4EA1"/>
    <w:p w14:paraId="14EEACFA" w14:textId="77777777" w:rsidR="00DB7466" w:rsidRDefault="00DB7466" w:rsidP="00AD4EA1"/>
    <w:p w14:paraId="236EBA3B" w14:textId="77777777" w:rsidR="00DB7466" w:rsidRDefault="00DB7466" w:rsidP="00AD4EA1"/>
    <w:p w14:paraId="69EB20E1" w14:textId="77777777" w:rsidR="00DB7466" w:rsidRDefault="00DB7466" w:rsidP="00AD4EA1"/>
    <w:p w14:paraId="7C594175" w14:textId="77777777" w:rsidR="00DB7466" w:rsidRDefault="00DB7466" w:rsidP="00AD4EA1"/>
    <w:p w14:paraId="07313106" w14:textId="77777777" w:rsidR="00DB7466" w:rsidRDefault="00DB7466" w:rsidP="00AD4EA1"/>
    <w:p w14:paraId="05326F0D" w14:textId="77777777" w:rsidR="00DB7466" w:rsidRDefault="00DB7466" w:rsidP="00AD4EA1"/>
    <w:p w14:paraId="7ADAFE37" w14:textId="77777777" w:rsidR="00DB7466" w:rsidRDefault="00DB7466" w:rsidP="00AD4EA1"/>
    <w:p w14:paraId="3E578289" w14:textId="77777777" w:rsidR="00DB7466" w:rsidRDefault="00DB7466" w:rsidP="00AD4EA1"/>
    <w:p w14:paraId="3E3793AB" w14:textId="77777777" w:rsidR="00DB7466" w:rsidRDefault="00DB7466" w:rsidP="00AD4EA1"/>
    <w:p w14:paraId="7528CF0D" w14:textId="77777777" w:rsidR="00DB7466" w:rsidRDefault="00DB7466" w:rsidP="00AD4EA1"/>
    <w:p w14:paraId="399C0DF3" w14:textId="77777777" w:rsidR="00DB7466" w:rsidRDefault="00DB7466" w:rsidP="00AD4EA1"/>
    <w:p w14:paraId="32CFF03B" w14:textId="77777777" w:rsidR="00DB7466" w:rsidRDefault="00DB7466" w:rsidP="00AD4EA1"/>
    <w:p w14:paraId="6E3FCFD0" w14:textId="77777777" w:rsidR="00DB7466" w:rsidRDefault="00DB7466" w:rsidP="00AD4EA1"/>
    <w:p w14:paraId="21144A3D" w14:textId="77777777" w:rsidR="00DB7466" w:rsidRDefault="00DB7466" w:rsidP="00AD4EA1"/>
    <w:p w14:paraId="2270BA63" w14:textId="77777777" w:rsidR="00DB7466" w:rsidRDefault="00DB7466" w:rsidP="00AD4EA1"/>
    <w:p w14:paraId="59AB3298" w14:textId="77777777" w:rsidR="00DB7466" w:rsidRDefault="00DB7466" w:rsidP="00AD4EA1"/>
    <w:p w14:paraId="17C0C7C4" w14:textId="77777777" w:rsidR="00DB7466" w:rsidRDefault="00DB7466" w:rsidP="00AD4EA1"/>
    <w:p w14:paraId="59BC55CF" w14:textId="77777777" w:rsidR="00DB7466" w:rsidRDefault="00DB7466" w:rsidP="00AD4EA1"/>
    <w:p w14:paraId="2934DB77" w14:textId="77777777" w:rsidR="00DB7466" w:rsidRDefault="00DB7466" w:rsidP="00AD4EA1"/>
    <w:p w14:paraId="6BD421F8" w14:textId="77777777" w:rsidR="00DB7466" w:rsidRDefault="00DB7466" w:rsidP="00AD4EA1"/>
    <w:p w14:paraId="44281AB5" w14:textId="77777777" w:rsidR="00DB7466" w:rsidRDefault="00DB7466" w:rsidP="00AD4EA1"/>
    <w:p w14:paraId="51957615" w14:textId="77777777" w:rsidR="00DB7466" w:rsidRDefault="00DB7466" w:rsidP="00AD4EA1"/>
    <w:p w14:paraId="6DDFE5C8" w14:textId="77777777" w:rsidR="00DB7466" w:rsidRDefault="00DB7466" w:rsidP="00AD4EA1"/>
    <w:p w14:paraId="417F27E9" w14:textId="77777777" w:rsidR="00DB7466" w:rsidRDefault="00DB7466" w:rsidP="00AD4EA1"/>
    <w:p w14:paraId="462AF208" w14:textId="77777777" w:rsidR="00DB7466" w:rsidRDefault="00DB7466" w:rsidP="00AD4EA1"/>
    <w:p w14:paraId="7893F552" w14:textId="77777777" w:rsidR="00DB7466" w:rsidRDefault="00DB7466" w:rsidP="00AD4EA1"/>
    <w:p w14:paraId="5F373184" w14:textId="77777777" w:rsidR="00DB7466" w:rsidRDefault="00DB7466" w:rsidP="00AD4EA1"/>
    <w:p w14:paraId="63736FFD" w14:textId="77777777" w:rsidR="00DB7466" w:rsidRDefault="00DB7466" w:rsidP="00AD4EA1"/>
    <w:p w14:paraId="5E9C3159" w14:textId="77777777" w:rsidR="00DB7466" w:rsidRDefault="00DB7466" w:rsidP="00AD4EA1"/>
    <w:p w14:paraId="291E0783" w14:textId="77777777" w:rsidR="00DB7466" w:rsidRDefault="00DB7466" w:rsidP="00AD4EA1"/>
    <w:p w14:paraId="001300D0" w14:textId="77777777" w:rsidR="00DB7466" w:rsidRDefault="00DB7466" w:rsidP="00AD4EA1"/>
    <w:p w14:paraId="7412E554" w14:textId="77777777" w:rsidR="00DB7466" w:rsidRDefault="00DB7466" w:rsidP="00AD4EA1"/>
    <w:p w14:paraId="13F4C972" w14:textId="77777777" w:rsidR="00DB7466" w:rsidRDefault="00DB7466" w:rsidP="00AD4EA1"/>
    <w:p w14:paraId="30E0DA54" w14:textId="77777777" w:rsidR="00DB7466" w:rsidRDefault="00DB7466" w:rsidP="00AD4EA1"/>
    <w:p w14:paraId="3D24A008" w14:textId="77777777" w:rsidR="00DB7466" w:rsidRDefault="00DB7466" w:rsidP="00AD4EA1"/>
    <w:p w14:paraId="411C32BD" w14:textId="77777777" w:rsidR="00DB7466" w:rsidRDefault="00DB7466" w:rsidP="00AD4EA1"/>
    <w:p w14:paraId="71D362B6" w14:textId="77777777" w:rsidR="00DB7466" w:rsidRDefault="00DB7466" w:rsidP="00AD4EA1"/>
    <w:p w14:paraId="557EC917" w14:textId="77777777" w:rsidR="00DB7466" w:rsidRDefault="00DB7466" w:rsidP="00AD4EA1"/>
    <w:p w14:paraId="7BF563A0" w14:textId="77777777" w:rsidR="00DB7466" w:rsidRDefault="00DB7466" w:rsidP="00AD4EA1"/>
    <w:p w14:paraId="0FFBDD06" w14:textId="77777777" w:rsidR="00DB7466" w:rsidRDefault="00DB7466" w:rsidP="00AD4EA1"/>
    <w:p w14:paraId="4C5AF83C" w14:textId="77777777" w:rsidR="00DB7466" w:rsidRDefault="00DB7466" w:rsidP="00AD4EA1"/>
    <w:p w14:paraId="58F1F375" w14:textId="77777777" w:rsidR="00DB7466" w:rsidRDefault="00DB7466" w:rsidP="00AD4EA1"/>
    <w:p w14:paraId="5515AB4A" w14:textId="77777777" w:rsidR="00DB7466" w:rsidRDefault="00DB7466" w:rsidP="00AD4EA1"/>
    <w:p w14:paraId="3B592347" w14:textId="77777777" w:rsidR="00DB7466" w:rsidRDefault="00DB7466" w:rsidP="00AD4EA1"/>
    <w:p w14:paraId="65AB3C1F" w14:textId="77777777" w:rsidR="00DB7466" w:rsidRDefault="00DB7466" w:rsidP="00AD4EA1"/>
    <w:p w14:paraId="752E6F97" w14:textId="77777777" w:rsidR="00DB7466" w:rsidRDefault="00DB7466" w:rsidP="00AD4EA1"/>
    <w:p w14:paraId="117BD723" w14:textId="77777777" w:rsidR="00DB7466" w:rsidRDefault="00DB7466" w:rsidP="00AD4EA1"/>
    <w:p w14:paraId="56F9271D" w14:textId="77777777" w:rsidR="00DB7466" w:rsidRDefault="00DB7466" w:rsidP="00AD4EA1"/>
    <w:p w14:paraId="2F5E75BA" w14:textId="77777777" w:rsidR="00DB7466" w:rsidRDefault="00DB7466" w:rsidP="00AD4EA1"/>
    <w:p w14:paraId="55D73384" w14:textId="77777777" w:rsidR="00DB7466" w:rsidRDefault="00DB7466" w:rsidP="00AD4EA1"/>
    <w:p w14:paraId="3BE02BB7" w14:textId="77777777" w:rsidR="00DB7466" w:rsidRDefault="00DB7466" w:rsidP="00AD4EA1"/>
    <w:p w14:paraId="21F9E060" w14:textId="77777777" w:rsidR="00DB7466" w:rsidRDefault="00DB7466" w:rsidP="00AD4EA1"/>
    <w:p w14:paraId="0A219500" w14:textId="77777777" w:rsidR="00DB7466" w:rsidRDefault="00DB7466" w:rsidP="00AD4EA1"/>
    <w:p w14:paraId="455DD779" w14:textId="77777777" w:rsidR="00DB7466" w:rsidRDefault="00DB7466" w:rsidP="00AD4EA1"/>
    <w:p w14:paraId="3C2018D2" w14:textId="77777777" w:rsidR="00DB7466" w:rsidRDefault="00DB7466" w:rsidP="00AD4EA1"/>
    <w:p w14:paraId="3664FE4A" w14:textId="77777777" w:rsidR="00DB7466" w:rsidRDefault="00DB7466" w:rsidP="00AD4EA1"/>
    <w:p w14:paraId="5B7C3A18" w14:textId="77777777" w:rsidR="00DB7466" w:rsidRDefault="00DB7466" w:rsidP="00AD4EA1"/>
    <w:p w14:paraId="47CD830F" w14:textId="77777777" w:rsidR="00DB7466" w:rsidRDefault="00DB7466" w:rsidP="00AD4EA1"/>
    <w:p w14:paraId="3229B635" w14:textId="77777777" w:rsidR="00DB7466" w:rsidRDefault="00DB7466" w:rsidP="00AD4EA1"/>
    <w:p w14:paraId="053FEE58" w14:textId="77777777" w:rsidR="00DB7466" w:rsidRDefault="00DB7466" w:rsidP="00AD4EA1"/>
    <w:p w14:paraId="00A74658" w14:textId="77777777" w:rsidR="00DB7466" w:rsidRDefault="00DB7466" w:rsidP="00AD4EA1"/>
    <w:p w14:paraId="2C423D11" w14:textId="77777777" w:rsidR="00DB7466" w:rsidRDefault="00DB7466" w:rsidP="00AD4EA1"/>
    <w:p w14:paraId="042D7745" w14:textId="77777777" w:rsidR="00DB7466" w:rsidRDefault="00DB7466" w:rsidP="00AD4EA1"/>
    <w:p w14:paraId="5F45329F" w14:textId="77777777" w:rsidR="00DB7466" w:rsidRDefault="00DB7466" w:rsidP="00AD4EA1"/>
    <w:p w14:paraId="7CB3E7D2" w14:textId="77777777" w:rsidR="00DB7466" w:rsidRDefault="00DB7466" w:rsidP="00AD4EA1"/>
    <w:p w14:paraId="1CD15495" w14:textId="77777777" w:rsidR="00DB7466" w:rsidRDefault="00DB7466" w:rsidP="00AD4EA1"/>
    <w:p w14:paraId="25A6A42F" w14:textId="77777777" w:rsidR="00DB7466" w:rsidRDefault="00DB7466" w:rsidP="00AD4EA1"/>
    <w:p w14:paraId="04F56091" w14:textId="77777777" w:rsidR="00DB7466" w:rsidRDefault="00DB7466" w:rsidP="00AD4EA1"/>
    <w:p w14:paraId="548644B6" w14:textId="77777777" w:rsidR="00DB7466" w:rsidRDefault="00DB7466" w:rsidP="00AD4EA1"/>
    <w:p w14:paraId="3E06D023" w14:textId="77777777" w:rsidR="00DB7466" w:rsidRDefault="00DB7466" w:rsidP="00AD4EA1"/>
    <w:p w14:paraId="266B9646" w14:textId="77777777" w:rsidR="00DB7466" w:rsidRDefault="00DB7466" w:rsidP="00AD4EA1"/>
    <w:p w14:paraId="0870C0D1" w14:textId="77777777" w:rsidR="00DB7466" w:rsidRDefault="00DB7466" w:rsidP="00AD4EA1"/>
    <w:p w14:paraId="68A1CD0B" w14:textId="77777777" w:rsidR="00DB7466" w:rsidRDefault="00DB7466" w:rsidP="00AD4EA1"/>
    <w:p w14:paraId="224404E7" w14:textId="77777777" w:rsidR="00DB7466" w:rsidRDefault="00DB7466" w:rsidP="00AD4EA1"/>
    <w:p w14:paraId="267CC698" w14:textId="77777777" w:rsidR="00DB7466" w:rsidRDefault="00DB7466" w:rsidP="00AD4EA1"/>
    <w:p w14:paraId="1BDB834C" w14:textId="77777777" w:rsidR="00DB7466" w:rsidRDefault="00DB7466" w:rsidP="00AD4EA1"/>
    <w:p w14:paraId="4F48B86D" w14:textId="77777777" w:rsidR="00DB7466" w:rsidRDefault="00DB7466" w:rsidP="00AD4EA1"/>
    <w:p w14:paraId="33D801D1" w14:textId="77777777" w:rsidR="00DB7466" w:rsidRDefault="00DB7466" w:rsidP="00AD4EA1"/>
    <w:p w14:paraId="00CA8F10" w14:textId="77777777" w:rsidR="00DB7466" w:rsidRDefault="00DB7466" w:rsidP="00AD4EA1"/>
    <w:p w14:paraId="75DF0E02" w14:textId="77777777" w:rsidR="00DB7466" w:rsidRDefault="00DB7466" w:rsidP="00AD4EA1"/>
    <w:p w14:paraId="09296196" w14:textId="77777777" w:rsidR="00DB7466" w:rsidRDefault="00DB7466" w:rsidP="00AD4EA1"/>
    <w:p w14:paraId="13916414" w14:textId="77777777" w:rsidR="00DB7466" w:rsidRDefault="00DB7466" w:rsidP="00AD4EA1"/>
    <w:p w14:paraId="4BB909AA" w14:textId="77777777" w:rsidR="00DB7466" w:rsidRDefault="00DB7466" w:rsidP="00AD4EA1"/>
    <w:p w14:paraId="14B493A8" w14:textId="77777777" w:rsidR="00DB7466" w:rsidRDefault="00DB7466" w:rsidP="00AD4EA1"/>
    <w:p w14:paraId="6E913FC9" w14:textId="77777777" w:rsidR="00DB7466" w:rsidRDefault="00DB7466" w:rsidP="00AD4EA1"/>
    <w:p w14:paraId="55490538" w14:textId="77777777" w:rsidR="00DB7466" w:rsidRDefault="00DB7466" w:rsidP="00AD4EA1"/>
    <w:p w14:paraId="6D5A1147" w14:textId="77777777" w:rsidR="00DB7466" w:rsidRDefault="00DB7466" w:rsidP="00AD4EA1"/>
    <w:p w14:paraId="3355CC20" w14:textId="77777777" w:rsidR="00DB7466" w:rsidRDefault="00DB7466" w:rsidP="00AD4EA1"/>
    <w:p w14:paraId="7D84C0DC" w14:textId="77777777" w:rsidR="00DB7466" w:rsidRDefault="00DB7466" w:rsidP="00AD4EA1"/>
    <w:p w14:paraId="68E7C4EF" w14:textId="77777777" w:rsidR="00DB7466" w:rsidRDefault="00DB7466" w:rsidP="00AD4EA1"/>
    <w:p w14:paraId="1E7AFF56" w14:textId="77777777" w:rsidR="00DB7466" w:rsidRDefault="00DB7466" w:rsidP="00AD4EA1"/>
    <w:p w14:paraId="6FA2390A" w14:textId="77777777" w:rsidR="00DB7466" w:rsidRDefault="00DB7466" w:rsidP="00AD4EA1"/>
    <w:p w14:paraId="3D733AAE" w14:textId="77777777" w:rsidR="00DB7466" w:rsidRDefault="00DB7466" w:rsidP="00AD4EA1"/>
    <w:p w14:paraId="089EFD68" w14:textId="77777777" w:rsidR="00DB7466" w:rsidRDefault="00DB7466" w:rsidP="00AD4EA1"/>
    <w:p w14:paraId="566C2A3D" w14:textId="77777777" w:rsidR="00DB7466" w:rsidRDefault="00DB7466" w:rsidP="00AD4EA1"/>
    <w:p w14:paraId="0E9D4D7D" w14:textId="77777777" w:rsidR="00DB7466" w:rsidRDefault="00DB7466" w:rsidP="00AD4EA1"/>
    <w:p w14:paraId="43B27A65" w14:textId="77777777" w:rsidR="00DB7466" w:rsidRDefault="00DB7466" w:rsidP="00AD4EA1"/>
    <w:p w14:paraId="310E4132" w14:textId="77777777" w:rsidR="00DB7466" w:rsidRDefault="00DB7466" w:rsidP="00AD4EA1"/>
    <w:p w14:paraId="0AE7E01A" w14:textId="77777777" w:rsidR="00DB7466" w:rsidRDefault="00DB7466" w:rsidP="00AD4EA1"/>
    <w:p w14:paraId="7C8CFD1D" w14:textId="77777777" w:rsidR="00DB7466" w:rsidRDefault="00DB7466" w:rsidP="00AD4EA1"/>
    <w:p w14:paraId="47D7402A" w14:textId="77777777" w:rsidR="00DB7466" w:rsidRDefault="00DB7466" w:rsidP="00AD4EA1"/>
    <w:p w14:paraId="27C56433" w14:textId="77777777" w:rsidR="00DB7466" w:rsidRDefault="00DB7466" w:rsidP="00AD4EA1"/>
    <w:p w14:paraId="5AA1C34E" w14:textId="77777777" w:rsidR="00DB7466" w:rsidRDefault="00DB7466" w:rsidP="00AD4EA1"/>
    <w:p w14:paraId="0ACE6BD1" w14:textId="77777777" w:rsidR="00DB7466" w:rsidRDefault="00DB7466" w:rsidP="00AD4EA1"/>
    <w:p w14:paraId="2C0AFAA8" w14:textId="77777777" w:rsidR="00DB7466" w:rsidRDefault="00DB7466" w:rsidP="00AD4EA1"/>
    <w:p w14:paraId="3C3ECEAE" w14:textId="77777777" w:rsidR="00DB7466" w:rsidRDefault="00DB7466" w:rsidP="00AD4EA1"/>
    <w:p w14:paraId="508BC645" w14:textId="77777777" w:rsidR="00DB7466" w:rsidRDefault="00DB7466" w:rsidP="00AD4EA1"/>
    <w:p w14:paraId="1D4235D6" w14:textId="77777777" w:rsidR="00DB7466" w:rsidRDefault="00DB7466" w:rsidP="00AD4EA1"/>
    <w:p w14:paraId="10181462" w14:textId="77777777" w:rsidR="00DB7466" w:rsidRDefault="00DB7466" w:rsidP="00AD4EA1"/>
    <w:p w14:paraId="06D2AB94" w14:textId="77777777" w:rsidR="00DB7466" w:rsidRDefault="00DB7466" w:rsidP="00AD4EA1"/>
    <w:p w14:paraId="5B0CF42D" w14:textId="77777777" w:rsidR="00DB7466" w:rsidRDefault="00DB7466" w:rsidP="00AD4EA1"/>
    <w:p w14:paraId="1B005105" w14:textId="77777777" w:rsidR="00DB7466" w:rsidRDefault="00DB7466" w:rsidP="00AD4EA1"/>
    <w:p w14:paraId="7630EB27" w14:textId="77777777" w:rsidR="00DB7466" w:rsidRDefault="00DB7466" w:rsidP="00AD4EA1"/>
    <w:p w14:paraId="4DBA3C2A" w14:textId="77777777" w:rsidR="00DB7466" w:rsidRDefault="00DB7466" w:rsidP="00AD4EA1"/>
    <w:p w14:paraId="7CA300FA" w14:textId="77777777" w:rsidR="00DB7466" w:rsidRDefault="00DB7466" w:rsidP="00AD4EA1"/>
    <w:p w14:paraId="14698257" w14:textId="77777777" w:rsidR="00DB7466" w:rsidRDefault="00DB7466" w:rsidP="00AD4EA1"/>
    <w:p w14:paraId="2EB9FF79" w14:textId="77777777" w:rsidR="00DB7466" w:rsidRDefault="00DB7466" w:rsidP="00AD4EA1"/>
    <w:p w14:paraId="308AA3D1" w14:textId="77777777" w:rsidR="00DB7466" w:rsidRDefault="00DB7466" w:rsidP="00AD4EA1"/>
    <w:p w14:paraId="51BB611E" w14:textId="77777777" w:rsidR="00DB7466" w:rsidRDefault="00DB7466" w:rsidP="00AD4EA1"/>
    <w:p w14:paraId="1C898DB9" w14:textId="77777777" w:rsidR="00DB7466" w:rsidRDefault="00DB7466" w:rsidP="00AD4EA1"/>
    <w:p w14:paraId="640EB32B" w14:textId="77777777" w:rsidR="00DB7466" w:rsidRDefault="00DB7466" w:rsidP="00AD4EA1"/>
    <w:p w14:paraId="22FC64F8" w14:textId="77777777" w:rsidR="00DB7466" w:rsidRDefault="00DB7466" w:rsidP="00AD4EA1"/>
    <w:p w14:paraId="47BA4A98" w14:textId="77777777" w:rsidR="00DB7466" w:rsidRDefault="00DB7466" w:rsidP="00AD4EA1"/>
    <w:p w14:paraId="50CC9484" w14:textId="77777777" w:rsidR="00DB7466" w:rsidRDefault="00DB7466" w:rsidP="00AD4EA1"/>
    <w:p w14:paraId="536A69FD" w14:textId="77777777" w:rsidR="00DB7466" w:rsidRDefault="00DB7466" w:rsidP="00AD4EA1"/>
    <w:p w14:paraId="3470E72D" w14:textId="77777777" w:rsidR="00DB7466" w:rsidRDefault="00DB7466" w:rsidP="00AD4EA1"/>
    <w:p w14:paraId="6A618223" w14:textId="77777777" w:rsidR="00DB7466" w:rsidRDefault="00DB7466" w:rsidP="00AD4EA1"/>
    <w:p w14:paraId="39CA5BEC" w14:textId="77777777" w:rsidR="00DB7466" w:rsidRDefault="00DB7466" w:rsidP="00AD4EA1"/>
    <w:p w14:paraId="23353318" w14:textId="77777777" w:rsidR="00DB7466" w:rsidRDefault="00DB7466" w:rsidP="00AD4EA1"/>
    <w:p w14:paraId="4AF5E8B3" w14:textId="77777777" w:rsidR="00DB7466" w:rsidRDefault="00DB7466" w:rsidP="00AD4EA1"/>
    <w:p w14:paraId="56ECF1B8" w14:textId="77777777" w:rsidR="00DB7466" w:rsidRDefault="00DB7466" w:rsidP="00AD4EA1"/>
    <w:p w14:paraId="5B01FFC0" w14:textId="77777777" w:rsidR="00DB7466" w:rsidRDefault="00DB7466" w:rsidP="00AD4EA1"/>
    <w:p w14:paraId="76BD55C5" w14:textId="77777777" w:rsidR="00DB7466" w:rsidRDefault="00DB7466" w:rsidP="00AD4EA1"/>
    <w:p w14:paraId="58904B6B" w14:textId="77777777" w:rsidR="00DB7466" w:rsidRDefault="00DB7466" w:rsidP="00AD4EA1"/>
    <w:p w14:paraId="32AA3498" w14:textId="77777777" w:rsidR="00DB7466" w:rsidRDefault="00DB7466" w:rsidP="00AD4EA1"/>
    <w:p w14:paraId="46B07433" w14:textId="77777777" w:rsidR="00DB7466" w:rsidRDefault="00DB7466" w:rsidP="00AD4EA1"/>
    <w:p w14:paraId="7A669F37" w14:textId="77777777" w:rsidR="00DB7466" w:rsidRDefault="00DB7466" w:rsidP="00AD4EA1"/>
    <w:p w14:paraId="4DF70740" w14:textId="77777777" w:rsidR="00DB7466" w:rsidRDefault="00DB7466" w:rsidP="00AD4EA1"/>
    <w:p w14:paraId="18DE0F46" w14:textId="77777777" w:rsidR="00DB7466" w:rsidRDefault="00DB7466" w:rsidP="00AD4EA1"/>
    <w:p w14:paraId="19FCAEEC" w14:textId="77777777" w:rsidR="00DB7466" w:rsidRDefault="00DB7466" w:rsidP="00AD4EA1"/>
    <w:p w14:paraId="0DCF59F2" w14:textId="77777777" w:rsidR="00DB7466" w:rsidRDefault="00DB7466" w:rsidP="00AD4EA1"/>
    <w:p w14:paraId="66BA53F5" w14:textId="77777777" w:rsidR="00DB7466" w:rsidRDefault="00DB7466" w:rsidP="00AD4EA1"/>
    <w:p w14:paraId="1533BCF1" w14:textId="77777777" w:rsidR="00DB7466" w:rsidRDefault="00DB7466" w:rsidP="00AD4EA1"/>
    <w:p w14:paraId="7CE42258" w14:textId="77777777" w:rsidR="00DB7466" w:rsidRDefault="00DB7466" w:rsidP="00AD4EA1"/>
    <w:p w14:paraId="57067E08" w14:textId="77777777" w:rsidR="00DB7466" w:rsidRDefault="00DB7466" w:rsidP="00AD4EA1"/>
    <w:p w14:paraId="2F1DE0AF" w14:textId="77777777" w:rsidR="00DB7466" w:rsidRDefault="00DB7466" w:rsidP="00AD4EA1"/>
    <w:p w14:paraId="28416301" w14:textId="77777777" w:rsidR="00DB7466" w:rsidRDefault="00DB7466" w:rsidP="00AD4EA1"/>
    <w:p w14:paraId="6F7FF780" w14:textId="77777777" w:rsidR="00DB7466" w:rsidRDefault="00DB7466" w:rsidP="00AD4EA1"/>
    <w:p w14:paraId="1B46D70C" w14:textId="77777777" w:rsidR="00DB7466" w:rsidRDefault="00DB7466" w:rsidP="00AD4EA1"/>
    <w:p w14:paraId="07B4B06B" w14:textId="77777777" w:rsidR="00DB7466" w:rsidRDefault="00DB7466" w:rsidP="00AD4EA1"/>
    <w:p w14:paraId="39E0B02B" w14:textId="77777777" w:rsidR="00DB7466" w:rsidRDefault="00DB7466" w:rsidP="00AD4EA1"/>
    <w:p w14:paraId="7BD33D68" w14:textId="77777777" w:rsidR="00DB7466" w:rsidRDefault="00DB7466" w:rsidP="00AD4EA1"/>
    <w:p w14:paraId="71E7AC2D" w14:textId="77777777" w:rsidR="00DB7466" w:rsidRDefault="00DB7466" w:rsidP="00AD4EA1"/>
    <w:p w14:paraId="5FC51BAE" w14:textId="77777777" w:rsidR="00DB7466" w:rsidRDefault="00DB7466" w:rsidP="00AD4EA1"/>
    <w:p w14:paraId="27C3BA41" w14:textId="77777777" w:rsidR="00DB7466" w:rsidRDefault="00DB7466" w:rsidP="00AD4EA1"/>
    <w:p w14:paraId="1ACD1380" w14:textId="77777777" w:rsidR="00DB7466" w:rsidRDefault="00DB7466" w:rsidP="00AD4EA1"/>
    <w:p w14:paraId="4871DEB4" w14:textId="77777777" w:rsidR="00DB7466" w:rsidRDefault="00DB7466" w:rsidP="00AD4EA1"/>
    <w:p w14:paraId="53798AFD" w14:textId="77777777" w:rsidR="00DB7466" w:rsidRDefault="00DB7466" w:rsidP="00AD4EA1"/>
    <w:p w14:paraId="78D5DF74" w14:textId="77777777" w:rsidR="00DB7466" w:rsidRDefault="00DB7466" w:rsidP="00AD4EA1"/>
    <w:p w14:paraId="3FEA5349" w14:textId="77777777" w:rsidR="00DB7466" w:rsidRDefault="00DB7466" w:rsidP="00AD4EA1"/>
    <w:p w14:paraId="1B89F1F6" w14:textId="77777777" w:rsidR="00DB7466" w:rsidRDefault="00DB7466" w:rsidP="00AD4EA1"/>
    <w:p w14:paraId="16142710" w14:textId="77777777" w:rsidR="00DB7466" w:rsidRDefault="00DB7466" w:rsidP="00AD4EA1"/>
    <w:p w14:paraId="1E2B493C" w14:textId="77777777" w:rsidR="00DB7466" w:rsidRDefault="00DB7466" w:rsidP="00AD4EA1"/>
    <w:p w14:paraId="7DA55404" w14:textId="77777777" w:rsidR="00DB7466" w:rsidRDefault="00DB7466" w:rsidP="00AD4EA1"/>
    <w:p w14:paraId="4A9519C2" w14:textId="77777777" w:rsidR="00DB7466" w:rsidRDefault="00DB7466" w:rsidP="00AD4EA1"/>
    <w:p w14:paraId="550A0E81" w14:textId="77777777" w:rsidR="00DB7466" w:rsidRDefault="00DB7466" w:rsidP="00AD4EA1"/>
    <w:p w14:paraId="7DDB3B55" w14:textId="77777777" w:rsidR="00DB7466" w:rsidRDefault="00DB7466" w:rsidP="00AD4EA1"/>
    <w:p w14:paraId="5E802F3A" w14:textId="77777777" w:rsidR="00DB7466" w:rsidRDefault="00DB7466" w:rsidP="00AD4EA1"/>
    <w:p w14:paraId="76A0ADF1" w14:textId="77777777" w:rsidR="00DB7466" w:rsidRDefault="00DB7466" w:rsidP="00AD4EA1"/>
    <w:p w14:paraId="0D3DE9A5" w14:textId="77777777" w:rsidR="00DB7466" w:rsidRDefault="00DB7466" w:rsidP="00AD4EA1"/>
    <w:p w14:paraId="1B39126B" w14:textId="77777777" w:rsidR="00DB7466" w:rsidRDefault="00DB7466" w:rsidP="00AD4EA1"/>
    <w:p w14:paraId="7784648A" w14:textId="77777777" w:rsidR="00DB7466" w:rsidRDefault="00DB7466" w:rsidP="00AD4EA1"/>
    <w:p w14:paraId="2D1201E3" w14:textId="77777777" w:rsidR="00DB7466" w:rsidRDefault="00DB7466" w:rsidP="00AD4EA1"/>
    <w:p w14:paraId="26DF2FC4" w14:textId="77777777" w:rsidR="00DB7466" w:rsidRDefault="00DB7466" w:rsidP="00AD4EA1"/>
    <w:p w14:paraId="5B3844EC" w14:textId="77777777" w:rsidR="00DB7466" w:rsidRDefault="00DB7466" w:rsidP="00AD4EA1"/>
    <w:p w14:paraId="18B8FFF5" w14:textId="77777777" w:rsidR="00DB7466" w:rsidRDefault="00DB7466" w:rsidP="00AD4EA1"/>
    <w:p w14:paraId="0C4014E7" w14:textId="77777777" w:rsidR="00DB7466" w:rsidRDefault="00DB7466" w:rsidP="00AD4EA1"/>
    <w:p w14:paraId="116E8C8E" w14:textId="77777777" w:rsidR="00DB7466" w:rsidRDefault="00DB7466" w:rsidP="00AD4EA1"/>
    <w:p w14:paraId="5912E49F" w14:textId="77777777" w:rsidR="00DB7466" w:rsidRDefault="00DB7466" w:rsidP="00AD4EA1"/>
    <w:p w14:paraId="44D99B14" w14:textId="77777777" w:rsidR="00DB7466" w:rsidRDefault="00DB7466" w:rsidP="00AD4EA1"/>
    <w:p w14:paraId="6B1F16A5" w14:textId="77777777" w:rsidR="00DB7466" w:rsidRDefault="00DB7466" w:rsidP="00AD4EA1"/>
    <w:p w14:paraId="22B4A39E" w14:textId="77777777" w:rsidR="00DB7466" w:rsidRDefault="00DB7466" w:rsidP="00AD4EA1"/>
    <w:p w14:paraId="06F598A1" w14:textId="77777777" w:rsidR="00DB7466" w:rsidRDefault="00DB7466" w:rsidP="00AD4EA1"/>
    <w:p w14:paraId="16ECFCC2" w14:textId="77777777" w:rsidR="00DB7466" w:rsidRDefault="00DB7466" w:rsidP="00AD4EA1"/>
    <w:p w14:paraId="1CA94EA8" w14:textId="77777777" w:rsidR="00DB7466" w:rsidRDefault="00DB7466" w:rsidP="00AD4EA1"/>
    <w:p w14:paraId="263B5501" w14:textId="77777777" w:rsidR="00DB7466" w:rsidRDefault="00DB7466" w:rsidP="00AD4EA1"/>
    <w:p w14:paraId="4D38D643" w14:textId="77777777" w:rsidR="00DB7466" w:rsidRDefault="00DB7466" w:rsidP="00AD4EA1"/>
    <w:p w14:paraId="1880AC72" w14:textId="77777777" w:rsidR="00DB7466" w:rsidRDefault="00DB7466" w:rsidP="00AD4EA1"/>
    <w:p w14:paraId="1B645EAB" w14:textId="77777777" w:rsidR="00DB7466" w:rsidRDefault="00DB7466" w:rsidP="00AD4EA1"/>
    <w:p w14:paraId="74908402" w14:textId="77777777" w:rsidR="00DB7466" w:rsidRDefault="00DB7466" w:rsidP="00AD4EA1"/>
    <w:p w14:paraId="67254247" w14:textId="77777777" w:rsidR="00DB7466" w:rsidRDefault="00DB7466" w:rsidP="00AD4EA1"/>
    <w:p w14:paraId="1B6C79E2" w14:textId="77777777" w:rsidR="00DB7466" w:rsidRDefault="00DB7466" w:rsidP="00AD4EA1"/>
    <w:p w14:paraId="2B8C8FA5" w14:textId="77777777" w:rsidR="00DB7466" w:rsidRDefault="00DB7466" w:rsidP="00AD4EA1"/>
    <w:p w14:paraId="4A6F7DCA" w14:textId="77777777" w:rsidR="00DB7466" w:rsidRDefault="00DB7466" w:rsidP="00AD4EA1"/>
    <w:p w14:paraId="323987D9" w14:textId="77777777" w:rsidR="00DB7466" w:rsidRDefault="00DB7466" w:rsidP="00AD4EA1"/>
    <w:p w14:paraId="641D6506" w14:textId="77777777" w:rsidR="00DB7466" w:rsidRDefault="00DB7466" w:rsidP="00AD4EA1"/>
    <w:p w14:paraId="56B9852C" w14:textId="77777777" w:rsidR="00DB7466" w:rsidRDefault="00DB7466" w:rsidP="00AD4EA1"/>
    <w:p w14:paraId="2636DBB4" w14:textId="77777777" w:rsidR="00DB7466" w:rsidRDefault="00DB7466" w:rsidP="00AD4EA1"/>
    <w:p w14:paraId="21973F64" w14:textId="77777777" w:rsidR="00DB7466" w:rsidRDefault="00DB7466" w:rsidP="00AD4EA1"/>
    <w:p w14:paraId="42679F3E" w14:textId="77777777" w:rsidR="00DB7466" w:rsidRDefault="00DB7466" w:rsidP="00AD4EA1"/>
    <w:p w14:paraId="1C54E50B" w14:textId="77777777" w:rsidR="00DB7466" w:rsidRDefault="00DB7466" w:rsidP="00AD4EA1"/>
    <w:p w14:paraId="7FE39076" w14:textId="77777777" w:rsidR="00DB7466" w:rsidRDefault="00DB7466" w:rsidP="00AD4EA1"/>
    <w:p w14:paraId="582A0B48" w14:textId="77777777" w:rsidR="00DB7466" w:rsidRDefault="00DB7466" w:rsidP="00AD4EA1"/>
    <w:p w14:paraId="5FFFB247" w14:textId="77777777" w:rsidR="00DB7466" w:rsidRDefault="00DB7466" w:rsidP="00AD4EA1"/>
    <w:p w14:paraId="6F6747EC" w14:textId="77777777" w:rsidR="00DB7466" w:rsidRDefault="00DB7466" w:rsidP="00AD4EA1"/>
    <w:p w14:paraId="683F2BC8" w14:textId="77777777" w:rsidR="00DB7466" w:rsidRDefault="00DB7466" w:rsidP="00AD4EA1"/>
    <w:p w14:paraId="5A7F8C05" w14:textId="77777777" w:rsidR="00DB7466" w:rsidRDefault="00DB7466" w:rsidP="00AD4EA1"/>
    <w:p w14:paraId="6A2B7906" w14:textId="77777777" w:rsidR="00DB7466" w:rsidRDefault="00DB7466" w:rsidP="00AD4EA1"/>
    <w:p w14:paraId="20CED9E3" w14:textId="77777777" w:rsidR="00DB7466" w:rsidRDefault="00DB7466" w:rsidP="00AD4EA1"/>
    <w:p w14:paraId="3A8992DC" w14:textId="77777777" w:rsidR="00DB7466" w:rsidRDefault="00DB7466" w:rsidP="00AD4EA1"/>
    <w:p w14:paraId="4AD3E101" w14:textId="77777777" w:rsidR="00DB7466" w:rsidRDefault="00DB7466" w:rsidP="00AD4EA1"/>
    <w:p w14:paraId="3D6BD076" w14:textId="77777777" w:rsidR="00DB7466" w:rsidRDefault="00DB7466" w:rsidP="00AD4EA1"/>
    <w:p w14:paraId="6C290453" w14:textId="77777777" w:rsidR="00DB7466" w:rsidRDefault="00DB7466" w:rsidP="00AD4EA1"/>
    <w:p w14:paraId="7C97CC99" w14:textId="77777777" w:rsidR="00DB7466" w:rsidRDefault="00DB7466" w:rsidP="00AD4EA1"/>
    <w:p w14:paraId="669111E0" w14:textId="77777777" w:rsidR="00DB7466" w:rsidRDefault="00DB7466" w:rsidP="00AD4EA1"/>
    <w:p w14:paraId="6667A7CC" w14:textId="77777777" w:rsidR="00DB7466" w:rsidRDefault="00DB7466" w:rsidP="00AD4EA1"/>
    <w:p w14:paraId="319D2CC1" w14:textId="77777777" w:rsidR="00DB7466" w:rsidRDefault="00DB7466" w:rsidP="00AD4EA1"/>
    <w:p w14:paraId="75CAB450" w14:textId="77777777" w:rsidR="00DB7466" w:rsidRDefault="00DB7466" w:rsidP="00AD4EA1"/>
    <w:p w14:paraId="7C7456D9" w14:textId="77777777" w:rsidR="00DB7466" w:rsidRDefault="00DB7466" w:rsidP="00AD4EA1"/>
    <w:p w14:paraId="1634B15B" w14:textId="77777777" w:rsidR="00DB7466" w:rsidRDefault="00DB7466" w:rsidP="00AD4EA1"/>
    <w:p w14:paraId="7E84A089" w14:textId="77777777" w:rsidR="00DB7466" w:rsidRDefault="00DB7466" w:rsidP="00AD4EA1"/>
    <w:p w14:paraId="410F959D" w14:textId="77777777" w:rsidR="00DB7466" w:rsidRDefault="00DB7466" w:rsidP="00AD4EA1"/>
    <w:p w14:paraId="0DEB8CF8" w14:textId="77777777" w:rsidR="00DB7466" w:rsidRDefault="00DB7466" w:rsidP="00AD4EA1"/>
    <w:p w14:paraId="208BACE9" w14:textId="77777777" w:rsidR="00DB7466" w:rsidRDefault="00DB7466" w:rsidP="00AD4EA1"/>
    <w:p w14:paraId="29751D92" w14:textId="77777777" w:rsidR="00DB7466" w:rsidRDefault="00DB7466" w:rsidP="00AD4EA1"/>
    <w:p w14:paraId="0CFC22FD" w14:textId="77777777" w:rsidR="00DB7466" w:rsidRDefault="00DB7466" w:rsidP="00AD4EA1"/>
    <w:p w14:paraId="3FD6F92F" w14:textId="77777777" w:rsidR="00DB7466" w:rsidRDefault="00DB7466" w:rsidP="00AD4EA1"/>
    <w:p w14:paraId="35225F89" w14:textId="77777777" w:rsidR="00DB7466" w:rsidRDefault="00DB7466" w:rsidP="00AD4EA1"/>
    <w:p w14:paraId="02B7CDFC" w14:textId="77777777" w:rsidR="00DB7466" w:rsidRDefault="00DB7466" w:rsidP="00AD4EA1"/>
    <w:p w14:paraId="6065ED66" w14:textId="77777777" w:rsidR="00DB7466" w:rsidRDefault="00DB7466" w:rsidP="00AD4EA1"/>
    <w:p w14:paraId="41514C61" w14:textId="77777777" w:rsidR="00DB7466" w:rsidRDefault="00DB7466" w:rsidP="00AD4EA1"/>
    <w:p w14:paraId="66EC0C6A" w14:textId="77777777" w:rsidR="00DB7466" w:rsidRDefault="00DB7466" w:rsidP="00AD4EA1"/>
    <w:p w14:paraId="08A51CEC" w14:textId="77777777" w:rsidR="00DB7466" w:rsidRDefault="00DB7466" w:rsidP="00AD4EA1"/>
    <w:p w14:paraId="4153381E" w14:textId="77777777" w:rsidR="00DB7466" w:rsidRDefault="00DB7466" w:rsidP="00AD4EA1"/>
    <w:p w14:paraId="309C9B16" w14:textId="77777777" w:rsidR="00DB7466" w:rsidRDefault="00DB7466" w:rsidP="00AD4EA1"/>
    <w:p w14:paraId="02F659B6" w14:textId="77777777" w:rsidR="00DB7466" w:rsidRDefault="00DB7466" w:rsidP="00AD4EA1"/>
    <w:p w14:paraId="3FDC4FDE" w14:textId="77777777" w:rsidR="00DB7466" w:rsidRDefault="00DB7466" w:rsidP="00AD4EA1"/>
    <w:p w14:paraId="01F0CCB3" w14:textId="77777777" w:rsidR="00DB7466" w:rsidRDefault="00DB7466" w:rsidP="00AD4EA1"/>
    <w:p w14:paraId="0DE9995D" w14:textId="77777777" w:rsidR="00DB7466" w:rsidRDefault="00DB7466" w:rsidP="00AD4EA1"/>
    <w:p w14:paraId="55AD5050" w14:textId="77777777" w:rsidR="00DB7466" w:rsidRDefault="00DB7466" w:rsidP="00AD4EA1"/>
    <w:p w14:paraId="74EF0180" w14:textId="77777777" w:rsidR="00DB7466" w:rsidRDefault="00DB7466" w:rsidP="00AD4EA1"/>
    <w:p w14:paraId="10196FAF" w14:textId="77777777" w:rsidR="00DB7466" w:rsidRDefault="00DB7466" w:rsidP="00AD4EA1"/>
    <w:p w14:paraId="3ADE3A82" w14:textId="77777777" w:rsidR="00DB7466" w:rsidRDefault="00DB7466" w:rsidP="00AD4EA1"/>
    <w:p w14:paraId="7A774DF6" w14:textId="77777777" w:rsidR="00DB7466" w:rsidRDefault="00DB7466" w:rsidP="00AD4EA1"/>
    <w:p w14:paraId="4DF6D42C" w14:textId="77777777" w:rsidR="00DB7466" w:rsidRDefault="00DB7466" w:rsidP="00AD4EA1"/>
    <w:p w14:paraId="113674ED" w14:textId="77777777" w:rsidR="00DB7466" w:rsidRDefault="00DB7466" w:rsidP="00AD4EA1"/>
    <w:p w14:paraId="713072E0" w14:textId="77777777" w:rsidR="00DB7466" w:rsidRDefault="00DB7466" w:rsidP="00AD4EA1"/>
    <w:p w14:paraId="6AB3DFDA" w14:textId="77777777" w:rsidR="00DB7466" w:rsidRDefault="00DB7466" w:rsidP="00AD4EA1"/>
    <w:p w14:paraId="119F9E5E" w14:textId="77777777" w:rsidR="00DB7466" w:rsidRDefault="00DB7466" w:rsidP="00AD4EA1"/>
    <w:p w14:paraId="338B2C67" w14:textId="77777777" w:rsidR="00DB7466" w:rsidRDefault="00DB7466" w:rsidP="00AD4EA1"/>
    <w:p w14:paraId="7D33445B" w14:textId="77777777" w:rsidR="00DB7466" w:rsidRDefault="00DB7466" w:rsidP="00AD4EA1"/>
    <w:p w14:paraId="32D24834" w14:textId="77777777" w:rsidR="00DB7466" w:rsidRDefault="00DB7466" w:rsidP="00AD4EA1"/>
    <w:p w14:paraId="4828B128" w14:textId="77777777" w:rsidR="00DB7466" w:rsidRDefault="00DB7466" w:rsidP="00AD4EA1"/>
    <w:p w14:paraId="5C212332" w14:textId="77777777" w:rsidR="00DB7466" w:rsidRDefault="00DB7466" w:rsidP="00AD4EA1"/>
    <w:p w14:paraId="7E5022EE" w14:textId="77777777" w:rsidR="00DB7466" w:rsidRDefault="00DB7466" w:rsidP="00AD4EA1"/>
    <w:p w14:paraId="635908A2" w14:textId="77777777" w:rsidR="00DB7466" w:rsidRDefault="00DB7466" w:rsidP="00AD4EA1"/>
    <w:p w14:paraId="69AD1893" w14:textId="77777777" w:rsidR="00DB7466" w:rsidRDefault="00DB7466" w:rsidP="00AD4EA1"/>
    <w:p w14:paraId="3094A48F" w14:textId="77777777" w:rsidR="00DB7466" w:rsidRDefault="00DB7466" w:rsidP="00AD4EA1"/>
    <w:p w14:paraId="5179BDAB" w14:textId="77777777" w:rsidR="00DB7466" w:rsidRDefault="00DB7466" w:rsidP="00AD4EA1"/>
    <w:p w14:paraId="466E1A0B" w14:textId="77777777" w:rsidR="00DB7466" w:rsidRDefault="00DB7466" w:rsidP="00AD4EA1"/>
    <w:p w14:paraId="08E9F86F" w14:textId="77777777" w:rsidR="00DB7466" w:rsidRDefault="00DB7466" w:rsidP="00AD4EA1"/>
    <w:p w14:paraId="12EC6509" w14:textId="77777777" w:rsidR="00DB7466" w:rsidRDefault="00DB7466" w:rsidP="00AD4EA1"/>
    <w:p w14:paraId="11ECD247" w14:textId="77777777" w:rsidR="00DB7466" w:rsidRDefault="00DB7466" w:rsidP="00AD4EA1"/>
    <w:p w14:paraId="454BB6A0" w14:textId="77777777" w:rsidR="00DB7466" w:rsidRDefault="00DB7466" w:rsidP="00AD4EA1"/>
    <w:p w14:paraId="04A9E0E2" w14:textId="77777777" w:rsidR="00DB7466" w:rsidRDefault="00DB7466" w:rsidP="00AD4EA1"/>
    <w:p w14:paraId="0424FFE5" w14:textId="77777777" w:rsidR="00DB7466" w:rsidRDefault="00DB7466" w:rsidP="00AD4EA1"/>
    <w:p w14:paraId="1A7993BD" w14:textId="77777777" w:rsidR="00DB7466" w:rsidRDefault="00DB7466" w:rsidP="00AD4EA1"/>
    <w:p w14:paraId="45257F32" w14:textId="77777777" w:rsidR="00DB7466" w:rsidRDefault="00DB7466" w:rsidP="00AD4EA1"/>
    <w:p w14:paraId="4A8D6A38" w14:textId="77777777" w:rsidR="00DB7466" w:rsidRDefault="00DB7466" w:rsidP="00AD4EA1"/>
    <w:p w14:paraId="2E30C401" w14:textId="77777777" w:rsidR="00DB7466" w:rsidRDefault="00DB7466" w:rsidP="00AD4EA1"/>
    <w:p w14:paraId="1FDC3627" w14:textId="77777777" w:rsidR="00DB7466" w:rsidRDefault="00DB7466" w:rsidP="00AD4EA1"/>
    <w:p w14:paraId="5E163D33" w14:textId="77777777" w:rsidR="00DB7466" w:rsidRDefault="00DB7466" w:rsidP="00AD4EA1"/>
    <w:p w14:paraId="1636AEDD" w14:textId="77777777" w:rsidR="00DB7466" w:rsidRDefault="00DB7466" w:rsidP="00AD4EA1"/>
    <w:p w14:paraId="4ADF05E3" w14:textId="77777777" w:rsidR="00DB7466" w:rsidRDefault="00DB7466" w:rsidP="00AD4EA1"/>
    <w:p w14:paraId="68F1B8BE" w14:textId="77777777" w:rsidR="00DB7466" w:rsidRDefault="00DB7466" w:rsidP="00AD4EA1"/>
    <w:p w14:paraId="1C4944B7" w14:textId="77777777" w:rsidR="00DB7466" w:rsidRDefault="00DB7466" w:rsidP="00AD4EA1"/>
    <w:p w14:paraId="41DDE557" w14:textId="77777777" w:rsidR="00DB7466" w:rsidRDefault="00DB7466" w:rsidP="00AD4EA1"/>
    <w:p w14:paraId="78B411AB" w14:textId="77777777" w:rsidR="00DB7466" w:rsidRDefault="00DB7466" w:rsidP="00AD4EA1"/>
    <w:p w14:paraId="2F16CFDF" w14:textId="77777777" w:rsidR="00DB7466" w:rsidRDefault="00DB7466" w:rsidP="00AD4EA1"/>
    <w:p w14:paraId="19317681" w14:textId="77777777" w:rsidR="00DB7466" w:rsidRDefault="00DB7466" w:rsidP="00AD4EA1"/>
    <w:p w14:paraId="199BFA33" w14:textId="77777777" w:rsidR="00DB7466" w:rsidRDefault="00DB7466" w:rsidP="00AD4EA1"/>
    <w:p w14:paraId="0FDA2702" w14:textId="77777777" w:rsidR="00DB7466" w:rsidRDefault="00DB7466" w:rsidP="00AD4EA1"/>
    <w:p w14:paraId="3F173F35" w14:textId="77777777" w:rsidR="00DB7466" w:rsidRDefault="00DB7466" w:rsidP="00AD4EA1"/>
    <w:p w14:paraId="79E0B907" w14:textId="77777777" w:rsidR="00DB7466" w:rsidRDefault="00DB7466" w:rsidP="00AD4EA1"/>
    <w:p w14:paraId="3D274D82" w14:textId="77777777" w:rsidR="00DB7466" w:rsidRDefault="00DB7466" w:rsidP="00AD4EA1"/>
    <w:p w14:paraId="27D559C2" w14:textId="77777777" w:rsidR="00DB7466" w:rsidRDefault="00DB7466" w:rsidP="00AD4EA1"/>
    <w:p w14:paraId="3EE11FAC" w14:textId="77777777" w:rsidR="00DB7466" w:rsidRDefault="00DB7466" w:rsidP="00AD4EA1"/>
    <w:p w14:paraId="5D88EC2A" w14:textId="77777777" w:rsidR="00DB7466" w:rsidRDefault="00DB7466" w:rsidP="00AD4EA1"/>
    <w:p w14:paraId="68D8E990" w14:textId="77777777" w:rsidR="00DB7466" w:rsidRDefault="00DB7466" w:rsidP="00AD4EA1"/>
    <w:p w14:paraId="64851F23" w14:textId="77777777" w:rsidR="00DB7466" w:rsidRDefault="00DB7466" w:rsidP="00AD4EA1"/>
    <w:p w14:paraId="62087C25" w14:textId="77777777" w:rsidR="00DB7466" w:rsidRDefault="00DB7466" w:rsidP="00AD4EA1"/>
    <w:p w14:paraId="7A8F8FFF" w14:textId="77777777" w:rsidR="00DB7466" w:rsidRDefault="00DB7466" w:rsidP="00AD4EA1"/>
    <w:p w14:paraId="709433CD" w14:textId="77777777" w:rsidR="00DB7466" w:rsidRDefault="00DB7466" w:rsidP="00AD4EA1"/>
    <w:p w14:paraId="00943D95" w14:textId="77777777" w:rsidR="00DB7466" w:rsidRDefault="00DB7466" w:rsidP="00AD4EA1"/>
    <w:p w14:paraId="520B2537" w14:textId="77777777" w:rsidR="00DB7466" w:rsidRDefault="00DB7466" w:rsidP="00AD4EA1"/>
    <w:p w14:paraId="109F8FA4" w14:textId="77777777" w:rsidR="00DB7466" w:rsidRDefault="00DB7466" w:rsidP="00AD4EA1"/>
    <w:p w14:paraId="545651A8" w14:textId="77777777" w:rsidR="00DB7466" w:rsidRDefault="00DB7466" w:rsidP="00AD4EA1"/>
    <w:p w14:paraId="0E877406" w14:textId="77777777" w:rsidR="00DB7466" w:rsidRDefault="00DB7466" w:rsidP="00AD4EA1"/>
    <w:p w14:paraId="7D7AC36C" w14:textId="77777777" w:rsidR="00DB7466" w:rsidRDefault="00DB7466" w:rsidP="00AD4EA1"/>
    <w:p w14:paraId="69A7FDBE" w14:textId="77777777" w:rsidR="00DB7466" w:rsidRDefault="00DB7466" w:rsidP="00AD4EA1"/>
    <w:p w14:paraId="6CBE576F" w14:textId="77777777" w:rsidR="00DB7466" w:rsidRDefault="00DB7466" w:rsidP="00AD4EA1"/>
    <w:p w14:paraId="5D2D2F5D" w14:textId="77777777" w:rsidR="00DB7466" w:rsidRDefault="00DB7466" w:rsidP="00AD4EA1"/>
    <w:p w14:paraId="297EEE4F" w14:textId="77777777" w:rsidR="00DB7466" w:rsidRDefault="00DB7466" w:rsidP="00AD4EA1"/>
    <w:p w14:paraId="05891948" w14:textId="77777777" w:rsidR="00DB7466" w:rsidRDefault="00DB7466" w:rsidP="00AD4EA1"/>
    <w:p w14:paraId="779B84B1" w14:textId="77777777" w:rsidR="00DB7466" w:rsidRDefault="00DB7466" w:rsidP="00AD4EA1"/>
    <w:p w14:paraId="243E7A94" w14:textId="77777777" w:rsidR="00DB7466" w:rsidRDefault="00DB7466" w:rsidP="00AD4EA1"/>
    <w:p w14:paraId="0BF15869" w14:textId="77777777" w:rsidR="00DB7466" w:rsidRDefault="00DB7466" w:rsidP="00AD4EA1"/>
    <w:p w14:paraId="44D9630D" w14:textId="77777777" w:rsidR="00DB7466" w:rsidRDefault="00DB7466" w:rsidP="00AD4EA1"/>
    <w:p w14:paraId="62B9B852" w14:textId="77777777" w:rsidR="00DB7466" w:rsidRDefault="00DB7466" w:rsidP="00AD4EA1"/>
    <w:p w14:paraId="09E11063" w14:textId="77777777" w:rsidR="00DB7466" w:rsidRDefault="00DB7466" w:rsidP="00AD4EA1"/>
    <w:p w14:paraId="1A3E5D57" w14:textId="77777777" w:rsidR="00DB7466" w:rsidRDefault="00DB7466" w:rsidP="00AD4EA1"/>
    <w:p w14:paraId="658F8EFF" w14:textId="77777777" w:rsidR="00DB7466" w:rsidRDefault="00DB7466" w:rsidP="00AD4EA1"/>
    <w:p w14:paraId="4F6DB5E9" w14:textId="77777777" w:rsidR="00DB7466" w:rsidRDefault="00DB7466" w:rsidP="00AD4EA1"/>
    <w:p w14:paraId="3EE88D5A" w14:textId="77777777" w:rsidR="00DB7466" w:rsidRDefault="00DB7466" w:rsidP="00AD4EA1"/>
    <w:p w14:paraId="7A838A23" w14:textId="77777777" w:rsidR="00DB7466" w:rsidRDefault="00DB7466" w:rsidP="00AD4EA1"/>
    <w:p w14:paraId="235755C1" w14:textId="77777777" w:rsidR="00DB7466" w:rsidRDefault="00DB7466" w:rsidP="00AD4EA1"/>
    <w:p w14:paraId="68819C76" w14:textId="77777777" w:rsidR="00DB7466" w:rsidRDefault="00DB7466" w:rsidP="00AD4EA1"/>
    <w:p w14:paraId="4F5C426B" w14:textId="77777777" w:rsidR="00DB7466" w:rsidRDefault="00DB7466" w:rsidP="00AD4EA1"/>
    <w:p w14:paraId="216CDDC3" w14:textId="77777777" w:rsidR="00DB7466" w:rsidRDefault="00DB7466" w:rsidP="00AD4EA1"/>
    <w:p w14:paraId="688441FA" w14:textId="77777777" w:rsidR="00DB7466" w:rsidRDefault="00DB7466" w:rsidP="00AD4EA1"/>
    <w:p w14:paraId="34E4003E" w14:textId="77777777" w:rsidR="00DB7466" w:rsidRDefault="00DB7466" w:rsidP="00AD4EA1"/>
    <w:p w14:paraId="29EA1DFF" w14:textId="77777777" w:rsidR="00DB7466" w:rsidRDefault="00DB7466" w:rsidP="00AD4EA1"/>
    <w:p w14:paraId="158D8074" w14:textId="77777777" w:rsidR="00DB7466" w:rsidRDefault="00DB7466" w:rsidP="00AD4EA1"/>
    <w:p w14:paraId="70859A2F" w14:textId="77777777" w:rsidR="00DB7466" w:rsidRDefault="00DB7466" w:rsidP="00AD4EA1"/>
    <w:p w14:paraId="5078F82E" w14:textId="77777777" w:rsidR="00DB7466" w:rsidRDefault="00DB7466" w:rsidP="00AD4EA1"/>
    <w:p w14:paraId="4BD5E755" w14:textId="77777777" w:rsidR="00DB7466" w:rsidRDefault="00DB7466" w:rsidP="00AD4EA1"/>
    <w:p w14:paraId="681893EC" w14:textId="77777777" w:rsidR="00DB7466" w:rsidRDefault="00DB7466" w:rsidP="00AD4EA1"/>
    <w:p w14:paraId="11EFC218" w14:textId="77777777" w:rsidR="00DB7466" w:rsidRDefault="00DB7466" w:rsidP="00AD4EA1"/>
    <w:p w14:paraId="35F5C1C6" w14:textId="77777777" w:rsidR="00DB7466" w:rsidRDefault="00DB7466" w:rsidP="00AD4EA1"/>
    <w:p w14:paraId="3017A578" w14:textId="77777777" w:rsidR="00DB7466" w:rsidRDefault="00DB7466" w:rsidP="00AD4EA1"/>
    <w:p w14:paraId="1633AC96" w14:textId="77777777" w:rsidR="00DB7466" w:rsidRDefault="00DB7466" w:rsidP="00AD4EA1"/>
    <w:p w14:paraId="5770AE9D" w14:textId="77777777" w:rsidR="00DB7466" w:rsidRDefault="00DB7466" w:rsidP="00AD4EA1"/>
    <w:p w14:paraId="18E798C0" w14:textId="77777777" w:rsidR="00DB7466" w:rsidRDefault="00DB7466" w:rsidP="00AD4EA1"/>
    <w:p w14:paraId="07DBBDD1" w14:textId="77777777" w:rsidR="00DB7466" w:rsidRDefault="00DB7466" w:rsidP="00AD4EA1"/>
    <w:p w14:paraId="140DBA05" w14:textId="77777777" w:rsidR="00DB7466" w:rsidRDefault="00DB7466" w:rsidP="00AD4EA1"/>
    <w:p w14:paraId="6DA6030B" w14:textId="77777777" w:rsidR="00DB7466" w:rsidRDefault="00DB7466" w:rsidP="00AD4EA1"/>
    <w:p w14:paraId="14CFA3CD" w14:textId="77777777" w:rsidR="00DB7466" w:rsidRDefault="00DB7466" w:rsidP="00AD4EA1"/>
    <w:p w14:paraId="7CCBAB0A" w14:textId="77777777" w:rsidR="00DB7466" w:rsidRDefault="00DB7466" w:rsidP="00AD4EA1"/>
    <w:p w14:paraId="2C6D87FC" w14:textId="77777777" w:rsidR="00DB7466" w:rsidRDefault="00DB7466" w:rsidP="00AD4EA1"/>
    <w:p w14:paraId="01069103" w14:textId="77777777" w:rsidR="00DB7466" w:rsidRDefault="00DB7466" w:rsidP="00AD4EA1"/>
    <w:p w14:paraId="73F5D7FC" w14:textId="77777777" w:rsidR="00DB7466" w:rsidRDefault="00DB7466" w:rsidP="00AD4EA1"/>
    <w:p w14:paraId="396BCBB8" w14:textId="77777777" w:rsidR="00DB7466" w:rsidRDefault="00DB7466" w:rsidP="00AD4EA1"/>
    <w:p w14:paraId="777329E2" w14:textId="77777777" w:rsidR="00DB7466" w:rsidRDefault="00DB7466" w:rsidP="00AD4EA1"/>
    <w:p w14:paraId="181AAD5A" w14:textId="77777777" w:rsidR="00DB7466" w:rsidRDefault="00DB7466" w:rsidP="00AD4EA1"/>
    <w:p w14:paraId="52791F0D" w14:textId="77777777" w:rsidR="00DB7466" w:rsidRDefault="00DB7466" w:rsidP="00AD4EA1"/>
    <w:p w14:paraId="0BA908E6" w14:textId="77777777" w:rsidR="00DB7466" w:rsidRDefault="00DB7466" w:rsidP="00AD4EA1"/>
    <w:p w14:paraId="6EC7047E" w14:textId="77777777" w:rsidR="00DB7466" w:rsidRDefault="00DB7466" w:rsidP="00AD4EA1"/>
    <w:p w14:paraId="640444AA" w14:textId="77777777" w:rsidR="00DB7466" w:rsidRDefault="00DB7466" w:rsidP="00AD4EA1"/>
    <w:p w14:paraId="12CB275F" w14:textId="77777777" w:rsidR="00DB7466" w:rsidRDefault="00DB7466" w:rsidP="00AD4EA1"/>
    <w:p w14:paraId="16B2136C" w14:textId="77777777" w:rsidR="00DB7466" w:rsidRDefault="00DB7466" w:rsidP="00AD4EA1"/>
    <w:p w14:paraId="489FDAA5" w14:textId="77777777" w:rsidR="00DB7466" w:rsidRDefault="00DB7466" w:rsidP="00AD4EA1"/>
    <w:p w14:paraId="3793BF90" w14:textId="77777777" w:rsidR="00DB7466" w:rsidRDefault="00DB7466" w:rsidP="00AD4EA1"/>
    <w:p w14:paraId="3A28C610" w14:textId="77777777" w:rsidR="00DB7466" w:rsidRDefault="00DB7466" w:rsidP="00AD4EA1"/>
    <w:p w14:paraId="494329FB" w14:textId="77777777" w:rsidR="00DB7466" w:rsidRDefault="00DB7466" w:rsidP="00AD4EA1"/>
    <w:p w14:paraId="30AE57AE" w14:textId="77777777" w:rsidR="00DB7466" w:rsidRDefault="00DB7466" w:rsidP="00AD4EA1"/>
    <w:p w14:paraId="2B666B5B" w14:textId="77777777" w:rsidR="00DB7466" w:rsidRDefault="00DB7466" w:rsidP="00AD4EA1"/>
    <w:p w14:paraId="13313DEE" w14:textId="77777777" w:rsidR="00DB7466" w:rsidRDefault="00DB7466" w:rsidP="00AD4EA1"/>
    <w:p w14:paraId="63218BF4" w14:textId="77777777" w:rsidR="00DB7466" w:rsidRDefault="00DB7466" w:rsidP="00AD4EA1"/>
    <w:p w14:paraId="19030E32" w14:textId="77777777" w:rsidR="00DB7466" w:rsidRDefault="00DB7466" w:rsidP="00AD4EA1"/>
    <w:p w14:paraId="254465FD" w14:textId="77777777" w:rsidR="00DB7466" w:rsidRDefault="00DB7466" w:rsidP="00AD4EA1"/>
    <w:p w14:paraId="4C095BDF" w14:textId="77777777" w:rsidR="00DB7466" w:rsidRDefault="00DB7466" w:rsidP="00AD4EA1"/>
    <w:p w14:paraId="1E16665C" w14:textId="77777777" w:rsidR="00DB7466" w:rsidRDefault="00DB7466" w:rsidP="00AD4EA1"/>
    <w:p w14:paraId="5C61A3EC" w14:textId="77777777" w:rsidR="00DB7466" w:rsidRDefault="00DB7466" w:rsidP="00AD4EA1"/>
    <w:p w14:paraId="28DA8009" w14:textId="77777777" w:rsidR="00DB7466" w:rsidRDefault="00DB7466" w:rsidP="00AD4EA1"/>
    <w:p w14:paraId="616E90F1" w14:textId="77777777" w:rsidR="00DB7466" w:rsidRDefault="00DB7466" w:rsidP="00AD4EA1"/>
    <w:p w14:paraId="69BB45D0" w14:textId="77777777" w:rsidR="00DB7466" w:rsidRDefault="00DB7466" w:rsidP="00AD4EA1"/>
    <w:p w14:paraId="50723BB7" w14:textId="77777777" w:rsidR="00DB7466" w:rsidRDefault="00DB7466" w:rsidP="00AD4EA1">
      <w:pPr>
        <w:pStyle w:val="ListParagraph"/>
        <w:numPr>
          <w:ilvl w:val="0"/>
          <w:numId w:val="9"/>
        </w:numPr>
      </w:pPr>
    </w:p>
    <w:p w14:paraId="4969BEAF" w14:textId="77777777" w:rsidR="00DB7466" w:rsidRDefault="00DB7466" w:rsidP="00AD4EA1">
      <w:pPr>
        <w:pStyle w:val="ListParagraph"/>
        <w:numPr>
          <w:ilvl w:val="0"/>
          <w:numId w:val="9"/>
        </w:numPr>
      </w:pPr>
    </w:p>
    <w:p w14:paraId="78C52C4B" w14:textId="77777777" w:rsidR="00DB7466" w:rsidRDefault="00DB7466" w:rsidP="00AD4EA1">
      <w:pPr>
        <w:pStyle w:val="ListParagraph"/>
        <w:numPr>
          <w:ilvl w:val="0"/>
          <w:numId w:val="9"/>
        </w:numPr>
      </w:pPr>
    </w:p>
    <w:p w14:paraId="3F412897" w14:textId="77777777" w:rsidR="00DB7466" w:rsidRDefault="00DB7466" w:rsidP="00AD4EA1">
      <w:pPr>
        <w:pStyle w:val="ListParagraph"/>
        <w:numPr>
          <w:ilvl w:val="0"/>
          <w:numId w:val="9"/>
        </w:numPr>
      </w:pPr>
    </w:p>
    <w:p w14:paraId="41BEFFB3" w14:textId="77777777" w:rsidR="00DB7466" w:rsidRDefault="00DB7466" w:rsidP="00AD4EA1">
      <w:pPr>
        <w:pStyle w:val="ListParagraph"/>
        <w:numPr>
          <w:ilvl w:val="0"/>
          <w:numId w:val="9"/>
        </w:numPr>
      </w:pPr>
    </w:p>
    <w:p w14:paraId="57643D82" w14:textId="77777777" w:rsidR="00DB7466" w:rsidRDefault="00DB7466" w:rsidP="00AD4EA1">
      <w:pPr>
        <w:pStyle w:val="ListParagraph"/>
        <w:numPr>
          <w:ilvl w:val="0"/>
          <w:numId w:val="9"/>
        </w:numPr>
      </w:pPr>
    </w:p>
    <w:p w14:paraId="3B988901" w14:textId="77777777" w:rsidR="00DB7466" w:rsidRDefault="00DB7466" w:rsidP="00AD4EA1">
      <w:pPr>
        <w:pStyle w:val="ListParagraph"/>
        <w:numPr>
          <w:ilvl w:val="0"/>
          <w:numId w:val="9"/>
        </w:numPr>
      </w:pPr>
    </w:p>
    <w:p w14:paraId="65CCD0F7" w14:textId="77777777" w:rsidR="00DB7466" w:rsidRDefault="00DB7466" w:rsidP="00AD4EA1">
      <w:pPr>
        <w:pStyle w:val="ListParagraph"/>
        <w:numPr>
          <w:ilvl w:val="0"/>
          <w:numId w:val="9"/>
        </w:numPr>
      </w:pPr>
    </w:p>
    <w:p w14:paraId="7D797941" w14:textId="77777777" w:rsidR="00DB7466" w:rsidRDefault="00DB7466" w:rsidP="00AD4EA1">
      <w:pPr>
        <w:pStyle w:val="ListParagraph"/>
        <w:numPr>
          <w:ilvl w:val="0"/>
          <w:numId w:val="9"/>
        </w:numPr>
      </w:pPr>
    </w:p>
    <w:p w14:paraId="382DB789" w14:textId="77777777" w:rsidR="00DB7466" w:rsidRDefault="00DB7466" w:rsidP="00AD4EA1">
      <w:pPr>
        <w:pStyle w:val="ListParagraph"/>
        <w:numPr>
          <w:ilvl w:val="0"/>
          <w:numId w:val="9"/>
        </w:numPr>
      </w:pPr>
    </w:p>
    <w:p w14:paraId="4CE6E599" w14:textId="77777777" w:rsidR="00DB7466" w:rsidRDefault="00DB7466" w:rsidP="00AD4EA1">
      <w:pPr>
        <w:pStyle w:val="ListParagraph"/>
        <w:numPr>
          <w:ilvl w:val="0"/>
          <w:numId w:val="9"/>
        </w:numPr>
      </w:pPr>
    </w:p>
    <w:p w14:paraId="51030ED3" w14:textId="77777777" w:rsidR="00DB7466" w:rsidRDefault="00DB7466" w:rsidP="00AD4EA1"/>
    <w:p w14:paraId="7D5C923C" w14:textId="77777777" w:rsidR="00DB7466" w:rsidRDefault="00DB7466" w:rsidP="00AD4EA1"/>
    <w:p w14:paraId="636302FA" w14:textId="77777777" w:rsidR="00DB7466" w:rsidRDefault="00DB7466" w:rsidP="00AD4EA1"/>
    <w:p w14:paraId="68762256" w14:textId="77777777" w:rsidR="00DB7466" w:rsidRDefault="00DB7466" w:rsidP="00AD4EA1"/>
    <w:p w14:paraId="17101E34" w14:textId="77777777" w:rsidR="00DB7466" w:rsidRDefault="00DB7466" w:rsidP="00AD4EA1"/>
    <w:p w14:paraId="60636603" w14:textId="77777777" w:rsidR="00DB7466" w:rsidRDefault="00DB7466" w:rsidP="00AD4EA1"/>
    <w:p w14:paraId="604D78F9" w14:textId="77777777" w:rsidR="00DB7466" w:rsidRDefault="00DB7466" w:rsidP="00AD4EA1"/>
    <w:p w14:paraId="1726DA47" w14:textId="77777777" w:rsidR="00DB7466" w:rsidRDefault="00DB7466" w:rsidP="00AD4EA1"/>
    <w:p w14:paraId="489085E6" w14:textId="77777777" w:rsidR="00DB7466" w:rsidRDefault="00DB7466" w:rsidP="00AD4EA1"/>
    <w:p w14:paraId="6B6D938E" w14:textId="77777777" w:rsidR="00DB7466" w:rsidRDefault="00DB7466" w:rsidP="00AD4EA1">
      <w:pPr>
        <w:pStyle w:val="ListParagraph"/>
        <w:numPr>
          <w:ilvl w:val="0"/>
          <w:numId w:val="8"/>
        </w:numPr>
      </w:pPr>
    </w:p>
    <w:p w14:paraId="65C2A7F8" w14:textId="77777777" w:rsidR="00DB7466" w:rsidRDefault="00DB7466" w:rsidP="00AD4EA1">
      <w:pPr>
        <w:pStyle w:val="ListParagraph"/>
        <w:numPr>
          <w:ilvl w:val="0"/>
          <w:numId w:val="8"/>
        </w:numPr>
      </w:pPr>
    </w:p>
    <w:p w14:paraId="77B2B8D2" w14:textId="77777777" w:rsidR="00DB7466" w:rsidRDefault="00DB7466" w:rsidP="00AD4EA1">
      <w:pPr>
        <w:pStyle w:val="ListParagraph"/>
        <w:numPr>
          <w:ilvl w:val="0"/>
          <w:numId w:val="8"/>
        </w:numPr>
      </w:pPr>
    </w:p>
    <w:p w14:paraId="1E69476D" w14:textId="77777777" w:rsidR="00DB7466" w:rsidRDefault="00DB7466" w:rsidP="00AD4EA1">
      <w:pPr>
        <w:pStyle w:val="ListParagraph"/>
        <w:numPr>
          <w:ilvl w:val="0"/>
          <w:numId w:val="8"/>
        </w:numPr>
      </w:pPr>
    </w:p>
    <w:p w14:paraId="47E5F33E" w14:textId="77777777" w:rsidR="00DB7466" w:rsidRDefault="00DB7466" w:rsidP="00AD4EA1">
      <w:pPr>
        <w:pStyle w:val="ListParagraph"/>
        <w:numPr>
          <w:ilvl w:val="0"/>
          <w:numId w:val="8"/>
        </w:numPr>
      </w:pPr>
    </w:p>
    <w:p w14:paraId="5BB178C6" w14:textId="77777777" w:rsidR="00DB7466" w:rsidRDefault="00DB7466" w:rsidP="00AD4EA1">
      <w:pPr>
        <w:pStyle w:val="ListParagraph"/>
        <w:numPr>
          <w:ilvl w:val="0"/>
          <w:numId w:val="8"/>
        </w:numPr>
      </w:pPr>
    </w:p>
    <w:p w14:paraId="4273294F" w14:textId="77777777" w:rsidR="00DB7466" w:rsidRDefault="00DB7466" w:rsidP="00AD4EA1">
      <w:pPr>
        <w:pStyle w:val="ListParagraph"/>
        <w:numPr>
          <w:ilvl w:val="0"/>
          <w:numId w:val="8"/>
        </w:numPr>
      </w:pPr>
    </w:p>
    <w:p w14:paraId="57048C52" w14:textId="77777777" w:rsidR="00DB7466" w:rsidRDefault="00DB7466" w:rsidP="00AD4EA1">
      <w:pPr>
        <w:pStyle w:val="ListParagraph"/>
        <w:numPr>
          <w:ilvl w:val="0"/>
          <w:numId w:val="8"/>
        </w:numPr>
      </w:pPr>
    </w:p>
    <w:p w14:paraId="648810B6" w14:textId="77777777" w:rsidR="00DB7466" w:rsidRDefault="00DB7466" w:rsidP="00AD4EA1">
      <w:pPr>
        <w:pStyle w:val="ListParagraph"/>
        <w:numPr>
          <w:ilvl w:val="0"/>
          <w:numId w:val="8"/>
        </w:numPr>
      </w:pPr>
    </w:p>
    <w:p w14:paraId="52F5F7AC" w14:textId="77777777" w:rsidR="00DB7466" w:rsidRDefault="00DB7466" w:rsidP="00AD4EA1">
      <w:pPr>
        <w:pStyle w:val="ListParagraph"/>
        <w:numPr>
          <w:ilvl w:val="0"/>
          <w:numId w:val="8"/>
        </w:numPr>
      </w:pPr>
    </w:p>
    <w:p w14:paraId="412B6E5B" w14:textId="77777777" w:rsidR="00DB7466" w:rsidRDefault="00DB7466" w:rsidP="00AD4EA1">
      <w:pPr>
        <w:pStyle w:val="ListParagraph"/>
        <w:numPr>
          <w:ilvl w:val="0"/>
          <w:numId w:val="8"/>
        </w:numPr>
      </w:pPr>
    </w:p>
    <w:p w14:paraId="3A356FFA" w14:textId="77777777" w:rsidR="00DB7466" w:rsidRDefault="00DB7466" w:rsidP="00AD4EA1">
      <w:pPr>
        <w:pStyle w:val="ListParagraph"/>
        <w:numPr>
          <w:ilvl w:val="0"/>
          <w:numId w:val="8"/>
        </w:numPr>
      </w:pPr>
    </w:p>
    <w:p w14:paraId="2F159846" w14:textId="77777777" w:rsidR="00DB7466" w:rsidRDefault="00DB7466" w:rsidP="00AD4EA1">
      <w:pPr>
        <w:pStyle w:val="ListParagraph"/>
        <w:numPr>
          <w:ilvl w:val="0"/>
          <w:numId w:val="8"/>
        </w:numPr>
      </w:pPr>
    </w:p>
    <w:p w14:paraId="6A7F6FB9" w14:textId="77777777" w:rsidR="00DB7466" w:rsidRDefault="00DB7466" w:rsidP="00AD4EA1">
      <w:pPr>
        <w:pStyle w:val="ListParagraph"/>
        <w:numPr>
          <w:ilvl w:val="0"/>
          <w:numId w:val="8"/>
        </w:numPr>
      </w:pPr>
    </w:p>
    <w:p w14:paraId="35EDF22F" w14:textId="77777777" w:rsidR="00DB7466" w:rsidRDefault="00DB7466" w:rsidP="00AD4EA1">
      <w:pPr>
        <w:pStyle w:val="ListParagraph"/>
        <w:numPr>
          <w:ilvl w:val="0"/>
          <w:numId w:val="8"/>
        </w:numPr>
      </w:pPr>
    </w:p>
    <w:p w14:paraId="0470D716" w14:textId="77777777" w:rsidR="00DB7466" w:rsidRDefault="00DB7466" w:rsidP="00AD4EA1">
      <w:pPr>
        <w:pStyle w:val="ListParagraph"/>
        <w:numPr>
          <w:ilvl w:val="0"/>
          <w:numId w:val="8"/>
        </w:numPr>
      </w:pPr>
    </w:p>
    <w:p w14:paraId="77F80A94" w14:textId="77777777" w:rsidR="00DB7466" w:rsidRDefault="00DB7466" w:rsidP="00AD4EA1">
      <w:pPr>
        <w:pStyle w:val="ListParagraph"/>
        <w:numPr>
          <w:ilvl w:val="0"/>
          <w:numId w:val="8"/>
        </w:numPr>
      </w:pPr>
    </w:p>
    <w:p w14:paraId="01BADAB0" w14:textId="77777777" w:rsidR="00DB7466" w:rsidRDefault="00DB7466" w:rsidP="00AD4EA1">
      <w:pPr>
        <w:pStyle w:val="ListParagraph"/>
        <w:numPr>
          <w:ilvl w:val="0"/>
          <w:numId w:val="8"/>
        </w:numPr>
      </w:pPr>
    </w:p>
    <w:p w14:paraId="78643C6B" w14:textId="77777777" w:rsidR="00DB7466" w:rsidRDefault="00DB7466" w:rsidP="00AD4EA1">
      <w:pPr>
        <w:pStyle w:val="ListParagraph"/>
        <w:numPr>
          <w:ilvl w:val="0"/>
          <w:numId w:val="8"/>
        </w:numPr>
      </w:pPr>
    </w:p>
    <w:p w14:paraId="386ED4B4" w14:textId="77777777" w:rsidR="00DB7466" w:rsidRDefault="00DB7466" w:rsidP="00AD4EA1">
      <w:pPr>
        <w:pStyle w:val="ListParagraph"/>
        <w:numPr>
          <w:ilvl w:val="0"/>
          <w:numId w:val="8"/>
        </w:numPr>
      </w:pPr>
    </w:p>
    <w:p w14:paraId="0EE2C34D" w14:textId="77777777" w:rsidR="00DB7466" w:rsidRDefault="00DB7466" w:rsidP="00AD4EA1">
      <w:pPr>
        <w:pStyle w:val="ListParagraph"/>
        <w:numPr>
          <w:ilvl w:val="0"/>
          <w:numId w:val="8"/>
        </w:numPr>
      </w:pPr>
    </w:p>
    <w:p w14:paraId="2C6B2682" w14:textId="77777777" w:rsidR="00DB7466" w:rsidRDefault="00DB7466" w:rsidP="00AD4EA1">
      <w:pPr>
        <w:pStyle w:val="ListParagraph"/>
        <w:numPr>
          <w:ilvl w:val="0"/>
          <w:numId w:val="8"/>
        </w:numPr>
      </w:pPr>
    </w:p>
    <w:p w14:paraId="25B11249" w14:textId="77777777" w:rsidR="00DB7466" w:rsidRDefault="00DB7466" w:rsidP="00AD4EA1">
      <w:pPr>
        <w:pStyle w:val="ListParagraph"/>
        <w:numPr>
          <w:ilvl w:val="0"/>
          <w:numId w:val="8"/>
        </w:numPr>
      </w:pPr>
    </w:p>
    <w:p w14:paraId="151731D2" w14:textId="77777777" w:rsidR="00DB7466" w:rsidRDefault="00DB7466" w:rsidP="00AD4EA1">
      <w:pPr>
        <w:pStyle w:val="ListParagraph"/>
        <w:numPr>
          <w:ilvl w:val="0"/>
          <w:numId w:val="8"/>
        </w:numPr>
      </w:pPr>
    </w:p>
    <w:p w14:paraId="35DEFAB7" w14:textId="77777777" w:rsidR="00DB7466" w:rsidRDefault="00DB7466" w:rsidP="00AD4EA1"/>
    <w:p w14:paraId="46450583" w14:textId="77777777" w:rsidR="00DB7466" w:rsidRDefault="00DB7466" w:rsidP="00AD4EA1"/>
    <w:p w14:paraId="60F153EC" w14:textId="77777777" w:rsidR="00DB7466" w:rsidRDefault="00DB7466" w:rsidP="00AD4EA1"/>
    <w:p w14:paraId="252D5CB4" w14:textId="77777777" w:rsidR="00DB7466" w:rsidRDefault="00DB7466" w:rsidP="00AD4EA1">
      <w:pPr>
        <w:pStyle w:val="ListParagraph"/>
        <w:numPr>
          <w:ilvl w:val="0"/>
          <w:numId w:val="10"/>
        </w:numPr>
      </w:pPr>
    </w:p>
    <w:p w14:paraId="584A224E" w14:textId="77777777" w:rsidR="00DB7466" w:rsidRDefault="00DB7466" w:rsidP="00AD4EA1">
      <w:pPr>
        <w:pStyle w:val="ListParagraph"/>
        <w:numPr>
          <w:ilvl w:val="0"/>
          <w:numId w:val="10"/>
        </w:numPr>
      </w:pPr>
    </w:p>
    <w:p w14:paraId="2F12FE07" w14:textId="77777777" w:rsidR="00DB7466" w:rsidRDefault="00DB7466" w:rsidP="00AD4EA1">
      <w:pPr>
        <w:pStyle w:val="ListParagraph"/>
        <w:numPr>
          <w:ilvl w:val="0"/>
          <w:numId w:val="10"/>
        </w:numPr>
      </w:pPr>
    </w:p>
    <w:p w14:paraId="06A81768" w14:textId="77777777" w:rsidR="00DB7466" w:rsidRDefault="00DB7466" w:rsidP="00AD4EA1">
      <w:pPr>
        <w:pStyle w:val="ListParagraph"/>
        <w:numPr>
          <w:ilvl w:val="0"/>
          <w:numId w:val="10"/>
        </w:numPr>
      </w:pPr>
    </w:p>
    <w:p w14:paraId="7996A17B" w14:textId="77777777" w:rsidR="00DB7466" w:rsidRDefault="00DB7466" w:rsidP="00AD4EA1">
      <w:pPr>
        <w:pStyle w:val="ListParagraph"/>
        <w:numPr>
          <w:ilvl w:val="0"/>
          <w:numId w:val="10"/>
        </w:numPr>
      </w:pPr>
    </w:p>
    <w:p w14:paraId="22BDEE70" w14:textId="77777777" w:rsidR="00DB7466" w:rsidRDefault="00DB7466" w:rsidP="00AD4EA1">
      <w:pPr>
        <w:pStyle w:val="ListParagraph"/>
        <w:numPr>
          <w:ilvl w:val="0"/>
          <w:numId w:val="10"/>
        </w:numPr>
      </w:pPr>
    </w:p>
    <w:p w14:paraId="6B70F0D0" w14:textId="77777777" w:rsidR="00DB7466" w:rsidRDefault="00DB7466" w:rsidP="00AD4EA1">
      <w:pPr>
        <w:pStyle w:val="ListParagraph"/>
        <w:numPr>
          <w:ilvl w:val="0"/>
          <w:numId w:val="10"/>
        </w:numPr>
      </w:pPr>
    </w:p>
    <w:p w14:paraId="66D34941" w14:textId="77777777" w:rsidR="00DB7466" w:rsidRDefault="00DB7466" w:rsidP="00AD4EA1">
      <w:pPr>
        <w:pStyle w:val="ListParagraph"/>
        <w:numPr>
          <w:ilvl w:val="0"/>
          <w:numId w:val="10"/>
        </w:numPr>
      </w:pPr>
    </w:p>
    <w:p w14:paraId="52AE3FD1" w14:textId="77777777" w:rsidR="00DB7466" w:rsidRDefault="00DB7466" w:rsidP="00AD4EA1">
      <w:pPr>
        <w:pStyle w:val="ListParagraph"/>
        <w:numPr>
          <w:ilvl w:val="0"/>
          <w:numId w:val="10"/>
        </w:numPr>
      </w:pPr>
    </w:p>
    <w:p w14:paraId="01D322C6" w14:textId="77777777" w:rsidR="00DB7466" w:rsidRDefault="00DB7466" w:rsidP="00AD4EA1">
      <w:pPr>
        <w:pStyle w:val="ListParagraph"/>
        <w:numPr>
          <w:ilvl w:val="0"/>
          <w:numId w:val="10"/>
        </w:numPr>
      </w:pPr>
    </w:p>
    <w:p w14:paraId="1BE9C459" w14:textId="77777777" w:rsidR="00DB7466" w:rsidRDefault="00DB7466" w:rsidP="00AD4EA1">
      <w:pPr>
        <w:pStyle w:val="ListParagraph"/>
        <w:numPr>
          <w:ilvl w:val="0"/>
          <w:numId w:val="10"/>
        </w:numPr>
      </w:pPr>
    </w:p>
    <w:p w14:paraId="721E4992" w14:textId="77777777" w:rsidR="00DB7466" w:rsidRDefault="00DB7466" w:rsidP="00AD4EA1">
      <w:pPr>
        <w:pStyle w:val="ListParagraph"/>
        <w:numPr>
          <w:ilvl w:val="0"/>
          <w:numId w:val="10"/>
        </w:numPr>
      </w:pPr>
    </w:p>
    <w:p w14:paraId="0EF96293" w14:textId="77777777" w:rsidR="00DB7466" w:rsidRDefault="00DB7466" w:rsidP="00AD4EA1">
      <w:pPr>
        <w:pStyle w:val="ListParagraph"/>
        <w:numPr>
          <w:ilvl w:val="0"/>
          <w:numId w:val="10"/>
        </w:numPr>
      </w:pPr>
    </w:p>
    <w:p w14:paraId="104750AF" w14:textId="77777777" w:rsidR="00DB7466" w:rsidRDefault="00DB7466" w:rsidP="00AD4EA1">
      <w:pPr>
        <w:pStyle w:val="ListParagraph"/>
        <w:numPr>
          <w:ilvl w:val="0"/>
          <w:numId w:val="10"/>
        </w:numPr>
      </w:pPr>
    </w:p>
    <w:p w14:paraId="1AEF14A8" w14:textId="77777777" w:rsidR="00DB7466" w:rsidRDefault="00DB7466" w:rsidP="00AD4EA1">
      <w:pPr>
        <w:pStyle w:val="ListParagraph"/>
        <w:numPr>
          <w:ilvl w:val="0"/>
          <w:numId w:val="10"/>
        </w:numPr>
      </w:pPr>
    </w:p>
    <w:p w14:paraId="60F824A8" w14:textId="77777777" w:rsidR="00DB7466" w:rsidRDefault="00DB7466" w:rsidP="00AD4EA1">
      <w:pPr>
        <w:pStyle w:val="ListParagraph"/>
        <w:numPr>
          <w:ilvl w:val="0"/>
          <w:numId w:val="10"/>
        </w:numPr>
      </w:pPr>
    </w:p>
    <w:p w14:paraId="2AA320A4" w14:textId="77777777" w:rsidR="00DB7466" w:rsidRDefault="00DB7466" w:rsidP="00AD4EA1">
      <w:pPr>
        <w:pStyle w:val="ListParagraph"/>
        <w:numPr>
          <w:ilvl w:val="0"/>
          <w:numId w:val="10"/>
        </w:numPr>
      </w:pPr>
    </w:p>
    <w:p w14:paraId="4F2804BA" w14:textId="77777777" w:rsidR="00DB7466" w:rsidRDefault="00DB7466" w:rsidP="00AD4EA1">
      <w:pPr>
        <w:pStyle w:val="ListParagraph"/>
        <w:numPr>
          <w:ilvl w:val="0"/>
          <w:numId w:val="10"/>
        </w:numPr>
      </w:pPr>
    </w:p>
    <w:p w14:paraId="4D4A228B" w14:textId="77777777" w:rsidR="00DB7466" w:rsidRDefault="00DB7466" w:rsidP="00AD4EA1">
      <w:pPr>
        <w:pStyle w:val="ListParagraph"/>
        <w:numPr>
          <w:ilvl w:val="0"/>
          <w:numId w:val="10"/>
        </w:numPr>
      </w:pPr>
    </w:p>
    <w:p w14:paraId="301C1992" w14:textId="77777777" w:rsidR="00DB7466" w:rsidRDefault="00DB7466" w:rsidP="00AD4EA1">
      <w:pPr>
        <w:pStyle w:val="ListParagraph"/>
        <w:numPr>
          <w:ilvl w:val="0"/>
          <w:numId w:val="10"/>
        </w:numPr>
      </w:pPr>
    </w:p>
    <w:p w14:paraId="410DBF2B" w14:textId="77777777" w:rsidR="00DB7466" w:rsidRDefault="00DB7466" w:rsidP="00AD4EA1">
      <w:pPr>
        <w:pStyle w:val="ListParagraph"/>
        <w:numPr>
          <w:ilvl w:val="0"/>
          <w:numId w:val="10"/>
        </w:numPr>
      </w:pPr>
    </w:p>
    <w:p w14:paraId="476BB940" w14:textId="77777777" w:rsidR="00DB7466" w:rsidRDefault="00DB7466" w:rsidP="00AD4EA1">
      <w:pPr>
        <w:pStyle w:val="ListParagraph"/>
        <w:numPr>
          <w:ilvl w:val="0"/>
          <w:numId w:val="10"/>
        </w:numPr>
      </w:pPr>
    </w:p>
    <w:p w14:paraId="0AAEA3EB" w14:textId="77777777" w:rsidR="00DB7466" w:rsidRDefault="00DB7466" w:rsidP="00AD4EA1">
      <w:pPr>
        <w:pStyle w:val="ListParagraph"/>
        <w:numPr>
          <w:ilvl w:val="0"/>
          <w:numId w:val="10"/>
        </w:numPr>
      </w:pPr>
    </w:p>
    <w:p w14:paraId="68D335C7" w14:textId="77777777" w:rsidR="00DB7466" w:rsidRDefault="00DB7466" w:rsidP="00AD4EA1">
      <w:pPr>
        <w:pStyle w:val="ListParagraph"/>
        <w:numPr>
          <w:ilvl w:val="0"/>
          <w:numId w:val="10"/>
        </w:numPr>
      </w:pPr>
    </w:p>
    <w:p w14:paraId="09C2F11B" w14:textId="77777777" w:rsidR="00DB7466" w:rsidRDefault="00DB7466" w:rsidP="00AD4EA1">
      <w:pPr>
        <w:pStyle w:val="ListParagraph"/>
        <w:numPr>
          <w:ilvl w:val="0"/>
          <w:numId w:val="10"/>
        </w:numPr>
      </w:pPr>
    </w:p>
    <w:p w14:paraId="16A85C2C" w14:textId="77777777" w:rsidR="00DB7466" w:rsidRDefault="00DB7466" w:rsidP="00AD4EA1">
      <w:pPr>
        <w:pStyle w:val="ListParagraph"/>
        <w:numPr>
          <w:ilvl w:val="0"/>
          <w:numId w:val="10"/>
        </w:numPr>
      </w:pPr>
    </w:p>
    <w:p w14:paraId="53E4C2C6" w14:textId="77777777" w:rsidR="00DB7466" w:rsidRDefault="00DB7466" w:rsidP="00AD4EA1">
      <w:pPr>
        <w:pStyle w:val="ListParagraph"/>
        <w:numPr>
          <w:ilvl w:val="0"/>
          <w:numId w:val="10"/>
        </w:numPr>
      </w:pPr>
    </w:p>
    <w:p w14:paraId="0A110804" w14:textId="77777777" w:rsidR="00DB7466" w:rsidRDefault="00DB7466" w:rsidP="00AD4EA1">
      <w:pPr>
        <w:pStyle w:val="ListParagraph"/>
        <w:numPr>
          <w:ilvl w:val="0"/>
          <w:numId w:val="10"/>
        </w:numPr>
      </w:pPr>
    </w:p>
    <w:p w14:paraId="4A6D2C03" w14:textId="77777777" w:rsidR="00DB7466" w:rsidRDefault="00DB7466" w:rsidP="00AD4EA1">
      <w:pPr>
        <w:pStyle w:val="ListParagraph"/>
        <w:numPr>
          <w:ilvl w:val="0"/>
          <w:numId w:val="10"/>
        </w:numPr>
      </w:pPr>
    </w:p>
    <w:p w14:paraId="593E4F85" w14:textId="77777777" w:rsidR="00DB7466" w:rsidRDefault="00DB7466" w:rsidP="00AD4EA1">
      <w:pPr>
        <w:pStyle w:val="ListParagraph"/>
        <w:numPr>
          <w:ilvl w:val="0"/>
          <w:numId w:val="10"/>
        </w:numPr>
      </w:pPr>
    </w:p>
    <w:p w14:paraId="467D98C1" w14:textId="77777777" w:rsidR="00DB7466" w:rsidRDefault="00DB7466" w:rsidP="00AD4EA1">
      <w:pPr>
        <w:pStyle w:val="ListParagraph"/>
        <w:numPr>
          <w:ilvl w:val="0"/>
          <w:numId w:val="10"/>
        </w:numPr>
      </w:pPr>
    </w:p>
    <w:p w14:paraId="5B59EC1E" w14:textId="77777777" w:rsidR="00DB7466" w:rsidRDefault="00DB7466" w:rsidP="00AD4EA1">
      <w:pPr>
        <w:pStyle w:val="ListParagraph"/>
        <w:numPr>
          <w:ilvl w:val="0"/>
          <w:numId w:val="10"/>
        </w:numPr>
      </w:pPr>
    </w:p>
    <w:p w14:paraId="23C42A18" w14:textId="77777777" w:rsidR="00DB7466" w:rsidRDefault="00DB7466" w:rsidP="00AD4EA1">
      <w:pPr>
        <w:pStyle w:val="ListParagraph"/>
        <w:numPr>
          <w:ilvl w:val="0"/>
          <w:numId w:val="10"/>
        </w:numPr>
      </w:pPr>
    </w:p>
    <w:p w14:paraId="378FA37A" w14:textId="77777777" w:rsidR="00DB7466" w:rsidRDefault="00DB7466" w:rsidP="00AD4EA1">
      <w:pPr>
        <w:pStyle w:val="ListParagraph"/>
        <w:numPr>
          <w:ilvl w:val="0"/>
          <w:numId w:val="10"/>
        </w:numPr>
      </w:pPr>
    </w:p>
    <w:p w14:paraId="1C7F411C" w14:textId="77777777" w:rsidR="00DB7466" w:rsidRDefault="00DB7466" w:rsidP="00AD4EA1">
      <w:pPr>
        <w:pStyle w:val="ListParagraph"/>
        <w:numPr>
          <w:ilvl w:val="0"/>
          <w:numId w:val="10"/>
        </w:numPr>
      </w:pPr>
    </w:p>
    <w:p w14:paraId="58F19514" w14:textId="77777777" w:rsidR="00DB7466" w:rsidRDefault="00DB7466" w:rsidP="00AD4EA1">
      <w:pPr>
        <w:pStyle w:val="ListParagraph"/>
        <w:numPr>
          <w:ilvl w:val="0"/>
          <w:numId w:val="10"/>
        </w:numPr>
      </w:pPr>
    </w:p>
    <w:p w14:paraId="46F10C2A" w14:textId="77777777" w:rsidR="00DB7466" w:rsidRDefault="00DB7466" w:rsidP="00AD4EA1">
      <w:pPr>
        <w:pStyle w:val="ListParagraph"/>
        <w:numPr>
          <w:ilvl w:val="0"/>
          <w:numId w:val="10"/>
        </w:numPr>
      </w:pPr>
    </w:p>
    <w:p w14:paraId="286C7051" w14:textId="77777777" w:rsidR="00DB7466" w:rsidRDefault="00DB7466" w:rsidP="00AD4EA1">
      <w:pPr>
        <w:pStyle w:val="ListParagraph"/>
        <w:numPr>
          <w:ilvl w:val="0"/>
          <w:numId w:val="10"/>
        </w:numPr>
      </w:pPr>
    </w:p>
    <w:p w14:paraId="631D8AB9" w14:textId="77777777" w:rsidR="00DB7466" w:rsidRDefault="00DB7466" w:rsidP="00AD4EA1">
      <w:pPr>
        <w:pStyle w:val="ListParagraph"/>
        <w:numPr>
          <w:ilvl w:val="0"/>
          <w:numId w:val="10"/>
        </w:numPr>
      </w:pPr>
    </w:p>
    <w:p w14:paraId="7F5FB6FE" w14:textId="77777777" w:rsidR="00DB7466" w:rsidRDefault="00DB7466" w:rsidP="00AD4EA1">
      <w:pPr>
        <w:pStyle w:val="ListParagraph"/>
        <w:numPr>
          <w:ilvl w:val="0"/>
          <w:numId w:val="10"/>
        </w:numPr>
      </w:pPr>
    </w:p>
    <w:p w14:paraId="15FC1BAC" w14:textId="77777777" w:rsidR="00DB7466" w:rsidRDefault="00DB7466" w:rsidP="00AD4EA1">
      <w:pPr>
        <w:pStyle w:val="ListParagraph"/>
        <w:numPr>
          <w:ilvl w:val="0"/>
          <w:numId w:val="10"/>
        </w:numPr>
      </w:pPr>
    </w:p>
    <w:p w14:paraId="03BE5075" w14:textId="77777777" w:rsidR="00DB7466" w:rsidRDefault="00DB7466" w:rsidP="00AD4EA1">
      <w:pPr>
        <w:pStyle w:val="ListParagraph"/>
        <w:numPr>
          <w:ilvl w:val="0"/>
          <w:numId w:val="10"/>
        </w:numPr>
      </w:pPr>
    </w:p>
    <w:p w14:paraId="37214A1B" w14:textId="77777777" w:rsidR="00DB7466" w:rsidRDefault="00DB7466" w:rsidP="00AD4EA1">
      <w:pPr>
        <w:pStyle w:val="ListParagraph"/>
        <w:numPr>
          <w:ilvl w:val="0"/>
          <w:numId w:val="10"/>
        </w:numPr>
      </w:pPr>
    </w:p>
    <w:p w14:paraId="1324D117" w14:textId="77777777" w:rsidR="00DB7466" w:rsidRDefault="00DB7466" w:rsidP="00AD4EA1">
      <w:pPr>
        <w:pStyle w:val="ListParagraph"/>
        <w:numPr>
          <w:ilvl w:val="0"/>
          <w:numId w:val="10"/>
        </w:numPr>
      </w:pPr>
    </w:p>
    <w:p w14:paraId="06762CAF" w14:textId="77777777" w:rsidR="00DB7466" w:rsidRDefault="00DB7466" w:rsidP="00AD4EA1">
      <w:pPr>
        <w:pStyle w:val="ListParagraph"/>
        <w:numPr>
          <w:ilvl w:val="0"/>
          <w:numId w:val="10"/>
        </w:numPr>
      </w:pPr>
    </w:p>
    <w:p w14:paraId="7E9CFA6E" w14:textId="77777777" w:rsidR="00DB7466" w:rsidRDefault="00DB7466" w:rsidP="00AD4EA1">
      <w:pPr>
        <w:pStyle w:val="ListParagraph"/>
        <w:numPr>
          <w:ilvl w:val="0"/>
          <w:numId w:val="10"/>
        </w:numPr>
      </w:pPr>
    </w:p>
    <w:p w14:paraId="67404B64" w14:textId="77777777" w:rsidR="00DB7466" w:rsidRDefault="00DB7466" w:rsidP="00AD4EA1">
      <w:pPr>
        <w:pStyle w:val="ListParagraph"/>
        <w:numPr>
          <w:ilvl w:val="0"/>
          <w:numId w:val="10"/>
        </w:numPr>
      </w:pPr>
    </w:p>
    <w:p w14:paraId="289917DE" w14:textId="77777777" w:rsidR="00DB7466" w:rsidRDefault="00DB7466" w:rsidP="00AD4EA1"/>
    <w:p w14:paraId="14355FA4" w14:textId="77777777" w:rsidR="00DB7466" w:rsidRDefault="00DB7466" w:rsidP="00AD4EA1"/>
    <w:p w14:paraId="5EA2CEB3" w14:textId="77777777" w:rsidR="00DB7466" w:rsidRDefault="00DB7466" w:rsidP="00AD4EA1"/>
    <w:p w14:paraId="26E084BE" w14:textId="77777777" w:rsidR="00DB7466" w:rsidRDefault="00DB7466" w:rsidP="00AD4EA1"/>
    <w:p w14:paraId="0E512D17" w14:textId="77777777" w:rsidR="00DB7466" w:rsidRDefault="00DB7466" w:rsidP="00AD4EA1"/>
    <w:p w14:paraId="5B3B8A72" w14:textId="77777777" w:rsidR="00DB7466" w:rsidRDefault="00DB7466" w:rsidP="00AD4EA1"/>
    <w:p w14:paraId="163B0F02" w14:textId="77777777" w:rsidR="00DB7466" w:rsidRDefault="00DB7466" w:rsidP="00AD4EA1"/>
    <w:p w14:paraId="72BB802A" w14:textId="77777777" w:rsidR="00DB7466" w:rsidRDefault="00DB7466" w:rsidP="00AD4EA1"/>
    <w:p w14:paraId="1E30AD31" w14:textId="77777777" w:rsidR="00DB7466" w:rsidRDefault="00DB7466" w:rsidP="00AD4EA1"/>
    <w:p w14:paraId="4C70F3DC" w14:textId="77777777" w:rsidR="00DB7466" w:rsidRDefault="00DB7466" w:rsidP="00AD4EA1"/>
    <w:p w14:paraId="24482E91" w14:textId="77777777" w:rsidR="00DB7466" w:rsidRDefault="00DB7466" w:rsidP="00AD4EA1"/>
    <w:p w14:paraId="002F3CE2" w14:textId="77777777" w:rsidR="00DB7466" w:rsidRDefault="00DB7466" w:rsidP="00AD4EA1"/>
    <w:p w14:paraId="2F3F532A" w14:textId="77777777" w:rsidR="00DB7466" w:rsidRDefault="00DB7466" w:rsidP="00AD4EA1"/>
    <w:p w14:paraId="2B663A6B" w14:textId="77777777" w:rsidR="00DB7466" w:rsidRDefault="00DB7466" w:rsidP="00AD4EA1"/>
    <w:p w14:paraId="0BDBD9AA" w14:textId="77777777" w:rsidR="00DB7466" w:rsidRDefault="00DB7466" w:rsidP="00AD4EA1"/>
    <w:p w14:paraId="0C3A0A7B" w14:textId="77777777" w:rsidR="00DB7466" w:rsidRDefault="00DB7466" w:rsidP="00AD4EA1"/>
    <w:p w14:paraId="29B0BB3F" w14:textId="77777777" w:rsidR="00DB7466" w:rsidRDefault="00DB7466" w:rsidP="00AD4EA1"/>
    <w:p w14:paraId="7C0C19F4" w14:textId="77777777" w:rsidR="00DB7466" w:rsidRDefault="00DB7466" w:rsidP="00AD4EA1"/>
    <w:p w14:paraId="774C9D13" w14:textId="77777777" w:rsidR="00DB7466" w:rsidRDefault="00DB7466" w:rsidP="00AD4EA1"/>
    <w:p w14:paraId="5132D06C" w14:textId="77777777" w:rsidR="00DB7466" w:rsidRDefault="00DB7466" w:rsidP="00AD4EA1"/>
    <w:p w14:paraId="25729614" w14:textId="77777777" w:rsidR="00DB7466" w:rsidRDefault="00DB7466" w:rsidP="00AD4EA1"/>
    <w:p w14:paraId="37F444BF" w14:textId="77777777" w:rsidR="00DB7466" w:rsidRDefault="00DB7466" w:rsidP="00AD4EA1"/>
    <w:p w14:paraId="30FE382B" w14:textId="77777777" w:rsidR="00DB7466" w:rsidRDefault="00DB7466" w:rsidP="00AD4EA1"/>
    <w:p w14:paraId="23BD88DD" w14:textId="77777777" w:rsidR="00DB7466" w:rsidRDefault="00DB7466" w:rsidP="00AD4EA1"/>
    <w:p w14:paraId="39384573" w14:textId="77777777" w:rsidR="00DB7466" w:rsidRDefault="00DB7466" w:rsidP="00AD4EA1"/>
    <w:p w14:paraId="3ECD2B56" w14:textId="77777777" w:rsidR="00DB7466" w:rsidRDefault="00DB7466" w:rsidP="00AD4EA1"/>
    <w:p w14:paraId="600464EC" w14:textId="77777777" w:rsidR="00DB7466" w:rsidRDefault="00DB7466" w:rsidP="00AD4EA1"/>
    <w:p w14:paraId="23A0940B" w14:textId="77777777" w:rsidR="00DB7466" w:rsidRDefault="00DB7466" w:rsidP="00AD4EA1"/>
    <w:p w14:paraId="625C2975" w14:textId="77777777" w:rsidR="00DB7466" w:rsidRDefault="00DB7466" w:rsidP="00AD4EA1"/>
    <w:p w14:paraId="04AF67F1" w14:textId="77777777" w:rsidR="00DB7466" w:rsidRDefault="00DB7466" w:rsidP="00AD4EA1"/>
    <w:p w14:paraId="58333462" w14:textId="77777777" w:rsidR="00DB7466" w:rsidRDefault="00DB7466" w:rsidP="00AD4EA1"/>
    <w:p w14:paraId="3F6D7768" w14:textId="77777777" w:rsidR="00DB7466" w:rsidRDefault="00DB7466" w:rsidP="00AD4EA1"/>
    <w:p w14:paraId="658AA885" w14:textId="77777777" w:rsidR="00DB7466" w:rsidRDefault="00DB7466" w:rsidP="00AD4EA1"/>
    <w:p w14:paraId="136FEB0F" w14:textId="77777777" w:rsidR="00DB7466" w:rsidRDefault="00DB7466" w:rsidP="00AD4EA1"/>
    <w:p w14:paraId="479951C6" w14:textId="77777777" w:rsidR="00DB7466" w:rsidRDefault="00DB7466" w:rsidP="00AD4EA1"/>
    <w:p w14:paraId="5FE30307" w14:textId="77777777" w:rsidR="00DB7466" w:rsidRDefault="00DB7466" w:rsidP="00AD4EA1"/>
    <w:p w14:paraId="22F8052D" w14:textId="77777777" w:rsidR="00DB7466" w:rsidRDefault="00DB7466" w:rsidP="00AD4EA1"/>
    <w:p w14:paraId="1FEB5CD3" w14:textId="77777777" w:rsidR="00DB7466" w:rsidRDefault="00DB7466" w:rsidP="00AD4EA1"/>
    <w:p w14:paraId="2354DD73" w14:textId="77777777" w:rsidR="00DB7466" w:rsidRDefault="00DB7466" w:rsidP="00AD4EA1"/>
    <w:p w14:paraId="09C0539B" w14:textId="77777777" w:rsidR="00DB7466" w:rsidRDefault="00DB7466" w:rsidP="00AD4EA1"/>
    <w:p w14:paraId="32541815" w14:textId="77777777" w:rsidR="00DB7466" w:rsidRDefault="00DB7466" w:rsidP="00AD4EA1"/>
    <w:p w14:paraId="5F2CAF00" w14:textId="77777777" w:rsidR="00DB7466" w:rsidRDefault="00DB7466" w:rsidP="00AD4EA1"/>
    <w:p w14:paraId="504276E1" w14:textId="77777777" w:rsidR="00DB7466" w:rsidRDefault="00DB7466" w:rsidP="00AD4EA1"/>
    <w:p w14:paraId="20D77473" w14:textId="77777777" w:rsidR="00DB7466" w:rsidRDefault="00DB7466" w:rsidP="00AD4EA1"/>
    <w:p w14:paraId="049B2A09" w14:textId="77777777" w:rsidR="00DB7466" w:rsidRDefault="00DB7466" w:rsidP="00AD4EA1"/>
    <w:p w14:paraId="4FA84EF8" w14:textId="77777777" w:rsidR="00DB7466" w:rsidRDefault="00DB7466" w:rsidP="00AD4EA1"/>
    <w:p w14:paraId="06EA66AD" w14:textId="77777777" w:rsidR="00DB7466" w:rsidRDefault="00DB7466" w:rsidP="00AD4EA1"/>
    <w:p w14:paraId="6971A182" w14:textId="77777777" w:rsidR="00DB7466" w:rsidRDefault="00DB7466" w:rsidP="00AD4EA1"/>
    <w:p w14:paraId="474DEDF0" w14:textId="77777777" w:rsidR="00DB7466" w:rsidRDefault="00DB7466" w:rsidP="00AD4EA1"/>
    <w:p w14:paraId="13ADF7BE" w14:textId="77777777" w:rsidR="00DB7466" w:rsidRDefault="00DB7466" w:rsidP="00AD4EA1"/>
    <w:p w14:paraId="1405E88D" w14:textId="77777777" w:rsidR="00DB7466" w:rsidRDefault="00DB7466" w:rsidP="00AD4EA1"/>
    <w:p w14:paraId="41B7295D" w14:textId="77777777" w:rsidR="00DB7466" w:rsidRDefault="00DB7466" w:rsidP="00AD4EA1"/>
    <w:p w14:paraId="2ABA9AD8" w14:textId="77777777" w:rsidR="00DB7466" w:rsidRDefault="00DB7466" w:rsidP="00AD4EA1"/>
    <w:p w14:paraId="53D323F0" w14:textId="77777777" w:rsidR="00DB7466" w:rsidRDefault="00DB7466" w:rsidP="00AD4EA1"/>
    <w:p w14:paraId="6616955D" w14:textId="77777777" w:rsidR="00DB7466" w:rsidRDefault="00DB7466" w:rsidP="00AD4EA1"/>
    <w:p w14:paraId="0B6CEF33" w14:textId="77777777" w:rsidR="00DB7466" w:rsidRDefault="00DB7466" w:rsidP="00AD4EA1"/>
    <w:p w14:paraId="6D2125E8" w14:textId="77777777" w:rsidR="00DB7466" w:rsidRDefault="00DB7466" w:rsidP="00AD4EA1"/>
    <w:p w14:paraId="2BB81FD5" w14:textId="77777777" w:rsidR="00DB7466" w:rsidRDefault="00DB7466" w:rsidP="00AD4EA1"/>
    <w:p w14:paraId="51A9ED3E" w14:textId="77777777" w:rsidR="00DB7466" w:rsidRDefault="00DB7466" w:rsidP="00AD4EA1"/>
    <w:p w14:paraId="7EFF4C92" w14:textId="77777777" w:rsidR="00DB7466" w:rsidRDefault="00DB7466" w:rsidP="00AD4EA1"/>
    <w:p w14:paraId="23297035" w14:textId="77777777" w:rsidR="00DB7466" w:rsidRDefault="00DB7466" w:rsidP="00AD4EA1"/>
    <w:p w14:paraId="07C25BC7" w14:textId="77777777" w:rsidR="00DB7466" w:rsidRDefault="00DB7466" w:rsidP="00AD4EA1"/>
    <w:p w14:paraId="46478F73" w14:textId="77777777" w:rsidR="00DB7466" w:rsidRDefault="00DB7466" w:rsidP="00AD4EA1"/>
    <w:p w14:paraId="4257046C" w14:textId="77777777" w:rsidR="00DB7466" w:rsidRDefault="00DB7466" w:rsidP="00AD4EA1"/>
    <w:p w14:paraId="1F516E51" w14:textId="77777777" w:rsidR="00DB7466" w:rsidRDefault="00DB7466" w:rsidP="00AD4EA1"/>
    <w:p w14:paraId="1201CD0E" w14:textId="77777777" w:rsidR="00DB7466" w:rsidRDefault="00DB7466" w:rsidP="00AD4EA1"/>
    <w:p w14:paraId="6A244B54" w14:textId="77777777" w:rsidR="00DB7466" w:rsidRDefault="00DB7466" w:rsidP="00AD4EA1"/>
    <w:p w14:paraId="0D6ACD08" w14:textId="77777777" w:rsidR="00DB7466" w:rsidRDefault="00DB7466" w:rsidP="00AD4EA1"/>
    <w:p w14:paraId="55485484" w14:textId="77777777" w:rsidR="00DB7466" w:rsidRDefault="00DB7466" w:rsidP="00AD4EA1"/>
    <w:p w14:paraId="52DF3706" w14:textId="77777777" w:rsidR="00DB7466" w:rsidRDefault="00DB7466" w:rsidP="00AD4EA1"/>
    <w:p w14:paraId="584ED0AC" w14:textId="77777777" w:rsidR="00DB7466" w:rsidRDefault="00DB7466" w:rsidP="00AD4EA1"/>
    <w:p w14:paraId="62A83B1C" w14:textId="77777777" w:rsidR="00DB7466" w:rsidRDefault="00DB7466" w:rsidP="00AD4EA1"/>
    <w:p w14:paraId="6AF09F33" w14:textId="77777777" w:rsidR="00DB7466" w:rsidRDefault="00DB7466" w:rsidP="00AD4EA1"/>
    <w:p w14:paraId="2C18554D" w14:textId="77777777" w:rsidR="00DB7466" w:rsidRDefault="00DB7466" w:rsidP="00AD4EA1"/>
    <w:p w14:paraId="3C8D227F" w14:textId="77777777" w:rsidR="00DB7466" w:rsidRDefault="00DB7466" w:rsidP="00AD4EA1"/>
    <w:p w14:paraId="0D712C78" w14:textId="77777777" w:rsidR="00DB7466" w:rsidRDefault="00DB7466" w:rsidP="00AD4EA1"/>
    <w:p w14:paraId="49C3B243" w14:textId="77777777" w:rsidR="00DB7466" w:rsidRDefault="00DB7466" w:rsidP="00AD4EA1"/>
    <w:p w14:paraId="739A96CB" w14:textId="77777777" w:rsidR="00DB7466" w:rsidRDefault="00DB7466" w:rsidP="00AD4EA1"/>
    <w:p w14:paraId="0C97DD84" w14:textId="77777777" w:rsidR="00DB7466" w:rsidRDefault="00DB7466" w:rsidP="00AD4EA1"/>
    <w:p w14:paraId="3919B67E" w14:textId="77777777" w:rsidR="00DB7466" w:rsidRDefault="00DB7466" w:rsidP="00AD4EA1"/>
    <w:p w14:paraId="2A7AD9B0" w14:textId="77777777" w:rsidR="00DB7466" w:rsidRDefault="00DB7466" w:rsidP="00AD4EA1"/>
    <w:p w14:paraId="45FE0D94" w14:textId="77777777" w:rsidR="00DB7466" w:rsidRDefault="00DB7466" w:rsidP="00AD4EA1"/>
    <w:p w14:paraId="3E5BBC09" w14:textId="77777777" w:rsidR="00DB7466" w:rsidRDefault="00DB7466" w:rsidP="00AD4EA1"/>
    <w:p w14:paraId="604973DE" w14:textId="77777777" w:rsidR="00DB7466" w:rsidRDefault="00DB7466" w:rsidP="00AD4EA1"/>
    <w:p w14:paraId="7CEEFA3D" w14:textId="77777777" w:rsidR="00DB7466" w:rsidRDefault="00DB7466" w:rsidP="00AD4EA1"/>
    <w:p w14:paraId="7702FA41" w14:textId="77777777" w:rsidR="00DB7466" w:rsidRDefault="00DB7466" w:rsidP="00AD4EA1"/>
    <w:p w14:paraId="484798CF" w14:textId="77777777" w:rsidR="00DB7466" w:rsidRDefault="00DB7466" w:rsidP="00AD4EA1"/>
    <w:p w14:paraId="7DBE0726" w14:textId="77777777" w:rsidR="00DB7466" w:rsidRDefault="00DB7466" w:rsidP="00AD4EA1"/>
    <w:p w14:paraId="7E2547B8" w14:textId="77777777" w:rsidR="00DB7466" w:rsidRDefault="00DB7466" w:rsidP="00AD4EA1">
      <w:pPr>
        <w:pStyle w:val="ListParagraph"/>
        <w:numPr>
          <w:ilvl w:val="0"/>
          <w:numId w:val="11"/>
        </w:numPr>
      </w:pPr>
    </w:p>
    <w:p w14:paraId="773D550D" w14:textId="77777777" w:rsidR="00DB7466" w:rsidRDefault="00DB7466" w:rsidP="00AD4EA1">
      <w:pPr>
        <w:pStyle w:val="ListParagraph"/>
        <w:numPr>
          <w:ilvl w:val="0"/>
          <w:numId w:val="11"/>
        </w:numPr>
      </w:pPr>
    </w:p>
    <w:p w14:paraId="06F4D3A1" w14:textId="77777777" w:rsidR="00DB7466" w:rsidRDefault="00DB7466" w:rsidP="00AD4EA1">
      <w:pPr>
        <w:pStyle w:val="ListParagraph"/>
        <w:numPr>
          <w:ilvl w:val="0"/>
          <w:numId w:val="11"/>
        </w:numPr>
      </w:pPr>
    </w:p>
    <w:p w14:paraId="79677D5C" w14:textId="77777777" w:rsidR="00DB7466" w:rsidRDefault="00DB7466" w:rsidP="00AD4EA1">
      <w:pPr>
        <w:pStyle w:val="ListParagraph"/>
        <w:numPr>
          <w:ilvl w:val="0"/>
          <w:numId w:val="11"/>
        </w:numPr>
      </w:pPr>
    </w:p>
    <w:p w14:paraId="12412344" w14:textId="77777777" w:rsidR="00DB7466" w:rsidRDefault="00DB7466" w:rsidP="00AD4EA1">
      <w:pPr>
        <w:pStyle w:val="ListParagraph"/>
        <w:numPr>
          <w:ilvl w:val="0"/>
          <w:numId w:val="11"/>
        </w:numPr>
      </w:pPr>
    </w:p>
    <w:p w14:paraId="67F2B075" w14:textId="77777777" w:rsidR="00DB7466" w:rsidRDefault="00DB7466" w:rsidP="00AD4EA1">
      <w:pPr>
        <w:pStyle w:val="ListParagraph"/>
        <w:numPr>
          <w:ilvl w:val="0"/>
          <w:numId w:val="11"/>
        </w:numPr>
      </w:pPr>
    </w:p>
    <w:p w14:paraId="646860A7" w14:textId="77777777" w:rsidR="00DB7466" w:rsidRDefault="00DB7466" w:rsidP="00AD4EA1">
      <w:pPr>
        <w:pStyle w:val="ListParagraph"/>
        <w:numPr>
          <w:ilvl w:val="0"/>
          <w:numId w:val="11"/>
        </w:numPr>
      </w:pPr>
    </w:p>
    <w:p w14:paraId="1350D2F1" w14:textId="77777777" w:rsidR="00DB7466" w:rsidRDefault="00DB7466" w:rsidP="00AD4EA1">
      <w:pPr>
        <w:pStyle w:val="ListParagraph"/>
        <w:numPr>
          <w:ilvl w:val="0"/>
          <w:numId w:val="11"/>
        </w:numPr>
      </w:pPr>
    </w:p>
    <w:p w14:paraId="1EB92D16" w14:textId="77777777" w:rsidR="00DB7466" w:rsidRDefault="00DB7466" w:rsidP="00AD4EA1">
      <w:pPr>
        <w:pStyle w:val="ListParagraph"/>
        <w:numPr>
          <w:ilvl w:val="0"/>
          <w:numId w:val="11"/>
        </w:numPr>
      </w:pPr>
    </w:p>
    <w:p w14:paraId="41036E0C" w14:textId="77777777" w:rsidR="00DB7466" w:rsidRDefault="00DB7466" w:rsidP="00AD4EA1">
      <w:pPr>
        <w:pStyle w:val="ListParagraph"/>
        <w:numPr>
          <w:ilvl w:val="0"/>
          <w:numId w:val="11"/>
        </w:numPr>
      </w:pPr>
    </w:p>
    <w:p w14:paraId="3BA1A005" w14:textId="77777777" w:rsidR="00DB7466" w:rsidRDefault="00DB7466" w:rsidP="00AD4EA1">
      <w:pPr>
        <w:pStyle w:val="ListParagraph"/>
        <w:numPr>
          <w:ilvl w:val="0"/>
          <w:numId w:val="11"/>
        </w:numPr>
      </w:pPr>
    </w:p>
    <w:p w14:paraId="4284BB9B" w14:textId="77777777" w:rsidR="00DB7466" w:rsidRDefault="00DB7466" w:rsidP="00AD4EA1">
      <w:pPr>
        <w:pStyle w:val="ListParagraph"/>
        <w:numPr>
          <w:ilvl w:val="0"/>
          <w:numId w:val="11"/>
        </w:numPr>
      </w:pPr>
    </w:p>
    <w:p w14:paraId="791DF056" w14:textId="77777777" w:rsidR="00DB7466" w:rsidRDefault="00DB7466" w:rsidP="00AD4EA1">
      <w:pPr>
        <w:pStyle w:val="ListParagraph"/>
        <w:numPr>
          <w:ilvl w:val="0"/>
          <w:numId w:val="11"/>
        </w:numPr>
      </w:pPr>
    </w:p>
    <w:p w14:paraId="0C9A1AF1" w14:textId="77777777" w:rsidR="00DB7466" w:rsidRDefault="00DB7466" w:rsidP="00AD4EA1">
      <w:pPr>
        <w:pStyle w:val="ListParagraph"/>
        <w:numPr>
          <w:ilvl w:val="0"/>
          <w:numId w:val="11"/>
        </w:numPr>
      </w:pPr>
    </w:p>
    <w:p w14:paraId="0F08413B" w14:textId="77777777" w:rsidR="00DB7466" w:rsidRDefault="00DB7466" w:rsidP="00AD4EA1">
      <w:pPr>
        <w:pStyle w:val="ListParagraph"/>
        <w:numPr>
          <w:ilvl w:val="0"/>
          <w:numId w:val="11"/>
        </w:numPr>
      </w:pPr>
    </w:p>
    <w:p w14:paraId="4ABB3851" w14:textId="77777777" w:rsidR="00DB7466" w:rsidRDefault="00DB7466" w:rsidP="00AD4EA1">
      <w:pPr>
        <w:pStyle w:val="ListParagraph"/>
        <w:numPr>
          <w:ilvl w:val="0"/>
          <w:numId w:val="11"/>
        </w:numPr>
      </w:pPr>
    </w:p>
    <w:p w14:paraId="0B6C6AFF" w14:textId="77777777" w:rsidR="00DB7466" w:rsidRDefault="00DB7466" w:rsidP="00AD4EA1">
      <w:pPr>
        <w:pStyle w:val="ListParagraph"/>
        <w:numPr>
          <w:ilvl w:val="0"/>
          <w:numId w:val="11"/>
        </w:numPr>
      </w:pPr>
    </w:p>
    <w:p w14:paraId="59517DDF" w14:textId="77777777" w:rsidR="00DB7466" w:rsidRDefault="00DB7466" w:rsidP="00AD4EA1"/>
    <w:p w14:paraId="2656A78F" w14:textId="77777777" w:rsidR="00DB7466" w:rsidRDefault="00DB7466" w:rsidP="00AD4EA1"/>
    <w:p w14:paraId="6566E0BB" w14:textId="77777777" w:rsidR="00DB7466" w:rsidRDefault="00DB7466" w:rsidP="00AD4EA1"/>
    <w:p w14:paraId="36C84039" w14:textId="77777777" w:rsidR="00DB7466" w:rsidRDefault="00DB7466" w:rsidP="00AD4EA1"/>
    <w:p w14:paraId="3B549FD4" w14:textId="77777777" w:rsidR="00DB7466" w:rsidRDefault="00DB7466" w:rsidP="00AD4EA1"/>
    <w:p w14:paraId="388448AE" w14:textId="77777777" w:rsidR="00DB7466" w:rsidRDefault="00DB7466" w:rsidP="00AD4EA1"/>
    <w:p w14:paraId="45E50BAF" w14:textId="77777777" w:rsidR="00DB7466" w:rsidRDefault="00DB7466" w:rsidP="00AD4EA1"/>
    <w:p w14:paraId="7EFE158F" w14:textId="77777777" w:rsidR="00DB7466" w:rsidRDefault="00DB7466" w:rsidP="00AD4EA1"/>
    <w:p w14:paraId="748DF8BF" w14:textId="77777777" w:rsidR="00DB7466" w:rsidRDefault="00DB7466" w:rsidP="00AD4EA1"/>
    <w:p w14:paraId="058CA383" w14:textId="77777777" w:rsidR="00DB7466" w:rsidRDefault="00DB7466" w:rsidP="00AD4EA1"/>
    <w:p w14:paraId="7F699042" w14:textId="77777777" w:rsidR="00DB7466" w:rsidRDefault="00DB7466" w:rsidP="00AD4EA1"/>
    <w:p w14:paraId="0FD0329C" w14:textId="77777777" w:rsidR="00DB7466" w:rsidRDefault="00DB7466" w:rsidP="00AD4EA1"/>
    <w:p w14:paraId="41323D40" w14:textId="77777777" w:rsidR="00DB7466" w:rsidRDefault="00DB7466" w:rsidP="00AD4EA1"/>
    <w:p w14:paraId="3F648B07" w14:textId="77777777" w:rsidR="00DB7466" w:rsidRDefault="00DB7466" w:rsidP="00AD4EA1"/>
    <w:p w14:paraId="0F367006" w14:textId="77777777" w:rsidR="00DB7466" w:rsidRDefault="00DB7466" w:rsidP="00AD4EA1"/>
    <w:p w14:paraId="36745FE9" w14:textId="77777777" w:rsidR="00DB7466" w:rsidRDefault="00DB7466" w:rsidP="00AD4EA1"/>
    <w:p w14:paraId="29903D4C" w14:textId="77777777" w:rsidR="00DB7466" w:rsidRDefault="00DB7466" w:rsidP="00AD4EA1"/>
    <w:p w14:paraId="1D8C434F" w14:textId="77777777" w:rsidR="00DB7466" w:rsidRDefault="00DB7466" w:rsidP="00AD4EA1"/>
    <w:p w14:paraId="28FEF81B" w14:textId="77777777" w:rsidR="00DB7466" w:rsidRDefault="00DB7466" w:rsidP="00AD4EA1"/>
    <w:p w14:paraId="5880E572" w14:textId="77777777" w:rsidR="00DB7466" w:rsidRDefault="00DB7466" w:rsidP="00AD4EA1"/>
    <w:p w14:paraId="63EF24BF" w14:textId="77777777" w:rsidR="00DB7466" w:rsidRDefault="00DB7466" w:rsidP="00AD4EA1"/>
    <w:p w14:paraId="6861A786" w14:textId="77777777" w:rsidR="00DB7466" w:rsidRDefault="00DB7466" w:rsidP="00AD4EA1"/>
    <w:p w14:paraId="0564AE5A" w14:textId="77777777" w:rsidR="00DB7466" w:rsidRDefault="00DB7466" w:rsidP="00AD4EA1"/>
    <w:p w14:paraId="0281710A" w14:textId="77777777" w:rsidR="00DB7466" w:rsidRDefault="00DB7466" w:rsidP="00AD4EA1"/>
    <w:p w14:paraId="3ADA44E8" w14:textId="77777777" w:rsidR="00DB7466" w:rsidRDefault="00DB7466" w:rsidP="00AD4EA1"/>
    <w:p w14:paraId="62923B91" w14:textId="77777777" w:rsidR="00DB7466" w:rsidRDefault="00DB7466" w:rsidP="00AD4EA1"/>
    <w:p w14:paraId="1F041EDE" w14:textId="77777777" w:rsidR="00DB7466" w:rsidRDefault="00DB7466" w:rsidP="00AD4EA1"/>
    <w:p w14:paraId="7C20E16B" w14:textId="77777777" w:rsidR="00DB7466" w:rsidRDefault="00DB7466" w:rsidP="00AD4EA1"/>
    <w:p w14:paraId="1474BD9C" w14:textId="77777777" w:rsidR="00DB7466" w:rsidRDefault="00DB7466" w:rsidP="00AD4EA1"/>
    <w:p w14:paraId="5D9AC756" w14:textId="77777777" w:rsidR="00DB7466" w:rsidRDefault="00DB7466" w:rsidP="00AD4EA1"/>
    <w:p w14:paraId="15DE1AE4" w14:textId="77777777" w:rsidR="00DB7466" w:rsidRDefault="00DB7466" w:rsidP="00AD4EA1"/>
    <w:p w14:paraId="04BA5ED8" w14:textId="77777777" w:rsidR="00DB7466" w:rsidRDefault="00DB7466" w:rsidP="00AD4EA1"/>
    <w:p w14:paraId="7CD538EA" w14:textId="77777777" w:rsidR="00DB7466" w:rsidRDefault="00DB7466" w:rsidP="00AD4EA1"/>
    <w:p w14:paraId="1AF56EE8" w14:textId="77777777" w:rsidR="00DB7466" w:rsidRDefault="00DB7466" w:rsidP="00AD4EA1"/>
    <w:p w14:paraId="54AC8489" w14:textId="77777777" w:rsidR="00DB7466" w:rsidRDefault="00DB7466" w:rsidP="00AD4EA1"/>
    <w:p w14:paraId="796555D5" w14:textId="77777777" w:rsidR="00DB7466" w:rsidRDefault="00DB7466" w:rsidP="00AD4EA1"/>
    <w:p w14:paraId="3F9AB2F5" w14:textId="77777777" w:rsidR="00DB7466" w:rsidRDefault="00DB7466" w:rsidP="00AD4EA1"/>
    <w:p w14:paraId="2CD02E1B" w14:textId="77777777" w:rsidR="00DB7466" w:rsidRDefault="00DB7466" w:rsidP="00AD4EA1"/>
    <w:p w14:paraId="49859820" w14:textId="77777777" w:rsidR="00DB7466" w:rsidRDefault="00DB7466" w:rsidP="00AD4EA1"/>
    <w:p w14:paraId="2529E70F" w14:textId="77777777" w:rsidR="00DB7466" w:rsidRDefault="00DB7466" w:rsidP="00AD4EA1"/>
    <w:p w14:paraId="5391DF59" w14:textId="77777777" w:rsidR="00DB7466" w:rsidRDefault="00DB7466" w:rsidP="00AD4EA1"/>
    <w:p w14:paraId="1E323C51" w14:textId="77777777" w:rsidR="00DB7466" w:rsidRDefault="00DB7466" w:rsidP="00AD4EA1"/>
    <w:p w14:paraId="0840A0E2" w14:textId="77777777" w:rsidR="00DB7466" w:rsidRDefault="00DB7466" w:rsidP="00AD4EA1"/>
    <w:p w14:paraId="3268AD15" w14:textId="77777777" w:rsidR="00DB7466" w:rsidRDefault="00DB7466" w:rsidP="00AD4EA1"/>
    <w:p w14:paraId="74C4D432" w14:textId="77777777" w:rsidR="00DB7466" w:rsidRDefault="00DB7466" w:rsidP="00AD4EA1"/>
    <w:p w14:paraId="3E0D6CA3" w14:textId="77777777" w:rsidR="00DB7466" w:rsidRDefault="00DB7466" w:rsidP="00AD4EA1"/>
    <w:p w14:paraId="240D8767" w14:textId="77777777" w:rsidR="00DB7466" w:rsidRDefault="00DB7466" w:rsidP="00AD4EA1"/>
    <w:p w14:paraId="36103A42" w14:textId="77777777" w:rsidR="00DB7466" w:rsidRDefault="00DB7466" w:rsidP="00AD4EA1"/>
    <w:p w14:paraId="2797C687" w14:textId="77777777" w:rsidR="00DB7466" w:rsidRDefault="00DB7466" w:rsidP="00AD4EA1"/>
    <w:p w14:paraId="04A7E6A3" w14:textId="77777777" w:rsidR="00DB7466" w:rsidRDefault="00DB7466" w:rsidP="00AD4EA1"/>
    <w:p w14:paraId="3847BA88" w14:textId="77777777" w:rsidR="00DB7466" w:rsidRDefault="00DB7466" w:rsidP="00AD4EA1"/>
    <w:p w14:paraId="32CBB98A" w14:textId="77777777" w:rsidR="00DB7466" w:rsidRDefault="00DB7466" w:rsidP="00AD4EA1"/>
    <w:p w14:paraId="4C99BD92" w14:textId="77777777" w:rsidR="00DB7466" w:rsidRDefault="00DB7466" w:rsidP="00AD4EA1"/>
    <w:p w14:paraId="410A6D18" w14:textId="77777777" w:rsidR="00DB7466" w:rsidRDefault="00DB7466" w:rsidP="00AD4EA1"/>
    <w:p w14:paraId="48081081" w14:textId="77777777" w:rsidR="00DB7466" w:rsidRDefault="00DB7466" w:rsidP="00AD4EA1"/>
    <w:p w14:paraId="786DF615" w14:textId="77777777" w:rsidR="00DB7466" w:rsidRDefault="00DB7466" w:rsidP="00AD4EA1"/>
    <w:p w14:paraId="2D867FF0" w14:textId="77777777" w:rsidR="00DB7466" w:rsidRDefault="00DB7466" w:rsidP="00AD4EA1"/>
    <w:p w14:paraId="1BE6DADA" w14:textId="77777777" w:rsidR="00DB7466" w:rsidRDefault="00DB7466" w:rsidP="00AD4EA1"/>
    <w:p w14:paraId="0266ADAC" w14:textId="77777777" w:rsidR="00DB7466" w:rsidRDefault="00DB7466" w:rsidP="00AD4EA1"/>
    <w:p w14:paraId="3821561C" w14:textId="77777777" w:rsidR="00DB7466" w:rsidRDefault="00DB7466" w:rsidP="00AD4EA1"/>
    <w:p w14:paraId="71F1339B" w14:textId="77777777" w:rsidR="00DB7466" w:rsidRDefault="00DB7466" w:rsidP="00AD4EA1"/>
    <w:p w14:paraId="4D55C46F" w14:textId="77777777" w:rsidR="00DB7466" w:rsidRDefault="00DB7466" w:rsidP="00AD4EA1"/>
    <w:p w14:paraId="6E5DAB5E" w14:textId="77777777" w:rsidR="00DB7466" w:rsidRDefault="00DB7466" w:rsidP="00AD4EA1"/>
    <w:p w14:paraId="1A841536" w14:textId="77777777" w:rsidR="00DB7466" w:rsidRDefault="00DB7466" w:rsidP="00AD4EA1"/>
    <w:p w14:paraId="582E66FF" w14:textId="77777777" w:rsidR="00DB7466" w:rsidRDefault="00DB7466" w:rsidP="00AD4EA1"/>
    <w:p w14:paraId="07322F30" w14:textId="77777777" w:rsidR="00DB7466" w:rsidRDefault="00DB7466" w:rsidP="00AD4EA1"/>
    <w:p w14:paraId="2B490327" w14:textId="77777777" w:rsidR="00DB7466" w:rsidRDefault="00DB7466" w:rsidP="00AD4EA1"/>
    <w:p w14:paraId="2B0ACA48" w14:textId="77777777" w:rsidR="00DB7466" w:rsidRDefault="00DB7466" w:rsidP="00AD4EA1"/>
    <w:p w14:paraId="57FF0133" w14:textId="77777777" w:rsidR="00DB7466" w:rsidRDefault="00DB7466" w:rsidP="00AD4EA1"/>
    <w:p w14:paraId="6CDDE195" w14:textId="77777777" w:rsidR="00DB7466" w:rsidRDefault="00DB7466" w:rsidP="00AD4EA1"/>
    <w:p w14:paraId="17240C17" w14:textId="77777777" w:rsidR="00DB7466" w:rsidRDefault="00DB7466" w:rsidP="00AD4EA1"/>
    <w:p w14:paraId="5CF084AD" w14:textId="77777777" w:rsidR="00DB7466" w:rsidRDefault="00DB7466" w:rsidP="00AD4EA1"/>
    <w:p w14:paraId="121ED524" w14:textId="77777777" w:rsidR="00DB7466" w:rsidRDefault="00DB7466" w:rsidP="00AD4EA1"/>
    <w:p w14:paraId="43E375F5" w14:textId="77777777" w:rsidR="00DB7466" w:rsidRDefault="00DB7466" w:rsidP="00AD4EA1"/>
    <w:p w14:paraId="08311478" w14:textId="77777777" w:rsidR="00DB7466" w:rsidRDefault="00DB7466" w:rsidP="00AD4EA1"/>
    <w:p w14:paraId="5DEAF89D" w14:textId="77777777" w:rsidR="00DB7466" w:rsidRDefault="00DB7466" w:rsidP="00AD4EA1"/>
    <w:p w14:paraId="1A5081A5" w14:textId="77777777" w:rsidR="00DB7466" w:rsidRDefault="00DB7466" w:rsidP="00AD4EA1"/>
    <w:p w14:paraId="1D8A4BEB" w14:textId="77777777" w:rsidR="00DB7466" w:rsidRDefault="00DB7466" w:rsidP="00AD4EA1"/>
    <w:p w14:paraId="5D8F39F4" w14:textId="77777777" w:rsidR="00DB7466" w:rsidRDefault="00DB7466" w:rsidP="00AD4EA1"/>
    <w:p w14:paraId="5AAF3FB3" w14:textId="77777777" w:rsidR="00DB7466" w:rsidRDefault="00DB7466" w:rsidP="00AD4EA1"/>
    <w:p w14:paraId="102B8BC0" w14:textId="77777777" w:rsidR="00DB7466" w:rsidRDefault="00DB7466" w:rsidP="00AD4EA1"/>
    <w:p w14:paraId="719CF06E" w14:textId="77777777" w:rsidR="00DB7466" w:rsidRDefault="00DB7466" w:rsidP="00AD4EA1"/>
    <w:p w14:paraId="2CC0A832" w14:textId="77777777" w:rsidR="00DB7466" w:rsidRDefault="00DB7466" w:rsidP="00AD4EA1"/>
    <w:p w14:paraId="76013FEE" w14:textId="77777777" w:rsidR="00DB7466" w:rsidRDefault="00DB7466" w:rsidP="00AD4EA1"/>
    <w:p w14:paraId="28FE8F63" w14:textId="77777777" w:rsidR="00DB7466" w:rsidRDefault="00DB7466" w:rsidP="00AD4EA1"/>
    <w:p w14:paraId="48CFA19B" w14:textId="77777777" w:rsidR="00DB7466" w:rsidRDefault="00DB7466" w:rsidP="00AD4EA1"/>
    <w:p w14:paraId="60778C93" w14:textId="77777777" w:rsidR="00DB7466" w:rsidRDefault="00DB7466" w:rsidP="00AD4EA1"/>
    <w:p w14:paraId="6558D85D" w14:textId="77777777" w:rsidR="00DB7466" w:rsidRDefault="00DB7466" w:rsidP="00AD4EA1"/>
    <w:p w14:paraId="1C715662" w14:textId="77777777" w:rsidR="00DB7466" w:rsidRDefault="00DB7466" w:rsidP="00AD4EA1"/>
    <w:p w14:paraId="430BA4F9" w14:textId="77777777" w:rsidR="00DB7466" w:rsidRDefault="00DB7466" w:rsidP="00AD4EA1"/>
    <w:p w14:paraId="30C4C737" w14:textId="77777777" w:rsidR="00DB7466" w:rsidRDefault="00DB7466" w:rsidP="00AD4EA1"/>
    <w:p w14:paraId="081B4BE5" w14:textId="77777777" w:rsidR="00DB7466" w:rsidRDefault="00DB7466" w:rsidP="00AD4EA1"/>
    <w:p w14:paraId="1A3B4B8A" w14:textId="77777777" w:rsidR="00DB7466" w:rsidRDefault="00DB7466" w:rsidP="00AD4EA1"/>
    <w:p w14:paraId="6FCD9B36" w14:textId="77777777" w:rsidR="00DB7466" w:rsidRDefault="00DB7466" w:rsidP="00AD4EA1"/>
    <w:p w14:paraId="3DC85BA8" w14:textId="77777777" w:rsidR="00DB7466" w:rsidRDefault="00DB7466" w:rsidP="00AD4EA1"/>
    <w:p w14:paraId="4A710B61" w14:textId="77777777" w:rsidR="00DB7466" w:rsidRDefault="00DB7466" w:rsidP="00AD4EA1"/>
    <w:p w14:paraId="6DCE6FC9" w14:textId="77777777" w:rsidR="00DB7466" w:rsidRDefault="00DB7466" w:rsidP="00AD4EA1"/>
    <w:p w14:paraId="23A37346" w14:textId="77777777" w:rsidR="00DB7466" w:rsidRDefault="00DB7466" w:rsidP="00AD4EA1"/>
    <w:p w14:paraId="508A04A4" w14:textId="77777777" w:rsidR="00DB7466" w:rsidRDefault="00DB7466" w:rsidP="00AD4EA1"/>
    <w:p w14:paraId="59E0FAF7" w14:textId="77777777" w:rsidR="00DB7466" w:rsidRDefault="00DB7466" w:rsidP="00AD4EA1"/>
    <w:p w14:paraId="2708CB72" w14:textId="77777777" w:rsidR="00DB7466" w:rsidRDefault="00DB7466" w:rsidP="00AD4EA1"/>
    <w:p w14:paraId="1771959B" w14:textId="77777777" w:rsidR="00DB7466" w:rsidRDefault="00DB7466" w:rsidP="00AD4EA1"/>
    <w:p w14:paraId="7B850FD4" w14:textId="77777777" w:rsidR="00DB7466" w:rsidRDefault="00DB7466" w:rsidP="00AD4EA1"/>
    <w:p w14:paraId="3ABD44E2" w14:textId="77777777" w:rsidR="00DB7466" w:rsidRDefault="00DB7466" w:rsidP="00AD4EA1"/>
    <w:p w14:paraId="0A08582A" w14:textId="77777777" w:rsidR="00DB7466" w:rsidRDefault="00DB7466" w:rsidP="00AD4EA1"/>
    <w:p w14:paraId="7D2AF05C" w14:textId="77777777" w:rsidR="00DB7466" w:rsidRDefault="00DB7466" w:rsidP="00AD4EA1"/>
    <w:p w14:paraId="735406F5" w14:textId="77777777" w:rsidR="00DB7466" w:rsidRDefault="00DB7466" w:rsidP="00AD4EA1"/>
    <w:p w14:paraId="799BE9D9" w14:textId="77777777" w:rsidR="00DB7466" w:rsidRDefault="00DB7466" w:rsidP="00AD4EA1"/>
    <w:p w14:paraId="6D672BFB" w14:textId="77777777" w:rsidR="00DB7466" w:rsidRDefault="00DB7466" w:rsidP="00AD4EA1"/>
    <w:p w14:paraId="2A0F29A8" w14:textId="77777777" w:rsidR="00DB7466" w:rsidRDefault="00DB7466" w:rsidP="00AD4EA1"/>
    <w:p w14:paraId="22BDD40C" w14:textId="77777777" w:rsidR="00DB7466" w:rsidRDefault="00DB7466" w:rsidP="00AD4EA1"/>
    <w:p w14:paraId="677C84CF" w14:textId="77777777" w:rsidR="00DB7466" w:rsidRDefault="00DB7466" w:rsidP="00AD4EA1"/>
    <w:p w14:paraId="2EFFD8BC" w14:textId="77777777" w:rsidR="00DB7466" w:rsidRDefault="00DB7466" w:rsidP="00AD4EA1"/>
    <w:p w14:paraId="282A6E7A" w14:textId="77777777" w:rsidR="00DB7466" w:rsidRDefault="00DB7466" w:rsidP="00AD4EA1"/>
    <w:p w14:paraId="7EDD116A" w14:textId="77777777" w:rsidR="00DB7466" w:rsidRDefault="00DB7466" w:rsidP="00AD4EA1"/>
    <w:p w14:paraId="01F1FA36" w14:textId="77777777" w:rsidR="00DB7466" w:rsidRDefault="00DB7466" w:rsidP="00AD4EA1"/>
    <w:p w14:paraId="3B188FE8" w14:textId="77777777" w:rsidR="00DB7466" w:rsidRDefault="00DB7466" w:rsidP="00AD4EA1"/>
    <w:p w14:paraId="38558A28" w14:textId="77777777" w:rsidR="00DB7466" w:rsidRDefault="00DB7466" w:rsidP="00AD4EA1"/>
    <w:p w14:paraId="44A1E6F7" w14:textId="77777777" w:rsidR="00DB7466" w:rsidRDefault="00DB7466" w:rsidP="00AD4EA1"/>
    <w:p w14:paraId="122661AF" w14:textId="77777777" w:rsidR="00DB7466" w:rsidRDefault="00DB7466" w:rsidP="00AD4EA1"/>
    <w:p w14:paraId="657E22C8" w14:textId="77777777" w:rsidR="00DB7466" w:rsidRDefault="00DB7466" w:rsidP="00AD4EA1"/>
    <w:p w14:paraId="330932F1" w14:textId="77777777" w:rsidR="00DB7466" w:rsidRDefault="00DB7466" w:rsidP="00AD4EA1"/>
    <w:p w14:paraId="02F40AB1" w14:textId="77777777" w:rsidR="00DB7466" w:rsidRDefault="00DB7466" w:rsidP="00AD4EA1"/>
    <w:p w14:paraId="674AD22F" w14:textId="77777777" w:rsidR="00DB7466" w:rsidRDefault="00DB7466" w:rsidP="00AD4EA1"/>
    <w:p w14:paraId="3C6E4385" w14:textId="77777777" w:rsidR="00DB7466" w:rsidRDefault="00DB7466" w:rsidP="00AD4EA1"/>
    <w:p w14:paraId="6D212C1E" w14:textId="77777777" w:rsidR="00DB7466" w:rsidRDefault="00DB7466" w:rsidP="00AD4EA1"/>
    <w:p w14:paraId="2CA65CD5" w14:textId="77777777" w:rsidR="00DB7466" w:rsidRDefault="00DB7466" w:rsidP="00AD4EA1"/>
    <w:p w14:paraId="05441A72" w14:textId="77777777" w:rsidR="00DB7466" w:rsidRDefault="00DB7466" w:rsidP="00AD4EA1"/>
    <w:p w14:paraId="20B72A55" w14:textId="77777777" w:rsidR="00DB7466" w:rsidRDefault="00DB7466" w:rsidP="00AD4EA1"/>
    <w:p w14:paraId="2DDFCB15" w14:textId="77777777" w:rsidR="00DB7466" w:rsidRDefault="00DB7466" w:rsidP="00AD4EA1"/>
    <w:p w14:paraId="7D7EB40D" w14:textId="77777777" w:rsidR="00DB7466" w:rsidRDefault="00DB7466" w:rsidP="00AD4EA1"/>
    <w:p w14:paraId="00CE453F" w14:textId="77777777" w:rsidR="00DB7466" w:rsidRDefault="00DB7466" w:rsidP="00AD4EA1"/>
    <w:p w14:paraId="0443325F" w14:textId="77777777" w:rsidR="00DB7466" w:rsidRDefault="00DB7466" w:rsidP="00AD4EA1"/>
    <w:p w14:paraId="20F007A2" w14:textId="77777777" w:rsidR="00DB7466" w:rsidRDefault="00DB7466" w:rsidP="00AD4EA1"/>
    <w:p w14:paraId="33619BC4" w14:textId="77777777" w:rsidR="00DB7466" w:rsidRDefault="00DB7466" w:rsidP="00AD4EA1"/>
    <w:p w14:paraId="42A17473" w14:textId="77777777" w:rsidR="00DB7466" w:rsidRDefault="00DB7466" w:rsidP="00AD4EA1"/>
    <w:p w14:paraId="46FD317D" w14:textId="77777777" w:rsidR="00DB7466" w:rsidRDefault="00DB7466" w:rsidP="00AD4EA1"/>
    <w:p w14:paraId="7A605223" w14:textId="77777777" w:rsidR="00DB7466" w:rsidRDefault="00DB7466" w:rsidP="00AD4EA1"/>
    <w:p w14:paraId="5C3BFEBA" w14:textId="77777777" w:rsidR="00DB7466" w:rsidRDefault="00DB7466" w:rsidP="00AD4EA1"/>
    <w:p w14:paraId="04A802B6" w14:textId="77777777" w:rsidR="00DB7466" w:rsidRDefault="00DB7466" w:rsidP="00AD4EA1"/>
    <w:p w14:paraId="3C7CAB20" w14:textId="77777777" w:rsidR="00DB7466" w:rsidRDefault="00DB7466" w:rsidP="00AD4EA1"/>
    <w:p w14:paraId="15BDCE82" w14:textId="77777777" w:rsidR="00DB7466" w:rsidRDefault="00DB7466" w:rsidP="00AD4EA1"/>
    <w:p w14:paraId="2DA80993" w14:textId="77777777" w:rsidR="00DB7466" w:rsidRDefault="00DB7466" w:rsidP="00AD4EA1"/>
    <w:p w14:paraId="228416A9" w14:textId="77777777" w:rsidR="00DB7466" w:rsidRDefault="00DB7466" w:rsidP="00AD4EA1"/>
    <w:p w14:paraId="40660518" w14:textId="77777777" w:rsidR="00DB7466" w:rsidRDefault="00DB7466" w:rsidP="00AD4EA1"/>
    <w:p w14:paraId="24DE504C" w14:textId="77777777" w:rsidR="00DB7466" w:rsidRDefault="00DB7466" w:rsidP="00AD4EA1"/>
    <w:p w14:paraId="7FBB40A2" w14:textId="77777777" w:rsidR="00DB7466" w:rsidRDefault="00DB7466" w:rsidP="00AD4EA1"/>
    <w:p w14:paraId="4DAB7C90" w14:textId="77777777" w:rsidR="00DB7466" w:rsidRDefault="00DB7466" w:rsidP="00AD4EA1"/>
    <w:p w14:paraId="46D687F0" w14:textId="77777777" w:rsidR="00DB7466" w:rsidRDefault="00DB7466" w:rsidP="00AD4EA1"/>
    <w:p w14:paraId="2F29E40C" w14:textId="77777777" w:rsidR="00DB7466" w:rsidRDefault="00DB7466" w:rsidP="00AD4EA1"/>
    <w:p w14:paraId="751E5C60" w14:textId="77777777" w:rsidR="00DB7466" w:rsidRDefault="00DB7466" w:rsidP="00AD4EA1"/>
    <w:p w14:paraId="28CABBAC" w14:textId="77777777" w:rsidR="00DB7466" w:rsidRDefault="00DB7466" w:rsidP="00AD4EA1"/>
    <w:p w14:paraId="048E8570" w14:textId="77777777" w:rsidR="00DB7466" w:rsidRDefault="00DB7466" w:rsidP="00AD4EA1"/>
    <w:p w14:paraId="6AA1C5E5" w14:textId="77777777" w:rsidR="00DB7466" w:rsidRDefault="00DB7466" w:rsidP="00AD4EA1"/>
    <w:p w14:paraId="5B31C279" w14:textId="77777777" w:rsidR="00DB7466" w:rsidRDefault="00DB7466" w:rsidP="00AD4EA1"/>
    <w:p w14:paraId="1EFE8575" w14:textId="77777777" w:rsidR="00DB7466" w:rsidRDefault="00DB7466" w:rsidP="00AD4EA1"/>
    <w:p w14:paraId="2552A9C1" w14:textId="77777777" w:rsidR="00DB7466" w:rsidRDefault="00DB7466" w:rsidP="00AD4EA1"/>
    <w:p w14:paraId="6F471931" w14:textId="77777777" w:rsidR="00DB7466" w:rsidRDefault="00DB7466" w:rsidP="00AD4EA1"/>
    <w:p w14:paraId="159E62F7" w14:textId="77777777" w:rsidR="00DB7466" w:rsidRDefault="00DB7466" w:rsidP="00AD4EA1"/>
    <w:p w14:paraId="78476270" w14:textId="77777777" w:rsidR="00DB7466" w:rsidRDefault="00DB7466" w:rsidP="00AD4EA1"/>
    <w:p w14:paraId="6598522E" w14:textId="77777777" w:rsidR="00DB7466" w:rsidRDefault="00DB7466" w:rsidP="00AD4EA1"/>
    <w:p w14:paraId="1F959358" w14:textId="77777777" w:rsidR="00DB7466" w:rsidRDefault="00DB7466" w:rsidP="00AD4EA1"/>
    <w:p w14:paraId="48424845" w14:textId="77777777" w:rsidR="00DB7466" w:rsidRDefault="00DB7466" w:rsidP="00AD4EA1"/>
    <w:p w14:paraId="31DB6CD6" w14:textId="77777777" w:rsidR="00DB7466" w:rsidRDefault="00DB7466" w:rsidP="00AD4EA1"/>
    <w:p w14:paraId="49EB2B8D" w14:textId="77777777" w:rsidR="00DB7466" w:rsidRDefault="00DB7466" w:rsidP="00AD4EA1"/>
    <w:p w14:paraId="5DF2A9F2" w14:textId="77777777" w:rsidR="00DB7466" w:rsidRDefault="00DB7466" w:rsidP="00AD4EA1"/>
    <w:p w14:paraId="416E8E11" w14:textId="77777777" w:rsidR="00DB7466" w:rsidRDefault="00DB7466" w:rsidP="00AD4EA1"/>
    <w:p w14:paraId="494D0442" w14:textId="77777777" w:rsidR="00DB7466" w:rsidRDefault="00DB7466" w:rsidP="00AD4EA1"/>
    <w:p w14:paraId="2AA928E7" w14:textId="77777777" w:rsidR="00DB7466" w:rsidRDefault="00DB7466" w:rsidP="00AD4EA1"/>
    <w:p w14:paraId="3692DFFD" w14:textId="77777777" w:rsidR="00DB7466" w:rsidRDefault="00DB7466" w:rsidP="00AD4EA1"/>
    <w:p w14:paraId="3BA7BDFC" w14:textId="77777777" w:rsidR="00DB7466" w:rsidRDefault="00DB7466" w:rsidP="00AD4EA1"/>
    <w:p w14:paraId="2D30348E" w14:textId="77777777" w:rsidR="00DB7466" w:rsidRDefault="00DB7466" w:rsidP="00AD4EA1"/>
    <w:p w14:paraId="2D5CF46B" w14:textId="77777777" w:rsidR="00DB7466" w:rsidRDefault="00DB7466" w:rsidP="00AD4EA1"/>
    <w:p w14:paraId="621975A0" w14:textId="77777777" w:rsidR="00DB7466" w:rsidRDefault="00DB7466" w:rsidP="00AD4EA1"/>
    <w:p w14:paraId="05C26347" w14:textId="77777777" w:rsidR="00DB7466" w:rsidRDefault="00DB7466" w:rsidP="00AD4EA1"/>
    <w:p w14:paraId="0D6760B4" w14:textId="77777777" w:rsidR="00DB7466" w:rsidRDefault="00DB7466" w:rsidP="00AD4EA1"/>
    <w:p w14:paraId="51F59EEC" w14:textId="77777777" w:rsidR="00DB7466" w:rsidRDefault="00DB7466" w:rsidP="00AD4EA1"/>
    <w:p w14:paraId="56DEB327" w14:textId="77777777" w:rsidR="00DB7466" w:rsidRDefault="00DB7466" w:rsidP="00AD4EA1"/>
    <w:p w14:paraId="388BBCD4" w14:textId="77777777" w:rsidR="00DB7466" w:rsidRDefault="00DB7466" w:rsidP="00AD4EA1"/>
    <w:p w14:paraId="63D7ECCD" w14:textId="77777777" w:rsidR="00DB7466" w:rsidRDefault="00DB7466" w:rsidP="00AD4EA1"/>
    <w:p w14:paraId="6DA461DE" w14:textId="77777777" w:rsidR="00DB7466" w:rsidRDefault="00DB7466" w:rsidP="00AD4EA1"/>
    <w:p w14:paraId="564B62FB" w14:textId="77777777" w:rsidR="00DB7466" w:rsidRDefault="00DB7466" w:rsidP="00AD4EA1"/>
    <w:p w14:paraId="25210F3A" w14:textId="77777777" w:rsidR="00DB7466" w:rsidRDefault="00DB7466" w:rsidP="00AD4EA1"/>
    <w:p w14:paraId="0051E7F6" w14:textId="77777777" w:rsidR="00DB7466" w:rsidRDefault="00DB7466" w:rsidP="00AD4EA1"/>
    <w:p w14:paraId="613C6B35" w14:textId="77777777" w:rsidR="00DB7466" w:rsidRDefault="00DB7466" w:rsidP="00AD4EA1"/>
    <w:p w14:paraId="65E9BBDA" w14:textId="77777777" w:rsidR="00DB7466" w:rsidRDefault="00DB7466" w:rsidP="00AD4EA1"/>
    <w:p w14:paraId="52D87C20" w14:textId="77777777" w:rsidR="00DB7466" w:rsidRDefault="00DB7466" w:rsidP="00AD4EA1"/>
    <w:p w14:paraId="561EC0F9" w14:textId="77777777" w:rsidR="00DB7466" w:rsidRDefault="00DB7466" w:rsidP="00AD4EA1"/>
    <w:p w14:paraId="74DDF921" w14:textId="77777777" w:rsidR="00DB7466" w:rsidRDefault="00DB7466" w:rsidP="00AD4EA1"/>
    <w:p w14:paraId="02AB5DAE" w14:textId="77777777" w:rsidR="00DB7466" w:rsidRDefault="00DB7466" w:rsidP="00AD4EA1"/>
    <w:p w14:paraId="033584E7" w14:textId="77777777" w:rsidR="00DB7466" w:rsidRDefault="00DB7466" w:rsidP="00AD4EA1"/>
    <w:p w14:paraId="3738373C" w14:textId="77777777" w:rsidR="00DB7466" w:rsidRDefault="00DB7466" w:rsidP="00AD4EA1"/>
    <w:p w14:paraId="02ABD4CF" w14:textId="77777777" w:rsidR="00DB7466" w:rsidRDefault="00DB7466" w:rsidP="00AD4EA1"/>
    <w:p w14:paraId="150FB722" w14:textId="77777777" w:rsidR="00DB7466" w:rsidRDefault="00DB7466" w:rsidP="00AD4EA1"/>
    <w:p w14:paraId="16F15418" w14:textId="77777777" w:rsidR="00DB7466" w:rsidRDefault="00DB7466" w:rsidP="00AD4EA1"/>
    <w:p w14:paraId="4333E4CD" w14:textId="77777777" w:rsidR="00DB7466" w:rsidRDefault="00DB7466" w:rsidP="00AD4EA1"/>
    <w:p w14:paraId="38DD5C46" w14:textId="77777777" w:rsidR="00DB7466" w:rsidRDefault="00DB7466" w:rsidP="00AD4EA1"/>
    <w:p w14:paraId="1F29AE11" w14:textId="77777777" w:rsidR="00DB7466" w:rsidRDefault="00DB7466" w:rsidP="00AD4EA1"/>
    <w:p w14:paraId="1D078457" w14:textId="77777777" w:rsidR="00DB7466" w:rsidRDefault="00DB7466" w:rsidP="00AD4EA1"/>
    <w:p w14:paraId="446CBFFE" w14:textId="77777777" w:rsidR="00DB7466" w:rsidRDefault="00DB7466" w:rsidP="00AD4EA1"/>
    <w:p w14:paraId="1B0E4A91" w14:textId="77777777" w:rsidR="00DB7466" w:rsidRDefault="00DB7466" w:rsidP="00AD4EA1"/>
    <w:p w14:paraId="0E4F679C" w14:textId="77777777" w:rsidR="00DB7466" w:rsidRDefault="00DB7466" w:rsidP="00AD4EA1"/>
    <w:p w14:paraId="1746715D" w14:textId="77777777" w:rsidR="00DB7466" w:rsidRDefault="00DB7466" w:rsidP="00AD4EA1"/>
    <w:p w14:paraId="0477BE47" w14:textId="77777777" w:rsidR="00DB7466" w:rsidRDefault="00DB7466" w:rsidP="00AD4EA1"/>
    <w:p w14:paraId="00CB53D5" w14:textId="77777777" w:rsidR="00DB7466" w:rsidRDefault="00DB7466" w:rsidP="00AD4EA1"/>
    <w:p w14:paraId="135BC209" w14:textId="77777777" w:rsidR="00DB7466" w:rsidRDefault="00DB7466" w:rsidP="00AD4EA1"/>
    <w:p w14:paraId="422F9AD4" w14:textId="77777777" w:rsidR="00DB7466" w:rsidRDefault="00DB7466" w:rsidP="00AD4EA1"/>
    <w:p w14:paraId="375387E7" w14:textId="77777777" w:rsidR="00DB7466" w:rsidRDefault="00DB7466" w:rsidP="00AD4EA1"/>
    <w:p w14:paraId="1A9172A6" w14:textId="77777777" w:rsidR="00DB7466" w:rsidRDefault="00DB7466" w:rsidP="00AD4EA1"/>
    <w:p w14:paraId="58E819F4" w14:textId="77777777" w:rsidR="00DB7466" w:rsidRDefault="00DB7466" w:rsidP="00AD4EA1"/>
    <w:p w14:paraId="5B3882B3" w14:textId="77777777" w:rsidR="00DB7466" w:rsidRDefault="00DB7466" w:rsidP="00AD4EA1"/>
    <w:p w14:paraId="21FAFDCC" w14:textId="77777777" w:rsidR="00DB7466" w:rsidRDefault="00DB7466" w:rsidP="00AD4EA1"/>
    <w:p w14:paraId="34E73CBF" w14:textId="77777777" w:rsidR="00DB7466" w:rsidRDefault="00DB7466" w:rsidP="00AD4EA1"/>
    <w:p w14:paraId="261249B9" w14:textId="77777777" w:rsidR="00DB7466" w:rsidRDefault="00DB7466" w:rsidP="00AD4EA1"/>
    <w:p w14:paraId="26A30BFC" w14:textId="77777777" w:rsidR="00DB7466" w:rsidRDefault="00DB7466" w:rsidP="00AD4EA1"/>
    <w:p w14:paraId="580F8ADA" w14:textId="77777777" w:rsidR="00DB7466" w:rsidRDefault="00DB7466" w:rsidP="00AD4EA1"/>
    <w:p w14:paraId="674EB1E6" w14:textId="77777777" w:rsidR="00DB7466" w:rsidRDefault="00DB7466" w:rsidP="00AD4EA1"/>
    <w:p w14:paraId="510BA330" w14:textId="77777777" w:rsidR="00DB7466" w:rsidRDefault="00DB7466" w:rsidP="00AD4EA1"/>
    <w:p w14:paraId="46805216" w14:textId="77777777" w:rsidR="00DB7466" w:rsidRDefault="00DB7466" w:rsidP="00AD4EA1"/>
    <w:p w14:paraId="43D9F42D" w14:textId="77777777" w:rsidR="00DB7466" w:rsidRDefault="00DB7466" w:rsidP="00AD4EA1"/>
    <w:p w14:paraId="1B79488D" w14:textId="77777777" w:rsidR="00DB7466" w:rsidRDefault="00DB7466" w:rsidP="00AD4EA1"/>
    <w:p w14:paraId="16E119C6" w14:textId="77777777" w:rsidR="00DB7466" w:rsidRDefault="00DB7466" w:rsidP="00AD4EA1"/>
    <w:p w14:paraId="54A67E85" w14:textId="77777777" w:rsidR="00DB7466" w:rsidRDefault="00DB7466" w:rsidP="00AD4EA1"/>
    <w:p w14:paraId="125099FF" w14:textId="77777777" w:rsidR="00DB7466" w:rsidRDefault="00DB7466" w:rsidP="00AD4EA1"/>
    <w:p w14:paraId="393091C5" w14:textId="77777777" w:rsidR="00DB7466" w:rsidRDefault="00DB7466" w:rsidP="00AD4EA1"/>
    <w:p w14:paraId="17550D02" w14:textId="77777777" w:rsidR="00DB7466" w:rsidRDefault="00DB7466" w:rsidP="00AD4EA1"/>
    <w:p w14:paraId="34E0C26B" w14:textId="77777777" w:rsidR="00DB7466" w:rsidRDefault="00DB7466" w:rsidP="00AD4EA1"/>
    <w:p w14:paraId="2D8F61A8" w14:textId="77777777" w:rsidR="00DB7466" w:rsidRDefault="00DB7466" w:rsidP="00AD4EA1"/>
    <w:p w14:paraId="70A23B40" w14:textId="77777777" w:rsidR="00DB7466" w:rsidRDefault="00DB7466" w:rsidP="00AD4EA1"/>
    <w:p w14:paraId="1AC8028F" w14:textId="77777777" w:rsidR="00DB7466" w:rsidRDefault="00DB7466" w:rsidP="00AD4EA1"/>
    <w:p w14:paraId="0616E89E" w14:textId="77777777" w:rsidR="00DB7466" w:rsidRDefault="00DB7466" w:rsidP="00AD4EA1"/>
    <w:p w14:paraId="37E69F82" w14:textId="77777777" w:rsidR="00DB7466" w:rsidRDefault="00DB7466" w:rsidP="00AD4EA1"/>
    <w:p w14:paraId="25821B37" w14:textId="77777777" w:rsidR="00DB7466" w:rsidRDefault="00DB7466" w:rsidP="00AD4EA1"/>
    <w:p w14:paraId="0B5AD06B" w14:textId="77777777" w:rsidR="00DB7466" w:rsidRDefault="00DB7466" w:rsidP="00AD4EA1"/>
    <w:p w14:paraId="35FA5EA1" w14:textId="77777777" w:rsidR="00DB7466" w:rsidRDefault="00DB7466" w:rsidP="00AD4EA1"/>
    <w:p w14:paraId="610D2472" w14:textId="77777777" w:rsidR="00DB7466" w:rsidRDefault="00DB7466" w:rsidP="00AD4EA1"/>
    <w:p w14:paraId="503C2113" w14:textId="77777777" w:rsidR="00DB7466" w:rsidRDefault="00DB7466" w:rsidP="00AD4EA1"/>
    <w:p w14:paraId="2DCDB2D1" w14:textId="77777777" w:rsidR="00DB7466" w:rsidRDefault="00DB7466" w:rsidP="00AD4EA1"/>
    <w:p w14:paraId="4751B865" w14:textId="77777777" w:rsidR="00DB7466" w:rsidRDefault="00DB7466" w:rsidP="00AD4EA1"/>
    <w:p w14:paraId="251BC493" w14:textId="77777777" w:rsidR="00DB7466" w:rsidRDefault="00DB7466" w:rsidP="00AD4EA1"/>
    <w:p w14:paraId="3550F2A0" w14:textId="77777777" w:rsidR="00DB7466" w:rsidRDefault="00DB7466" w:rsidP="00AD4EA1"/>
    <w:p w14:paraId="7D78B8F1" w14:textId="77777777" w:rsidR="00DB7466" w:rsidRDefault="00DB7466" w:rsidP="00AD4EA1"/>
    <w:p w14:paraId="1B5BE712" w14:textId="77777777" w:rsidR="00DB7466" w:rsidRDefault="00DB7466" w:rsidP="00AD4EA1"/>
    <w:p w14:paraId="2FBC5836" w14:textId="77777777" w:rsidR="00DB7466" w:rsidRDefault="00DB7466" w:rsidP="00AD4EA1"/>
    <w:p w14:paraId="6790CBB5" w14:textId="77777777" w:rsidR="00DB7466" w:rsidRDefault="00DB7466" w:rsidP="00AD4EA1"/>
    <w:p w14:paraId="38E3D285" w14:textId="77777777" w:rsidR="00DB7466" w:rsidRDefault="00DB7466" w:rsidP="00AD4EA1"/>
    <w:p w14:paraId="17100426" w14:textId="77777777" w:rsidR="00DB7466" w:rsidRDefault="00DB7466" w:rsidP="00AD4EA1"/>
    <w:p w14:paraId="5C7BD263" w14:textId="77777777" w:rsidR="00DB7466" w:rsidRDefault="00DB7466" w:rsidP="00AD4EA1"/>
    <w:p w14:paraId="1542FCBB" w14:textId="77777777" w:rsidR="00DB7466" w:rsidRDefault="00DB7466" w:rsidP="00AD4EA1"/>
    <w:p w14:paraId="45E64077" w14:textId="77777777" w:rsidR="00DB7466" w:rsidRDefault="00DB7466" w:rsidP="00AD4EA1"/>
    <w:p w14:paraId="2D43E75A" w14:textId="77777777" w:rsidR="00DB7466" w:rsidRDefault="00DB7466" w:rsidP="00AD4EA1"/>
    <w:p w14:paraId="210F4489" w14:textId="77777777" w:rsidR="00DB7466" w:rsidRDefault="00DB7466" w:rsidP="00AD4EA1"/>
    <w:p w14:paraId="61C4F144" w14:textId="77777777" w:rsidR="00DB7466" w:rsidRDefault="00DB7466" w:rsidP="00AD4EA1"/>
    <w:p w14:paraId="5B68B211" w14:textId="77777777" w:rsidR="00DB7466" w:rsidRDefault="00DB7466" w:rsidP="00AD4EA1"/>
    <w:p w14:paraId="5A841363" w14:textId="77777777" w:rsidR="00DB7466" w:rsidRDefault="00DB7466" w:rsidP="00AD4EA1"/>
    <w:p w14:paraId="17E8954F" w14:textId="77777777" w:rsidR="00DB7466" w:rsidRDefault="00DB7466" w:rsidP="00AD4EA1"/>
    <w:p w14:paraId="50B4B118" w14:textId="77777777" w:rsidR="00DB7466" w:rsidRDefault="00DB7466" w:rsidP="00AD4EA1"/>
    <w:p w14:paraId="3EFAC4CE" w14:textId="77777777" w:rsidR="00DB7466" w:rsidRDefault="00DB7466" w:rsidP="00AD4EA1"/>
    <w:p w14:paraId="355CD992" w14:textId="77777777" w:rsidR="00DB7466" w:rsidRDefault="00DB7466" w:rsidP="00AD4EA1"/>
    <w:p w14:paraId="46137B7F" w14:textId="77777777" w:rsidR="00DB7466" w:rsidRDefault="00DB7466" w:rsidP="00AD4EA1"/>
    <w:p w14:paraId="74759F95" w14:textId="77777777" w:rsidR="00DB7466" w:rsidRDefault="00DB7466" w:rsidP="00AD4EA1"/>
    <w:p w14:paraId="5F781F46" w14:textId="77777777" w:rsidR="00DB7466" w:rsidRDefault="00DB7466" w:rsidP="00AD4EA1"/>
    <w:p w14:paraId="1E549BEB" w14:textId="77777777" w:rsidR="00DB7466" w:rsidRDefault="00DB7466" w:rsidP="00AD4EA1"/>
    <w:p w14:paraId="2EEE57E5" w14:textId="77777777" w:rsidR="00DB7466" w:rsidRDefault="00DB7466" w:rsidP="00AD4EA1"/>
    <w:p w14:paraId="08AEB7A6" w14:textId="77777777" w:rsidR="00DB7466" w:rsidRDefault="00DB7466" w:rsidP="00AD4EA1"/>
    <w:p w14:paraId="31C80B69" w14:textId="77777777" w:rsidR="00DB7466" w:rsidRDefault="00DB7466" w:rsidP="00AD4EA1"/>
    <w:p w14:paraId="626A8625" w14:textId="77777777" w:rsidR="00DB7466" w:rsidRDefault="00DB7466" w:rsidP="00AD4EA1"/>
    <w:p w14:paraId="2BA932D4" w14:textId="77777777" w:rsidR="00DB7466" w:rsidRDefault="00DB7466" w:rsidP="00AD4EA1"/>
    <w:p w14:paraId="150FAC63" w14:textId="77777777" w:rsidR="00DB7466" w:rsidRDefault="00DB7466" w:rsidP="00CD4DEC"/>
    <w:p w14:paraId="1554FC61" w14:textId="77777777" w:rsidR="00DB7466" w:rsidRDefault="00DB7466" w:rsidP="002C583C"/>
    <w:p w14:paraId="7862C15E" w14:textId="77777777" w:rsidR="00DB7466" w:rsidRDefault="00DB7466" w:rsidP="002C583C"/>
    <w:p w14:paraId="7FA132D3" w14:textId="77777777" w:rsidR="00DB7466" w:rsidRDefault="00DB7466" w:rsidP="006208C5"/>
    <w:p w14:paraId="6627B645" w14:textId="77777777" w:rsidR="00DB7466" w:rsidRDefault="00DB7466" w:rsidP="006208C5"/>
    <w:p w14:paraId="1C886B61" w14:textId="77777777" w:rsidR="00DB7466" w:rsidRDefault="00DB7466" w:rsidP="003E60B3"/>
    <w:p w14:paraId="388C3ACF" w14:textId="77777777" w:rsidR="00DB7466" w:rsidRDefault="00DB7466" w:rsidP="003E60B3"/>
    <w:p w14:paraId="76B8F77B" w14:textId="77777777" w:rsidR="00DB7466" w:rsidRDefault="00DB7466" w:rsidP="00C7542B"/>
    <w:p w14:paraId="30FB132F" w14:textId="77777777" w:rsidR="00DB7466" w:rsidRDefault="00DB7466" w:rsidP="00C7542B"/>
    <w:p w14:paraId="2B1BC253" w14:textId="77777777" w:rsidR="00DB7466" w:rsidRDefault="00DB7466" w:rsidP="00C7542B"/>
    <w:p w14:paraId="62FAB23B" w14:textId="77777777" w:rsidR="00DB7466" w:rsidRDefault="00DB7466" w:rsidP="00C7542B"/>
    <w:p w14:paraId="46947798" w14:textId="77777777" w:rsidR="00DB7466" w:rsidRDefault="00DB7466" w:rsidP="00C7542B"/>
    <w:p w14:paraId="48BCED37" w14:textId="77777777" w:rsidR="00DB7466" w:rsidRDefault="00DB7466" w:rsidP="00C7542B"/>
    <w:p w14:paraId="12E53F82" w14:textId="77777777" w:rsidR="00DB7466" w:rsidRDefault="00DB7466" w:rsidP="00E668AB"/>
    <w:p w14:paraId="7FC2209C" w14:textId="77777777" w:rsidR="00DB7466" w:rsidRDefault="00DB7466" w:rsidP="002E2DD5"/>
    <w:p w14:paraId="5569FE53" w14:textId="77777777" w:rsidR="00DB7466" w:rsidRDefault="00DB7466" w:rsidP="00F34FE7"/>
    <w:p w14:paraId="5E4EA784" w14:textId="77777777" w:rsidR="00DB7466" w:rsidRDefault="00DB7466" w:rsidP="00987D5A"/>
    <w:p w14:paraId="0A7D6C57" w14:textId="77777777" w:rsidR="00DB7466" w:rsidRDefault="00DB7466" w:rsidP="00987D5A"/>
    <w:p w14:paraId="08B202FA" w14:textId="77777777" w:rsidR="00DB7466" w:rsidRDefault="00DB7466" w:rsidP="00DA3815"/>
    <w:p w14:paraId="3028DB3B" w14:textId="77777777" w:rsidR="00DB7466" w:rsidRDefault="00DB7466" w:rsidP="00BE5921"/>
    <w:p w14:paraId="2A6F38EE" w14:textId="77777777" w:rsidR="00DB7466" w:rsidRDefault="00DB7466" w:rsidP="00BA65A1"/>
    <w:p w14:paraId="07E7DBC7" w14:textId="77777777" w:rsidR="00DB7466" w:rsidRDefault="00DB7466" w:rsidP="00BA65A1"/>
    <w:p w14:paraId="64E7288C" w14:textId="77777777" w:rsidR="00DB7466" w:rsidRDefault="00DB7466" w:rsidP="00BA65A1"/>
    <w:p w14:paraId="130B7919" w14:textId="77777777" w:rsidR="00DB7466" w:rsidRDefault="00DB7466" w:rsidP="00E972D0"/>
    <w:p w14:paraId="3A317FAF" w14:textId="77777777" w:rsidR="00DB7466" w:rsidRDefault="00DB7466" w:rsidP="00EA4A6E"/>
    <w:p w14:paraId="17FC40FB" w14:textId="77777777" w:rsidR="00DB7466" w:rsidRDefault="00DB7466" w:rsidP="00B206BE"/>
    <w:p w14:paraId="43559FF2" w14:textId="77777777" w:rsidR="00DB7466" w:rsidRDefault="00DB7466" w:rsidP="006D36B9"/>
    <w:p w14:paraId="46E5DAAF" w14:textId="77777777" w:rsidR="00DB7466" w:rsidRDefault="00DB7466" w:rsidP="006D36B9"/>
    <w:p w14:paraId="7B034842" w14:textId="77777777" w:rsidR="00DB7466" w:rsidRDefault="00DB7466" w:rsidP="006D36B9"/>
    <w:p w14:paraId="47F80044" w14:textId="77777777" w:rsidR="00DB7466" w:rsidRDefault="00DB7466" w:rsidP="006D36B9"/>
    <w:p w14:paraId="102F06F3" w14:textId="77777777" w:rsidR="00DB7466" w:rsidRDefault="00DB7466" w:rsidP="006D36B9"/>
    <w:p w14:paraId="772A4E5F" w14:textId="77777777" w:rsidR="00DB7466" w:rsidRDefault="00DB7466" w:rsidP="006D36B9"/>
    <w:p w14:paraId="2D0D9843" w14:textId="77777777" w:rsidR="00DB7466" w:rsidRDefault="00DB7466" w:rsidP="00EA23F1"/>
    <w:p w14:paraId="7D96FEA7" w14:textId="77777777" w:rsidR="00DB7466" w:rsidRDefault="00DB7466"/>
    <w:p w14:paraId="24B45557" w14:textId="77777777" w:rsidR="00DB7466" w:rsidRDefault="00DB7466" w:rsidP="00AC6278"/>
    <w:p w14:paraId="353AAA12" w14:textId="77777777" w:rsidR="00DB7466" w:rsidRDefault="00DB7466" w:rsidP="000F7EB3"/>
    <w:p w14:paraId="269B489C" w14:textId="77777777" w:rsidR="00DB7466" w:rsidRDefault="00DB7466" w:rsidP="00FB722B"/>
    <w:p w14:paraId="2E3D5ADF" w14:textId="77777777" w:rsidR="00DB7466" w:rsidRDefault="00DB7466" w:rsidP="00FB722B"/>
    <w:p w14:paraId="02D3DA75" w14:textId="77777777" w:rsidR="00DB7466" w:rsidRDefault="00DB7466" w:rsidP="00760684"/>
    <w:p w14:paraId="14706BE2" w14:textId="77777777" w:rsidR="00DB7466" w:rsidRDefault="00DB7466"/>
    <w:p w14:paraId="37E78B7B" w14:textId="77777777" w:rsidR="00DB7466" w:rsidRDefault="00DB7466"/>
    <w:p w14:paraId="48DEB803" w14:textId="77777777" w:rsidR="00DB7466" w:rsidRDefault="00DB7466"/>
    <w:p w14:paraId="23462C20" w14:textId="77777777" w:rsidR="00DB7466" w:rsidRDefault="00DB7466" w:rsidP="00E97D21"/>
    <w:p w14:paraId="561783B7" w14:textId="77777777" w:rsidR="00DB7466" w:rsidRDefault="00DB7466" w:rsidP="00A2303A"/>
    <w:p w14:paraId="5F24F73E" w14:textId="77777777" w:rsidR="00DB7466" w:rsidRDefault="00DB7466" w:rsidP="00A2303A"/>
    <w:p w14:paraId="282DF7B7" w14:textId="77777777" w:rsidR="00DB7466" w:rsidRDefault="00DB7466" w:rsidP="00A2303A"/>
    <w:p w14:paraId="0684FA6E" w14:textId="77777777" w:rsidR="00DB7466" w:rsidRDefault="00DB7466"/>
    <w:p w14:paraId="3688045C" w14:textId="77777777" w:rsidR="00DB7466" w:rsidRDefault="00DB7466" w:rsidP="004B37A9"/>
    <w:p w14:paraId="1B1C1251" w14:textId="77777777" w:rsidR="00DB7466" w:rsidRDefault="00DB7466" w:rsidP="004B37A9"/>
    <w:p w14:paraId="1EF77F8D" w14:textId="77777777" w:rsidR="00DB7466" w:rsidRDefault="00DB7466"/>
    <w:p w14:paraId="17E4FAB3" w14:textId="77777777" w:rsidR="00DB7466" w:rsidRDefault="00DB7466" w:rsidP="00F2792F"/>
    <w:p w14:paraId="46725A87" w14:textId="77777777" w:rsidR="00DB7466" w:rsidRDefault="00DB7466" w:rsidP="00F2792F"/>
    <w:p w14:paraId="2C07BB0B" w14:textId="77777777" w:rsidR="00DB7466" w:rsidRDefault="00DB7466" w:rsidP="00F2792F"/>
    <w:p w14:paraId="3F9F7235" w14:textId="77777777" w:rsidR="00DB7466" w:rsidRDefault="00DB7466" w:rsidP="00F2792F"/>
    <w:p w14:paraId="62ED3398" w14:textId="77777777" w:rsidR="00DB7466" w:rsidRDefault="00DB7466" w:rsidP="003F470F"/>
    <w:p w14:paraId="40E12DFA" w14:textId="77777777" w:rsidR="00DB7466" w:rsidRDefault="00DB7466" w:rsidP="00FE2957"/>
    <w:p w14:paraId="19ADAEE8" w14:textId="77777777" w:rsidR="00DB7466" w:rsidRDefault="00DB7466" w:rsidP="00FE2957"/>
    <w:p w14:paraId="371BC104" w14:textId="77777777" w:rsidR="00DB7466" w:rsidRDefault="00DB7466" w:rsidP="00E02438"/>
    <w:p w14:paraId="3EC87BE9" w14:textId="77777777" w:rsidR="00DB7466" w:rsidRDefault="00DB7466" w:rsidP="008F70A3"/>
    <w:p w14:paraId="2C468219" w14:textId="77777777" w:rsidR="00DB7466" w:rsidRDefault="00DB7466" w:rsidP="00727452"/>
    <w:p w14:paraId="27F9B481" w14:textId="77777777" w:rsidR="00DB7466" w:rsidRDefault="00DB7466" w:rsidP="00676913"/>
    <w:p w14:paraId="318E6DEA" w14:textId="77777777" w:rsidR="00DB7466" w:rsidRDefault="00DB7466"/>
    <w:p w14:paraId="401B7490" w14:textId="77777777" w:rsidR="00DB7466" w:rsidRDefault="00DB7466" w:rsidP="0088433B"/>
    <w:p w14:paraId="785387E2" w14:textId="77777777" w:rsidR="00DB7466" w:rsidRDefault="00DB7466" w:rsidP="0088433B"/>
    <w:p w14:paraId="3790E58F" w14:textId="77777777" w:rsidR="00DB7466" w:rsidRDefault="00DB7466" w:rsidP="00B005BD"/>
    <w:p w14:paraId="4CC36D8C" w14:textId="77777777" w:rsidR="00DB7466" w:rsidRDefault="00DB7466" w:rsidP="00B005BD"/>
    <w:p w14:paraId="004E8275" w14:textId="77777777" w:rsidR="00DB7466" w:rsidRDefault="00DB7466" w:rsidP="00FE1B67"/>
    <w:p w14:paraId="5EEF79E0" w14:textId="77777777" w:rsidR="00DB7466" w:rsidRDefault="00DB7466" w:rsidP="00FE1B67"/>
    <w:p w14:paraId="24236922" w14:textId="77777777" w:rsidR="00DB7466" w:rsidRDefault="00DB7466" w:rsidP="00FE1B67"/>
    <w:p w14:paraId="7D850EA5" w14:textId="77777777" w:rsidR="00DB7466" w:rsidRDefault="00DB7466"/>
    <w:p w14:paraId="748FD336" w14:textId="77777777" w:rsidR="00DB7466" w:rsidRDefault="00DB7466"/>
    <w:p w14:paraId="4CA6C7CF" w14:textId="77777777" w:rsidR="00DB7466" w:rsidRDefault="00DB7466"/>
    <w:p w14:paraId="354C4085" w14:textId="77777777" w:rsidR="00DB7466" w:rsidRDefault="00DB7466" w:rsidP="00A25F00"/>
    <w:p w14:paraId="4953EC82" w14:textId="77777777" w:rsidR="00DB7466" w:rsidRDefault="00DB7466"/>
    <w:p w14:paraId="33A507ED" w14:textId="77777777" w:rsidR="00DB7466" w:rsidRDefault="00DB7466" w:rsidP="00C86149"/>
    <w:p w14:paraId="5D2DDAA0" w14:textId="77777777" w:rsidR="00DB7466" w:rsidRDefault="00DB7466"/>
    <w:p w14:paraId="43290990" w14:textId="77777777" w:rsidR="00DB7466" w:rsidRDefault="00DB7466" w:rsidP="00AE612D"/>
    <w:p w14:paraId="1860A033" w14:textId="77777777" w:rsidR="00DB7466" w:rsidRDefault="00DB7466" w:rsidP="008D16DA"/>
    <w:p w14:paraId="4DEE718F" w14:textId="77777777" w:rsidR="00DB7466" w:rsidRDefault="00DB7466" w:rsidP="008D16DA"/>
    <w:p w14:paraId="4F875B28" w14:textId="77777777" w:rsidR="00DB7466" w:rsidRDefault="00DB7466" w:rsidP="008D16DA"/>
    <w:p w14:paraId="16C0F011" w14:textId="77777777" w:rsidR="00DB7466" w:rsidRDefault="00DB7466" w:rsidP="00221E03"/>
    <w:p w14:paraId="02C66A30" w14:textId="77777777" w:rsidR="00DB7466" w:rsidRDefault="00DB7466"/>
    <w:p w14:paraId="10E454C9" w14:textId="77777777" w:rsidR="00DB7466" w:rsidRDefault="00DB7466"/>
    <w:p w14:paraId="22954FFB" w14:textId="77777777" w:rsidR="00DB7466" w:rsidRDefault="00DB7466" w:rsidP="000B3880"/>
    <w:p w14:paraId="552A1A10" w14:textId="77777777" w:rsidR="00DB7466" w:rsidRDefault="00DB7466" w:rsidP="000B3880"/>
    <w:p w14:paraId="4B36B566" w14:textId="77777777" w:rsidR="00DB7466" w:rsidRDefault="00DB7466" w:rsidP="000B3880"/>
    <w:p w14:paraId="0CD9DEE1" w14:textId="77777777" w:rsidR="00DB7466" w:rsidRDefault="00DB7466" w:rsidP="00C61011"/>
    <w:p w14:paraId="1D480288" w14:textId="77777777" w:rsidR="00DB7466" w:rsidRDefault="00DB7466"/>
    <w:p w14:paraId="6E95D5FF" w14:textId="77777777" w:rsidR="00DB7466" w:rsidRDefault="00DB7466" w:rsidP="00442E09"/>
    <w:p w14:paraId="053F997E" w14:textId="77777777" w:rsidR="00DB7466" w:rsidRDefault="00DB7466"/>
    <w:p w14:paraId="73F02201" w14:textId="77777777" w:rsidR="00DB7466" w:rsidRDefault="00DB7466" w:rsidP="002F2F0C"/>
    <w:p w14:paraId="5E557925" w14:textId="77777777" w:rsidR="00DB7466" w:rsidRDefault="00DB7466" w:rsidP="00035C0D"/>
    <w:p w14:paraId="10157927" w14:textId="77777777" w:rsidR="00DB7466" w:rsidRDefault="00DB7466"/>
    <w:p w14:paraId="22D5988C" w14:textId="77777777" w:rsidR="00DB7466" w:rsidRDefault="00DB7466"/>
    <w:p w14:paraId="774A025B" w14:textId="77777777" w:rsidR="00DB7466" w:rsidRDefault="00DB7466" w:rsidP="00FC0786"/>
    <w:p w14:paraId="6D49528B" w14:textId="77777777" w:rsidR="00DB7466" w:rsidRDefault="00DB7466" w:rsidP="00FC0786"/>
    <w:p w14:paraId="30F09782" w14:textId="77777777" w:rsidR="00DB7466" w:rsidRDefault="00DB7466" w:rsidP="00FC0786"/>
    <w:p w14:paraId="18F11731" w14:textId="77777777" w:rsidR="00DB7466" w:rsidRDefault="00DB7466" w:rsidP="00FC0786"/>
    <w:p w14:paraId="741378C8" w14:textId="77777777" w:rsidR="00DB7466" w:rsidRDefault="00DB7466" w:rsidP="00FC0786"/>
    <w:p w14:paraId="2A0D8386" w14:textId="77777777" w:rsidR="00DB7466" w:rsidRDefault="00DB7466" w:rsidP="00FC0786"/>
    <w:p w14:paraId="637B70B0" w14:textId="77777777" w:rsidR="00DB7466" w:rsidRDefault="00DB7466" w:rsidP="00FC0786"/>
    <w:p w14:paraId="119EF4F2" w14:textId="77777777" w:rsidR="00DB7466" w:rsidRDefault="00DB7466" w:rsidP="00FC0786"/>
    <w:p w14:paraId="1A2795B3" w14:textId="77777777" w:rsidR="00DB7466" w:rsidRDefault="00DB7466" w:rsidP="00FC0786"/>
    <w:p w14:paraId="7BA6A6D3" w14:textId="77777777" w:rsidR="00DB7466" w:rsidRDefault="00DB7466" w:rsidP="00FC0786"/>
    <w:p w14:paraId="435AF2B3" w14:textId="77777777" w:rsidR="00DB7466" w:rsidRDefault="00DB7466" w:rsidP="00FC0786"/>
    <w:p w14:paraId="131D9539" w14:textId="77777777" w:rsidR="00DB7466" w:rsidRDefault="00DB7466" w:rsidP="00FC0786"/>
    <w:p w14:paraId="70F2572A" w14:textId="77777777" w:rsidR="00DB7466" w:rsidRDefault="00DB7466" w:rsidP="00FC0786"/>
    <w:p w14:paraId="1C06CD96" w14:textId="77777777" w:rsidR="00DB7466" w:rsidRDefault="00DB7466" w:rsidP="00FC0786"/>
    <w:p w14:paraId="4C09B98D" w14:textId="77777777" w:rsidR="00DB7466" w:rsidRDefault="00DB7466" w:rsidP="00FC0786"/>
    <w:p w14:paraId="2C2029B2" w14:textId="77777777" w:rsidR="00DB7466" w:rsidRDefault="00DB7466" w:rsidP="00FC0786"/>
    <w:p w14:paraId="68EC527A" w14:textId="77777777" w:rsidR="00DB7466" w:rsidRDefault="00DB7466" w:rsidP="00884294"/>
    <w:p w14:paraId="4D24F0BB" w14:textId="77777777" w:rsidR="00DB7466" w:rsidRDefault="00DB7466" w:rsidP="00115C61"/>
    <w:p w14:paraId="1D340AAE" w14:textId="77777777" w:rsidR="00DB7466" w:rsidRDefault="00DB7466" w:rsidP="00F21980"/>
    <w:p w14:paraId="708A7965" w14:textId="77777777" w:rsidR="00DB7466" w:rsidRDefault="00DB7466"/>
    <w:p w14:paraId="0B5FFCC6" w14:textId="77777777" w:rsidR="00DB7466" w:rsidRDefault="00DB7466" w:rsidP="004902EB"/>
    <w:p w14:paraId="7C70ECC0" w14:textId="77777777" w:rsidR="00DB7466" w:rsidRDefault="00DB7466" w:rsidP="00C165D6"/>
    <w:p w14:paraId="13378421" w14:textId="77777777" w:rsidR="00DB7466" w:rsidRDefault="00DB7466" w:rsidP="00C165D6"/>
    <w:p w14:paraId="53D49B90" w14:textId="77777777" w:rsidR="00DB7466" w:rsidRDefault="00DB7466" w:rsidP="00D1652A"/>
    <w:p w14:paraId="1E60B849" w14:textId="77777777" w:rsidR="00DB7466" w:rsidRDefault="00DB7466"/>
    <w:p w14:paraId="7F8A7B3E" w14:textId="77777777" w:rsidR="00DB7466" w:rsidRDefault="00DB7466"/>
    <w:p w14:paraId="7EA6F899" w14:textId="77777777" w:rsidR="00DB7466" w:rsidRDefault="00DB7466" w:rsidP="00665E23"/>
    <w:p w14:paraId="669C082E" w14:textId="77777777" w:rsidR="00DB7466" w:rsidRDefault="00DB7466" w:rsidP="00665E23"/>
    <w:p w14:paraId="0AF2BDA2" w14:textId="77777777" w:rsidR="00DB7466" w:rsidRDefault="00DB7466" w:rsidP="00665E23"/>
    <w:p w14:paraId="1D619911" w14:textId="77777777" w:rsidR="00DB7466" w:rsidRDefault="00DB7466"/>
    <w:p w14:paraId="4439D0E8" w14:textId="77777777" w:rsidR="00DB7466" w:rsidRDefault="00DB7466" w:rsidP="00FC625F"/>
    <w:p w14:paraId="791022CE" w14:textId="77777777" w:rsidR="00DB7466" w:rsidRDefault="00DB7466" w:rsidP="00CD26FF"/>
    <w:p w14:paraId="7B142075" w14:textId="77777777" w:rsidR="00DB7466" w:rsidRDefault="00DB7466" w:rsidP="005C0894"/>
    <w:p w14:paraId="4E2E30CC" w14:textId="77777777" w:rsidR="00DB7466" w:rsidRDefault="00DB7466" w:rsidP="005C0894"/>
    <w:p w14:paraId="5D12EB88" w14:textId="77777777" w:rsidR="00DB7466" w:rsidRDefault="00DB7466" w:rsidP="005C0894"/>
    <w:p w14:paraId="39E2B00D" w14:textId="77777777" w:rsidR="00DB7466" w:rsidRDefault="00DB7466" w:rsidP="005C0894"/>
    <w:p w14:paraId="4888AEED" w14:textId="77777777" w:rsidR="00DB7466" w:rsidRDefault="00DB7466" w:rsidP="005C0894"/>
    <w:p w14:paraId="3EAB8986" w14:textId="77777777" w:rsidR="00DB7466" w:rsidRDefault="00DB7466" w:rsidP="005C0894"/>
    <w:p w14:paraId="55C7A1D6" w14:textId="77777777" w:rsidR="00DB7466" w:rsidRDefault="00DB7466" w:rsidP="005C0894"/>
    <w:p w14:paraId="66986582" w14:textId="77777777" w:rsidR="00DB7466" w:rsidRDefault="00DB7466" w:rsidP="005C0894"/>
    <w:p w14:paraId="7F7B1319" w14:textId="77777777" w:rsidR="00DB7466" w:rsidRDefault="00DB7466" w:rsidP="00EE7F1F"/>
    <w:p w14:paraId="2F98B559" w14:textId="77777777" w:rsidR="00DB7466" w:rsidRDefault="00DB7466" w:rsidP="00C6037F"/>
    <w:p w14:paraId="1071D633" w14:textId="77777777" w:rsidR="00DB7466" w:rsidRDefault="00DB7466" w:rsidP="00C6037F"/>
    <w:p w14:paraId="7A332536" w14:textId="77777777" w:rsidR="00DB7466" w:rsidRDefault="00DB7466" w:rsidP="00C6037F"/>
    <w:p w14:paraId="17277BC9" w14:textId="77777777" w:rsidR="00DB7466" w:rsidRDefault="00DB7466" w:rsidP="00C6037F"/>
    <w:p w14:paraId="60C48889" w14:textId="77777777" w:rsidR="00DB7466" w:rsidRDefault="00DB7466" w:rsidP="00C6037F"/>
    <w:p w14:paraId="6EB6EAA6" w14:textId="77777777" w:rsidR="00DB7466" w:rsidRDefault="00DB7466" w:rsidP="00B8778C"/>
    <w:p w14:paraId="7A54DE4F" w14:textId="77777777" w:rsidR="00DB7466" w:rsidRDefault="00DB7466" w:rsidP="00B8778C"/>
    <w:p w14:paraId="24E16E38" w14:textId="77777777" w:rsidR="00DB7466" w:rsidRDefault="00DB7466" w:rsidP="00B8778C"/>
    <w:p w14:paraId="774E1502" w14:textId="77777777" w:rsidR="00DB7466" w:rsidRDefault="00DB7466" w:rsidP="00B8778C"/>
    <w:p w14:paraId="0988F68D" w14:textId="77777777" w:rsidR="00DB7466" w:rsidRDefault="00DB7466" w:rsidP="00B8778C"/>
    <w:p w14:paraId="66672668" w14:textId="77777777" w:rsidR="00DB7466" w:rsidRDefault="00DB7466" w:rsidP="00B8778C"/>
    <w:p w14:paraId="1E3963E9" w14:textId="77777777" w:rsidR="00DB7466" w:rsidRDefault="00DB7466" w:rsidP="00B8778C"/>
    <w:p w14:paraId="1ABAAC5A" w14:textId="77777777" w:rsidR="00DB7466" w:rsidRDefault="00DB7466"/>
    <w:p w14:paraId="0672AFD9" w14:textId="77777777" w:rsidR="00DB7466" w:rsidRDefault="00DB7466" w:rsidP="00054EA8"/>
    <w:p w14:paraId="78D0BF51" w14:textId="77777777" w:rsidR="00DB7466" w:rsidRDefault="00DB7466" w:rsidP="00054EA8"/>
    <w:p w14:paraId="7B487C0F" w14:textId="77777777" w:rsidR="00DB7466" w:rsidRDefault="00DB7466" w:rsidP="009A1FE6"/>
    <w:p w14:paraId="26CC528C" w14:textId="77777777" w:rsidR="00DB7466" w:rsidRDefault="00DB7466" w:rsidP="008508D9"/>
    <w:p w14:paraId="07878B85" w14:textId="77777777" w:rsidR="00DB7466" w:rsidRDefault="00DB7466" w:rsidP="002E3F59"/>
    <w:p w14:paraId="76002BCE" w14:textId="77777777" w:rsidR="00DB7466" w:rsidRDefault="00DB7466" w:rsidP="003347C9"/>
    <w:p w14:paraId="7F9D6A67" w14:textId="77777777" w:rsidR="00DB7466" w:rsidRDefault="00DB7466" w:rsidP="00DB01F5"/>
    <w:p w14:paraId="5507F943" w14:textId="77777777" w:rsidR="00DB7466" w:rsidRDefault="00DB7466" w:rsidP="00816B51"/>
    <w:p w14:paraId="2DF26552" w14:textId="77777777" w:rsidR="00DB7466" w:rsidRDefault="00DB7466"/>
    <w:p w14:paraId="4725B66F" w14:textId="77777777" w:rsidR="00DB7466" w:rsidRDefault="00DB7466"/>
    <w:p w14:paraId="0CD48A48" w14:textId="77777777" w:rsidR="00DB7466" w:rsidRDefault="00DB7466" w:rsidP="00D26309"/>
    <w:p w14:paraId="50C9AA59" w14:textId="77777777" w:rsidR="00DB7466" w:rsidRDefault="00DB7466" w:rsidP="00C2442C"/>
    <w:p w14:paraId="6398E907" w14:textId="77777777" w:rsidR="00DB7466" w:rsidRDefault="00DB7466"/>
    <w:p w14:paraId="7C30A36E" w14:textId="77777777" w:rsidR="00DB7466" w:rsidRDefault="00DB7466" w:rsidP="001361EB"/>
    <w:p w14:paraId="70FAB6C2" w14:textId="77777777" w:rsidR="00DB7466" w:rsidRDefault="00DB7466"/>
    <w:p w14:paraId="5D421DCC" w14:textId="77777777" w:rsidR="00DB7466" w:rsidRDefault="00DB7466" w:rsidP="003159DE"/>
    <w:p w14:paraId="4C7DF58C" w14:textId="77777777" w:rsidR="00DB7466" w:rsidRDefault="00DB7466" w:rsidP="003159DE"/>
    <w:p w14:paraId="1741DEEB" w14:textId="77777777" w:rsidR="00DB7466" w:rsidRDefault="00DB7466"/>
    <w:p w14:paraId="551195CB" w14:textId="77777777" w:rsidR="00DB7466" w:rsidRDefault="00DB7466"/>
    <w:p w14:paraId="1EAC5DF9" w14:textId="77777777" w:rsidR="00DB7466" w:rsidRDefault="00DB7466"/>
    <w:p w14:paraId="559DC909" w14:textId="77777777" w:rsidR="00DB7466" w:rsidRDefault="00DB7466" w:rsidP="00071B02"/>
    <w:p w14:paraId="21364539" w14:textId="77777777" w:rsidR="00DB7466" w:rsidRDefault="00DB7466" w:rsidP="00071B02"/>
    <w:p w14:paraId="3A0A6536" w14:textId="77777777" w:rsidR="00DB7466" w:rsidRDefault="00DB7466"/>
    <w:p w14:paraId="67B5D945" w14:textId="77777777" w:rsidR="00ED71D7" w:rsidRDefault="00ED71D7"/>
    <w:p w14:paraId="5149AC29" w14:textId="77777777" w:rsidR="00ED71D7" w:rsidRDefault="00ED71D7" w:rsidP="00D90A2B"/>
    <w:p w14:paraId="25D38953" w14:textId="77777777" w:rsidR="009248A6" w:rsidRDefault="009248A6"/>
    <w:p w14:paraId="51CFF09F" w14:textId="77777777" w:rsidR="009248A6" w:rsidRDefault="009248A6" w:rsidP="005A34FE"/>
    <w:p w14:paraId="2E312656" w14:textId="77777777" w:rsidR="009248A6" w:rsidRDefault="009248A6" w:rsidP="005125FE"/>
    <w:p w14:paraId="5873BB2F" w14:textId="77777777" w:rsidR="009248A6" w:rsidRDefault="009248A6" w:rsidP="007D2527"/>
    <w:p w14:paraId="48F64E11" w14:textId="77777777" w:rsidR="009248A6" w:rsidRDefault="009248A6" w:rsidP="00C61D7E"/>
  </w:footnote>
  <w:footnote w:type="continuationNotice" w:id="1">
    <w:p w14:paraId="285107A2" w14:textId="77777777" w:rsidR="00DB7466" w:rsidRDefault="00DB7466" w:rsidP="00035C0D"/>
    <w:p w14:paraId="479E9B22" w14:textId="77777777" w:rsidR="00DB7466" w:rsidRDefault="00DB7466" w:rsidP="00AD4EA1"/>
    <w:p w14:paraId="2AB2338E" w14:textId="77777777" w:rsidR="00DB7466" w:rsidRDefault="00DB7466" w:rsidP="00AD4EA1"/>
    <w:p w14:paraId="11709E03" w14:textId="77777777" w:rsidR="00DB7466" w:rsidRDefault="00DB7466" w:rsidP="00AD4EA1"/>
    <w:p w14:paraId="286AA13F" w14:textId="77777777" w:rsidR="00DB7466" w:rsidRDefault="00DB7466" w:rsidP="00AD4EA1"/>
    <w:p w14:paraId="1DB8C4A8" w14:textId="77777777" w:rsidR="00DB7466" w:rsidRDefault="00DB7466" w:rsidP="00AD4EA1"/>
    <w:p w14:paraId="545D218B" w14:textId="77777777" w:rsidR="00DB7466" w:rsidRDefault="00DB7466" w:rsidP="00AD4EA1"/>
    <w:p w14:paraId="13DCBA66" w14:textId="77777777" w:rsidR="00DB7466" w:rsidRDefault="00DB7466" w:rsidP="00AD4EA1"/>
    <w:p w14:paraId="15E799EC" w14:textId="77777777" w:rsidR="00DB7466" w:rsidRDefault="00DB7466" w:rsidP="00AD4EA1"/>
    <w:p w14:paraId="7108B56B" w14:textId="77777777" w:rsidR="00DB7466" w:rsidRDefault="00DB7466" w:rsidP="00AD4EA1"/>
    <w:p w14:paraId="7624BD08" w14:textId="77777777" w:rsidR="00DB7466" w:rsidRDefault="00DB7466" w:rsidP="00AD4EA1"/>
    <w:p w14:paraId="7A74E326" w14:textId="77777777" w:rsidR="00DB7466" w:rsidRDefault="00DB7466" w:rsidP="00AD4EA1"/>
    <w:p w14:paraId="713B23C2" w14:textId="77777777" w:rsidR="00DB7466" w:rsidRDefault="00DB7466" w:rsidP="00AD4EA1"/>
    <w:p w14:paraId="04D7CC88" w14:textId="77777777" w:rsidR="00DB7466" w:rsidRDefault="00DB7466" w:rsidP="00AD4EA1"/>
    <w:p w14:paraId="65CE250B" w14:textId="77777777" w:rsidR="00DB7466" w:rsidRDefault="00DB7466" w:rsidP="00AD4EA1"/>
    <w:p w14:paraId="306FF435" w14:textId="77777777" w:rsidR="00DB7466" w:rsidRDefault="00DB7466" w:rsidP="00AD4EA1"/>
    <w:p w14:paraId="51F86D98" w14:textId="77777777" w:rsidR="00DB7466" w:rsidRDefault="00DB7466" w:rsidP="00AD4EA1"/>
    <w:p w14:paraId="42913FFA" w14:textId="77777777" w:rsidR="00DB7466" w:rsidRDefault="00DB7466" w:rsidP="00AD4EA1"/>
    <w:p w14:paraId="595038E7" w14:textId="77777777" w:rsidR="00DB7466" w:rsidRDefault="00DB7466" w:rsidP="00AD4EA1"/>
    <w:p w14:paraId="75A3E303" w14:textId="77777777" w:rsidR="00DB7466" w:rsidRDefault="00DB7466" w:rsidP="00AD4EA1"/>
    <w:p w14:paraId="2B48D5EA" w14:textId="77777777" w:rsidR="00DB7466" w:rsidRDefault="00DB7466" w:rsidP="00AD4EA1"/>
    <w:p w14:paraId="2443342C" w14:textId="77777777" w:rsidR="00DB7466" w:rsidRDefault="00DB7466" w:rsidP="00AD4EA1"/>
    <w:p w14:paraId="41353E5F" w14:textId="77777777" w:rsidR="00DB7466" w:rsidRDefault="00DB7466" w:rsidP="00AD4EA1"/>
    <w:p w14:paraId="32A699CE" w14:textId="77777777" w:rsidR="00DB7466" w:rsidRDefault="00DB7466" w:rsidP="00AD4EA1"/>
    <w:p w14:paraId="3C673EC4" w14:textId="77777777" w:rsidR="00DB7466" w:rsidRDefault="00DB7466" w:rsidP="00AD4EA1"/>
    <w:p w14:paraId="5FDFB141" w14:textId="77777777" w:rsidR="00DB7466" w:rsidRDefault="00DB7466" w:rsidP="00AD4EA1"/>
    <w:p w14:paraId="239FF277" w14:textId="77777777" w:rsidR="00DB7466" w:rsidRDefault="00DB7466" w:rsidP="00AD4EA1"/>
    <w:p w14:paraId="4A258FA1" w14:textId="77777777" w:rsidR="00DB7466" w:rsidRDefault="00DB7466" w:rsidP="00AD4EA1"/>
    <w:p w14:paraId="1E03E982" w14:textId="77777777" w:rsidR="00DB7466" w:rsidRDefault="00DB7466" w:rsidP="00AD4EA1"/>
    <w:p w14:paraId="1721E7C9" w14:textId="77777777" w:rsidR="00DB7466" w:rsidRDefault="00DB7466" w:rsidP="00AD4EA1"/>
    <w:p w14:paraId="0AC5CF68" w14:textId="77777777" w:rsidR="00DB7466" w:rsidRDefault="00DB7466" w:rsidP="00AD4EA1"/>
    <w:p w14:paraId="61B283E6" w14:textId="77777777" w:rsidR="00DB7466" w:rsidRDefault="00DB7466" w:rsidP="00AD4EA1"/>
    <w:p w14:paraId="187AF476" w14:textId="77777777" w:rsidR="00DB7466" w:rsidRDefault="00DB7466" w:rsidP="00AD4EA1"/>
    <w:p w14:paraId="4001078B" w14:textId="77777777" w:rsidR="00DB7466" w:rsidRDefault="00DB7466" w:rsidP="00AD4EA1"/>
    <w:p w14:paraId="028B2D93" w14:textId="77777777" w:rsidR="00DB7466" w:rsidRDefault="00DB7466" w:rsidP="00AD4EA1"/>
    <w:p w14:paraId="30601E38" w14:textId="77777777" w:rsidR="00DB7466" w:rsidRDefault="00DB7466" w:rsidP="00AD4EA1"/>
    <w:p w14:paraId="72741E90" w14:textId="77777777" w:rsidR="00DB7466" w:rsidRDefault="00DB7466" w:rsidP="00AD4EA1"/>
    <w:p w14:paraId="6BC57172" w14:textId="77777777" w:rsidR="00DB7466" w:rsidRDefault="00DB7466" w:rsidP="00AD4EA1"/>
    <w:p w14:paraId="109E1B6D" w14:textId="77777777" w:rsidR="00DB7466" w:rsidRDefault="00DB7466" w:rsidP="00AD4EA1"/>
    <w:p w14:paraId="1C8EE590" w14:textId="77777777" w:rsidR="00DB7466" w:rsidRDefault="00DB7466" w:rsidP="00AD4EA1"/>
    <w:p w14:paraId="31098B4C" w14:textId="77777777" w:rsidR="00DB7466" w:rsidRDefault="00DB7466" w:rsidP="00AD4EA1"/>
    <w:p w14:paraId="5631AF1C" w14:textId="77777777" w:rsidR="00DB7466" w:rsidRDefault="00DB7466" w:rsidP="00AD4EA1"/>
    <w:p w14:paraId="4B17B078" w14:textId="77777777" w:rsidR="00DB7466" w:rsidRDefault="00DB7466" w:rsidP="00AD4EA1"/>
    <w:p w14:paraId="66D9C9A0" w14:textId="77777777" w:rsidR="00DB7466" w:rsidRDefault="00DB7466" w:rsidP="00AD4EA1"/>
    <w:p w14:paraId="4C18FDC1" w14:textId="77777777" w:rsidR="00DB7466" w:rsidRDefault="00DB7466" w:rsidP="00AD4EA1"/>
    <w:p w14:paraId="75CBADE6" w14:textId="77777777" w:rsidR="00DB7466" w:rsidRDefault="00DB7466" w:rsidP="00AD4EA1"/>
    <w:p w14:paraId="21DB5A20" w14:textId="77777777" w:rsidR="00DB7466" w:rsidRDefault="00DB7466" w:rsidP="00AD4EA1"/>
    <w:p w14:paraId="771D43FB" w14:textId="77777777" w:rsidR="00DB7466" w:rsidRDefault="00DB7466" w:rsidP="00AD4EA1"/>
    <w:p w14:paraId="38C5E387" w14:textId="77777777" w:rsidR="00DB7466" w:rsidRDefault="00DB7466" w:rsidP="00AD4EA1"/>
    <w:p w14:paraId="1AB688E3" w14:textId="77777777" w:rsidR="00DB7466" w:rsidRDefault="00DB7466" w:rsidP="00AD4EA1"/>
    <w:p w14:paraId="67AE33F2" w14:textId="77777777" w:rsidR="00DB7466" w:rsidRDefault="00DB7466" w:rsidP="00AD4EA1"/>
    <w:p w14:paraId="210BAFB2" w14:textId="77777777" w:rsidR="00DB7466" w:rsidRDefault="00DB7466" w:rsidP="00AD4EA1"/>
    <w:p w14:paraId="585FFEE7" w14:textId="77777777" w:rsidR="00DB7466" w:rsidRDefault="00DB7466" w:rsidP="00AD4EA1"/>
    <w:p w14:paraId="75C2C971" w14:textId="77777777" w:rsidR="00DB7466" w:rsidRDefault="00DB7466" w:rsidP="00AD4EA1"/>
    <w:p w14:paraId="4CB6F8F9" w14:textId="77777777" w:rsidR="00DB7466" w:rsidRDefault="00DB7466" w:rsidP="00AD4EA1"/>
    <w:p w14:paraId="227A4B4A" w14:textId="77777777" w:rsidR="00DB7466" w:rsidRDefault="00DB7466" w:rsidP="00AD4EA1"/>
    <w:p w14:paraId="48A71FC3" w14:textId="77777777" w:rsidR="00DB7466" w:rsidRDefault="00DB7466" w:rsidP="00AD4EA1"/>
    <w:p w14:paraId="4E7A596D" w14:textId="77777777" w:rsidR="00DB7466" w:rsidRDefault="00DB7466" w:rsidP="00AD4EA1"/>
    <w:p w14:paraId="46C57F6B" w14:textId="77777777" w:rsidR="00DB7466" w:rsidRDefault="00DB7466" w:rsidP="00AD4EA1"/>
    <w:p w14:paraId="21B5F707" w14:textId="77777777" w:rsidR="00DB7466" w:rsidRDefault="00DB7466" w:rsidP="00AD4EA1"/>
    <w:p w14:paraId="5CD28223" w14:textId="77777777" w:rsidR="00DB7466" w:rsidRDefault="00DB7466" w:rsidP="00AD4EA1"/>
    <w:p w14:paraId="12D75435" w14:textId="77777777" w:rsidR="00DB7466" w:rsidRDefault="00DB7466" w:rsidP="00AD4EA1"/>
    <w:p w14:paraId="69C62069" w14:textId="77777777" w:rsidR="00DB7466" w:rsidRDefault="00DB7466" w:rsidP="00AD4EA1"/>
    <w:p w14:paraId="70D64DF5" w14:textId="77777777" w:rsidR="00DB7466" w:rsidRDefault="00DB7466" w:rsidP="00AD4EA1"/>
    <w:p w14:paraId="6879ACD5" w14:textId="77777777" w:rsidR="00DB7466" w:rsidRDefault="00DB7466" w:rsidP="00AD4EA1"/>
    <w:p w14:paraId="1EE858E6" w14:textId="77777777" w:rsidR="00DB7466" w:rsidRDefault="00DB7466" w:rsidP="00AD4EA1"/>
    <w:p w14:paraId="52A72A26" w14:textId="77777777" w:rsidR="00DB7466" w:rsidRDefault="00DB7466" w:rsidP="00AD4EA1"/>
    <w:p w14:paraId="7208CF4A" w14:textId="77777777" w:rsidR="00DB7466" w:rsidRDefault="00DB7466" w:rsidP="00AD4EA1"/>
    <w:p w14:paraId="570541C4" w14:textId="77777777" w:rsidR="00DB7466" w:rsidRDefault="00DB7466" w:rsidP="00AD4EA1"/>
    <w:p w14:paraId="7FB8EE04" w14:textId="77777777" w:rsidR="00DB7466" w:rsidRDefault="00DB7466" w:rsidP="00AD4EA1"/>
    <w:p w14:paraId="74900C48" w14:textId="77777777" w:rsidR="00DB7466" w:rsidRDefault="00DB7466" w:rsidP="00AD4EA1"/>
    <w:p w14:paraId="553417AC" w14:textId="77777777" w:rsidR="00DB7466" w:rsidRDefault="00DB7466" w:rsidP="00AD4EA1"/>
    <w:p w14:paraId="4A7D0284" w14:textId="77777777" w:rsidR="00DB7466" w:rsidRDefault="00DB7466" w:rsidP="00AD4EA1"/>
    <w:p w14:paraId="38D66469" w14:textId="77777777" w:rsidR="00DB7466" w:rsidRDefault="00DB7466" w:rsidP="00AD4EA1"/>
    <w:p w14:paraId="13D6DD8C" w14:textId="77777777" w:rsidR="00DB7466" w:rsidRDefault="00DB7466" w:rsidP="00AD4EA1"/>
    <w:p w14:paraId="34FE0FB0" w14:textId="77777777" w:rsidR="00DB7466" w:rsidRDefault="00DB7466" w:rsidP="00AD4EA1"/>
    <w:p w14:paraId="11ACA5E3" w14:textId="77777777" w:rsidR="00DB7466" w:rsidRDefault="00DB7466" w:rsidP="00AD4EA1"/>
    <w:p w14:paraId="2764ABDD" w14:textId="77777777" w:rsidR="00DB7466" w:rsidRDefault="00DB7466" w:rsidP="00AD4EA1"/>
    <w:p w14:paraId="5C22122D" w14:textId="77777777" w:rsidR="00DB7466" w:rsidRDefault="00DB7466" w:rsidP="00AD4EA1"/>
    <w:p w14:paraId="222040D6" w14:textId="77777777" w:rsidR="00DB7466" w:rsidRDefault="00DB7466" w:rsidP="00AD4EA1"/>
    <w:p w14:paraId="4A640837" w14:textId="77777777" w:rsidR="00DB7466" w:rsidRDefault="00DB7466" w:rsidP="00AD4EA1"/>
    <w:p w14:paraId="7A9C01D7" w14:textId="77777777" w:rsidR="00DB7466" w:rsidRDefault="00DB7466" w:rsidP="00AD4EA1"/>
    <w:p w14:paraId="4DFF8978" w14:textId="77777777" w:rsidR="00DB7466" w:rsidRDefault="00DB7466" w:rsidP="00AD4EA1"/>
    <w:p w14:paraId="5F499DE1" w14:textId="77777777" w:rsidR="00DB7466" w:rsidRDefault="00DB7466" w:rsidP="00AD4EA1"/>
    <w:p w14:paraId="263AA00D" w14:textId="77777777" w:rsidR="00DB7466" w:rsidRDefault="00DB7466" w:rsidP="00AD4EA1"/>
    <w:p w14:paraId="321AC7FF" w14:textId="77777777" w:rsidR="00DB7466" w:rsidRDefault="00DB7466" w:rsidP="00AD4EA1"/>
    <w:p w14:paraId="48776118" w14:textId="77777777" w:rsidR="00DB7466" w:rsidRDefault="00DB7466" w:rsidP="00AD4EA1"/>
    <w:p w14:paraId="26D4BF4B" w14:textId="77777777" w:rsidR="00DB7466" w:rsidRDefault="00DB7466" w:rsidP="00AD4EA1"/>
    <w:p w14:paraId="4ABB7776" w14:textId="77777777" w:rsidR="00DB7466" w:rsidRDefault="00DB7466" w:rsidP="00AD4EA1"/>
    <w:p w14:paraId="14E2D432" w14:textId="77777777" w:rsidR="00DB7466" w:rsidRDefault="00DB7466" w:rsidP="00AD4EA1"/>
    <w:p w14:paraId="5CF32BF9" w14:textId="77777777" w:rsidR="00DB7466" w:rsidRDefault="00DB7466" w:rsidP="00AD4EA1"/>
    <w:p w14:paraId="77EAD6EE" w14:textId="77777777" w:rsidR="00DB7466" w:rsidRDefault="00DB7466" w:rsidP="00AD4EA1"/>
    <w:p w14:paraId="074462BF" w14:textId="77777777" w:rsidR="00DB7466" w:rsidRDefault="00DB7466" w:rsidP="00AD4EA1"/>
    <w:p w14:paraId="658CFDA5" w14:textId="77777777" w:rsidR="00DB7466" w:rsidRDefault="00DB7466" w:rsidP="00AD4EA1"/>
    <w:p w14:paraId="6CEB8EFC" w14:textId="77777777" w:rsidR="00DB7466" w:rsidRDefault="00DB7466" w:rsidP="00AD4EA1"/>
    <w:p w14:paraId="23D956E7" w14:textId="77777777" w:rsidR="00DB7466" w:rsidRDefault="00DB7466" w:rsidP="00AD4EA1"/>
    <w:p w14:paraId="63E7B169" w14:textId="77777777" w:rsidR="00DB7466" w:rsidRDefault="00DB7466" w:rsidP="00AD4EA1"/>
    <w:p w14:paraId="4A8DECA6" w14:textId="77777777" w:rsidR="00DB7466" w:rsidRDefault="00DB7466" w:rsidP="00AD4EA1"/>
    <w:p w14:paraId="41BC7E89" w14:textId="77777777" w:rsidR="00DB7466" w:rsidRDefault="00DB7466" w:rsidP="00AD4EA1"/>
    <w:p w14:paraId="774F2CA0" w14:textId="77777777" w:rsidR="00DB7466" w:rsidRDefault="00DB7466" w:rsidP="00AD4EA1"/>
    <w:p w14:paraId="336FF4AE" w14:textId="77777777" w:rsidR="00DB7466" w:rsidRDefault="00DB7466" w:rsidP="00AD4EA1"/>
    <w:p w14:paraId="690A891B" w14:textId="77777777" w:rsidR="00DB7466" w:rsidRDefault="00DB7466" w:rsidP="00AD4EA1"/>
    <w:p w14:paraId="543ABF1A" w14:textId="77777777" w:rsidR="00DB7466" w:rsidRDefault="00DB7466" w:rsidP="00AD4EA1"/>
    <w:p w14:paraId="6CC230AB" w14:textId="77777777" w:rsidR="00DB7466" w:rsidRDefault="00DB7466" w:rsidP="00AD4EA1"/>
    <w:p w14:paraId="70D2035C" w14:textId="77777777" w:rsidR="00DB7466" w:rsidRDefault="00DB7466" w:rsidP="00AD4EA1"/>
    <w:p w14:paraId="43D7C859" w14:textId="77777777" w:rsidR="00DB7466" w:rsidRDefault="00DB7466" w:rsidP="00AD4EA1"/>
    <w:p w14:paraId="482DD5C6" w14:textId="77777777" w:rsidR="00DB7466" w:rsidRDefault="00DB7466" w:rsidP="00AD4EA1"/>
    <w:p w14:paraId="216EE5CC" w14:textId="77777777" w:rsidR="00DB7466" w:rsidRDefault="00DB7466" w:rsidP="00AD4EA1"/>
    <w:p w14:paraId="367286EC" w14:textId="77777777" w:rsidR="00DB7466" w:rsidRDefault="00DB7466" w:rsidP="00AD4EA1"/>
    <w:p w14:paraId="62AECDF8" w14:textId="77777777" w:rsidR="00DB7466" w:rsidRDefault="00DB7466" w:rsidP="00AD4EA1"/>
    <w:p w14:paraId="672092CF" w14:textId="77777777" w:rsidR="00DB7466" w:rsidRDefault="00DB7466" w:rsidP="00AD4EA1"/>
    <w:p w14:paraId="67AD08BB" w14:textId="77777777" w:rsidR="00DB7466" w:rsidRDefault="00DB7466" w:rsidP="00AD4EA1"/>
    <w:p w14:paraId="7434DF99" w14:textId="77777777" w:rsidR="00DB7466" w:rsidRDefault="00DB7466" w:rsidP="00AD4EA1"/>
    <w:p w14:paraId="2B72DF7A" w14:textId="77777777" w:rsidR="00DB7466" w:rsidRDefault="00DB7466" w:rsidP="00AD4EA1"/>
    <w:p w14:paraId="70F41E90" w14:textId="77777777" w:rsidR="00DB7466" w:rsidRDefault="00DB7466" w:rsidP="00AD4EA1"/>
    <w:p w14:paraId="604572F2" w14:textId="77777777" w:rsidR="00DB7466" w:rsidRDefault="00DB7466" w:rsidP="00AD4EA1"/>
    <w:p w14:paraId="635798D6" w14:textId="77777777" w:rsidR="00DB7466" w:rsidRDefault="00DB7466" w:rsidP="00AD4EA1"/>
    <w:p w14:paraId="328F2B4D" w14:textId="77777777" w:rsidR="00DB7466" w:rsidRDefault="00DB7466" w:rsidP="00AD4EA1"/>
    <w:p w14:paraId="397CEF7B" w14:textId="77777777" w:rsidR="00DB7466" w:rsidRDefault="00DB7466" w:rsidP="00AD4EA1"/>
    <w:p w14:paraId="08FC189B" w14:textId="77777777" w:rsidR="00DB7466" w:rsidRDefault="00DB7466" w:rsidP="00AD4EA1"/>
    <w:p w14:paraId="4A489A65" w14:textId="77777777" w:rsidR="00DB7466" w:rsidRDefault="00DB7466" w:rsidP="00AD4EA1"/>
    <w:p w14:paraId="5E57F559" w14:textId="77777777" w:rsidR="00DB7466" w:rsidRDefault="00DB7466" w:rsidP="00AD4EA1"/>
    <w:p w14:paraId="6F6C3D4F" w14:textId="77777777" w:rsidR="00DB7466" w:rsidRDefault="00DB7466" w:rsidP="00AD4EA1"/>
    <w:p w14:paraId="2678E1B5" w14:textId="77777777" w:rsidR="00DB7466" w:rsidRDefault="00DB7466" w:rsidP="00AD4EA1"/>
    <w:p w14:paraId="0677A6B6" w14:textId="77777777" w:rsidR="00DB7466" w:rsidRDefault="00DB7466" w:rsidP="00AD4EA1"/>
    <w:p w14:paraId="3743524F" w14:textId="77777777" w:rsidR="00DB7466" w:rsidRDefault="00DB7466" w:rsidP="00AD4EA1"/>
    <w:p w14:paraId="2CB97166" w14:textId="77777777" w:rsidR="00DB7466" w:rsidRDefault="00DB7466" w:rsidP="00AD4EA1"/>
    <w:p w14:paraId="61402195" w14:textId="77777777" w:rsidR="00DB7466" w:rsidRDefault="00DB7466" w:rsidP="00AD4EA1"/>
    <w:p w14:paraId="74552E90" w14:textId="77777777" w:rsidR="00DB7466" w:rsidRDefault="00DB7466" w:rsidP="00AD4EA1"/>
    <w:p w14:paraId="02E83790" w14:textId="77777777" w:rsidR="00DB7466" w:rsidRDefault="00DB7466" w:rsidP="00AD4EA1"/>
    <w:p w14:paraId="21A83C7F" w14:textId="77777777" w:rsidR="00DB7466" w:rsidRDefault="00DB7466" w:rsidP="00AD4EA1"/>
    <w:p w14:paraId="4E259BEB" w14:textId="77777777" w:rsidR="00DB7466" w:rsidRDefault="00DB7466" w:rsidP="00AD4EA1"/>
    <w:p w14:paraId="13DB77AA" w14:textId="77777777" w:rsidR="00DB7466" w:rsidRDefault="00DB7466" w:rsidP="00AD4EA1"/>
    <w:p w14:paraId="658A80CF" w14:textId="77777777" w:rsidR="00DB7466" w:rsidRDefault="00DB7466" w:rsidP="00AD4EA1"/>
    <w:p w14:paraId="0D7C6D0E" w14:textId="77777777" w:rsidR="00DB7466" w:rsidRDefault="00DB7466" w:rsidP="00AD4EA1"/>
    <w:p w14:paraId="79705C1E" w14:textId="77777777" w:rsidR="00DB7466" w:rsidRDefault="00DB7466" w:rsidP="00AD4EA1"/>
    <w:p w14:paraId="668AE747" w14:textId="77777777" w:rsidR="00DB7466" w:rsidRDefault="00DB7466" w:rsidP="00AD4EA1"/>
    <w:p w14:paraId="79D77CB6" w14:textId="77777777" w:rsidR="00DB7466" w:rsidRDefault="00DB7466" w:rsidP="00AD4EA1"/>
    <w:p w14:paraId="5AD83DDD" w14:textId="77777777" w:rsidR="00DB7466" w:rsidRDefault="00DB7466" w:rsidP="00AD4EA1"/>
    <w:p w14:paraId="34CA28EB" w14:textId="77777777" w:rsidR="00DB7466" w:rsidRDefault="00DB7466" w:rsidP="00AD4EA1"/>
    <w:p w14:paraId="4A908CD9" w14:textId="77777777" w:rsidR="00DB7466" w:rsidRDefault="00DB7466" w:rsidP="00AD4EA1"/>
    <w:p w14:paraId="267833A1" w14:textId="77777777" w:rsidR="00DB7466" w:rsidRDefault="00DB7466" w:rsidP="00AD4EA1"/>
    <w:p w14:paraId="6C61764F" w14:textId="77777777" w:rsidR="00DB7466" w:rsidRDefault="00DB7466" w:rsidP="00AD4EA1"/>
    <w:p w14:paraId="7204B832" w14:textId="77777777" w:rsidR="00DB7466" w:rsidRDefault="00DB7466" w:rsidP="00AD4EA1"/>
    <w:p w14:paraId="3A1B4DFA" w14:textId="77777777" w:rsidR="00DB7466" w:rsidRDefault="00DB7466" w:rsidP="00AD4EA1"/>
    <w:p w14:paraId="448B3461" w14:textId="77777777" w:rsidR="00DB7466" w:rsidRDefault="00DB7466" w:rsidP="00AD4EA1"/>
    <w:p w14:paraId="2B654ECC" w14:textId="77777777" w:rsidR="00DB7466" w:rsidRDefault="00DB7466" w:rsidP="00AD4EA1"/>
    <w:p w14:paraId="688CAE9D" w14:textId="77777777" w:rsidR="00DB7466" w:rsidRDefault="00DB7466" w:rsidP="00AD4EA1"/>
    <w:p w14:paraId="7813BA50" w14:textId="77777777" w:rsidR="00DB7466" w:rsidRDefault="00DB7466" w:rsidP="00AD4EA1"/>
    <w:p w14:paraId="27DF83E1" w14:textId="77777777" w:rsidR="00DB7466" w:rsidRDefault="00DB7466" w:rsidP="00AD4EA1"/>
    <w:p w14:paraId="44D3091C" w14:textId="77777777" w:rsidR="00DB7466" w:rsidRDefault="00DB7466" w:rsidP="00AD4EA1"/>
    <w:p w14:paraId="6F113DC0" w14:textId="77777777" w:rsidR="00DB7466" w:rsidRDefault="00DB7466" w:rsidP="00AD4EA1"/>
    <w:p w14:paraId="037AF301" w14:textId="77777777" w:rsidR="00DB7466" w:rsidRDefault="00DB7466" w:rsidP="00AD4EA1"/>
    <w:p w14:paraId="1EC91168" w14:textId="77777777" w:rsidR="00DB7466" w:rsidRDefault="00DB7466" w:rsidP="00AD4EA1"/>
    <w:p w14:paraId="22AD846C" w14:textId="77777777" w:rsidR="00DB7466" w:rsidRDefault="00DB7466" w:rsidP="00AD4EA1"/>
    <w:p w14:paraId="75BDDB34" w14:textId="77777777" w:rsidR="00DB7466" w:rsidRDefault="00DB7466" w:rsidP="00AD4EA1"/>
    <w:p w14:paraId="0F8F4E08" w14:textId="77777777" w:rsidR="00DB7466" w:rsidRDefault="00DB7466" w:rsidP="00AD4EA1"/>
    <w:p w14:paraId="07B1515E" w14:textId="77777777" w:rsidR="00DB7466" w:rsidRDefault="00DB7466" w:rsidP="00AD4EA1"/>
    <w:p w14:paraId="388B2910" w14:textId="77777777" w:rsidR="00DB7466" w:rsidRDefault="00DB7466" w:rsidP="00AD4EA1"/>
    <w:p w14:paraId="4DB32134" w14:textId="77777777" w:rsidR="00DB7466" w:rsidRDefault="00DB7466" w:rsidP="00AD4EA1"/>
    <w:p w14:paraId="6C0DB249" w14:textId="77777777" w:rsidR="00DB7466" w:rsidRDefault="00DB7466" w:rsidP="00AD4EA1"/>
    <w:p w14:paraId="647D9806" w14:textId="77777777" w:rsidR="00DB7466" w:rsidRDefault="00DB7466" w:rsidP="00AD4EA1"/>
    <w:p w14:paraId="413E019C" w14:textId="77777777" w:rsidR="00DB7466" w:rsidRDefault="00DB7466" w:rsidP="00AD4EA1"/>
    <w:p w14:paraId="02D098F0" w14:textId="77777777" w:rsidR="00DB7466" w:rsidRDefault="00DB7466" w:rsidP="00AD4EA1"/>
    <w:p w14:paraId="1787EBCF" w14:textId="77777777" w:rsidR="00DB7466" w:rsidRDefault="00DB7466" w:rsidP="00AD4EA1"/>
    <w:p w14:paraId="546E15A7" w14:textId="77777777" w:rsidR="00DB7466" w:rsidRDefault="00DB7466" w:rsidP="00AD4EA1"/>
    <w:p w14:paraId="1E419404" w14:textId="77777777" w:rsidR="00DB7466" w:rsidRDefault="00DB7466" w:rsidP="00AD4EA1"/>
    <w:p w14:paraId="54D829F4" w14:textId="77777777" w:rsidR="00DB7466" w:rsidRDefault="00DB7466" w:rsidP="00AD4EA1"/>
    <w:p w14:paraId="03CE60F1" w14:textId="77777777" w:rsidR="00DB7466" w:rsidRDefault="00DB7466" w:rsidP="00AD4EA1"/>
    <w:p w14:paraId="1F69B53A" w14:textId="77777777" w:rsidR="00DB7466" w:rsidRDefault="00DB7466" w:rsidP="00AD4EA1"/>
    <w:p w14:paraId="355A23F9" w14:textId="77777777" w:rsidR="00DB7466" w:rsidRDefault="00DB7466" w:rsidP="00AD4EA1"/>
    <w:p w14:paraId="5E22E03F" w14:textId="77777777" w:rsidR="00DB7466" w:rsidRDefault="00DB7466" w:rsidP="00AD4EA1"/>
    <w:p w14:paraId="7B01B417" w14:textId="77777777" w:rsidR="00DB7466" w:rsidRDefault="00DB7466" w:rsidP="00AD4EA1"/>
    <w:p w14:paraId="0B66C314" w14:textId="77777777" w:rsidR="00DB7466" w:rsidRDefault="00DB7466" w:rsidP="00AD4EA1"/>
    <w:p w14:paraId="00569F53" w14:textId="77777777" w:rsidR="00DB7466" w:rsidRDefault="00DB7466" w:rsidP="00AD4EA1"/>
    <w:p w14:paraId="162AEA74" w14:textId="77777777" w:rsidR="00DB7466" w:rsidRDefault="00DB7466" w:rsidP="00AD4EA1"/>
    <w:p w14:paraId="07711992" w14:textId="77777777" w:rsidR="00DB7466" w:rsidRDefault="00DB7466" w:rsidP="00AD4EA1"/>
    <w:p w14:paraId="18EEA514" w14:textId="77777777" w:rsidR="00DB7466" w:rsidRDefault="00DB7466" w:rsidP="00AD4EA1"/>
    <w:p w14:paraId="163FAE4A" w14:textId="77777777" w:rsidR="00DB7466" w:rsidRDefault="00DB7466" w:rsidP="00AD4EA1"/>
    <w:p w14:paraId="240E177F" w14:textId="77777777" w:rsidR="00DB7466" w:rsidRDefault="00DB7466" w:rsidP="00AD4EA1"/>
    <w:p w14:paraId="4BA81B2A" w14:textId="77777777" w:rsidR="00DB7466" w:rsidRDefault="00DB7466" w:rsidP="00AD4EA1"/>
    <w:p w14:paraId="0B26F6DF" w14:textId="77777777" w:rsidR="00DB7466" w:rsidRDefault="00DB7466" w:rsidP="00AD4EA1"/>
    <w:p w14:paraId="70D98FF7" w14:textId="77777777" w:rsidR="00DB7466" w:rsidRDefault="00DB7466" w:rsidP="00AD4EA1"/>
    <w:p w14:paraId="6574F775" w14:textId="77777777" w:rsidR="00DB7466" w:rsidRDefault="00DB7466" w:rsidP="00AD4EA1"/>
    <w:p w14:paraId="53461FBD" w14:textId="77777777" w:rsidR="00DB7466" w:rsidRDefault="00DB7466" w:rsidP="00AD4EA1"/>
    <w:p w14:paraId="443C8681" w14:textId="77777777" w:rsidR="00DB7466" w:rsidRDefault="00DB7466" w:rsidP="00AD4EA1"/>
    <w:p w14:paraId="6100CB78" w14:textId="77777777" w:rsidR="00DB7466" w:rsidRDefault="00DB7466" w:rsidP="00AD4EA1"/>
    <w:p w14:paraId="768A94CE" w14:textId="77777777" w:rsidR="00DB7466" w:rsidRDefault="00DB7466" w:rsidP="00AD4EA1"/>
    <w:p w14:paraId="3D7B975A" w14:textId="77777777" w:rsidR="00DB7466" w:rsidRDefault="00DB7466" w:rsidP="00AD4EA1"/>
    <w:p w14:paraId="496A1C8E" w14:textId="77777777" w:rsidR="00DB7466" w:rsidRDefault="00DB7466" w:rsidP="00AD4EA1"/>
    <w:p w14:paraId="06D64AA8" w14:textId="77777777" w:rsidR="00DB7466" w:rsidRDefault="00DB7466" w:rsidP="00AD4EA1"/>
    <w:p w14:paraId="65FAC50D" w14:textId="77777777" w:rsidR="00DB7466" w:rsidRDefault="00DB7466" w:rsidP="00AD4EA1"/>
    <w:p w14:paraId="60668280" w14:textId="77777777" w:rsidR="00DB7466" w:rsidRDefault="00DB7466" w:rsidP="00AD4EA1"/>
    <w:p w14:paraId="57A94F3A" w14:textId="77777777" w:rsidR="00DB7466" w:rsidRDefault="00DB7466" w:rsidP="00AD4EA1"/>
    <w:p w14:paraId="15513F09" w14:textId="77777777" w:rsidR="00DB7466" w:rsidRDefault="00DB7466" w:rsidP="00AD4EA1"/>
    <w:p w14:paraId="68EC0360" w14:textId="77777777" w:rsidR="00DB7466" w:rsidRDefault="00DB7466" w:rsidP="00AD4EA1"/>
    <w:p w14:paraId="414A622D" w14:textId="77777777" w:rsidR="00DB7466" w:rsidRDefault="00DB7466" w:rsidP="00AD4EA1"/>
    <w:p w14:paraId="5DA52C31" w14:textId="77777777" w:rsidR="00DB7466" w:rsidRDefault="00DB7466" w:rsidP="00AD4EA1"/>
    <w:p w14:paraId="249D3775" w14:textId="77777777" w:rsidR="00DB7466" w:rsidRDefault="00DB7466" w:rsidP="00AD4EA1"/>
    <w:p w14:paraId="3E654D4F" w14:textId="77777777" w:rsidR="00DB7466" w:rsidRDefault="00DB7466" w:rsidP="00AD4EA1"/>
    <w:p w14:paraId="4F53A651" w14:textId="77777777" w:rsidR="00DB7466" w:rsidRDefault="00DB7466" w:rsidP="00AD4EA1"/>
    <w:p w14:paraId="57204A5D" w14:textId="77777777" w:rsidR="00DB7466" w:rsidRDefault="00DB7466" w:rsidP="00AD4EA1"/>
    <w:p w14:paraId="0CD1C2EE" w14:textId="77777777" w:rsidR="00DB7466" w:rsidRDefault="00DB7466" w:rsidP="00AD4EA1"/>
    <w:p w14:paraId="662FE293" w14:textId="77777777" w:rsidR="00DB7466" w:rsidRDefault="00DB7466" w:rsidP="00AD4EA1"/>
    <w:p w14:paraId="5614117E" w14:textId="77777777" w:rsidR="00DB7466" w:rsidRDefault="00DB7466" w:rsidP="00AD4EA1"/>
    <w:p w14:paraId="5AF004C9" w14:textId="77777777" w:rsidR="00DB7466" w:rsidRDefault="00DB7466" w:rsidP="00AD4EA1"/>
    <w:p w14:paraId="44F47015" w14:textId="77777777" w:rsidR="00DB7466" w:rsidRDefault="00DB7466" w:rsidP="00AD4EA1"/>
    <w:p w14:paraId="707CA008" w14:textId="77777777" w:rsidR="00DB7466" w:rsidRDefault="00DB7466" w:rsidP="00AD4EA1"/>
    <w:p w14:paraId="78143AE7" w14:textId="77777777" w:rsidR="00DB7466" w:rsidRDefault="00DB7466" w:rsidP="00AD4EA1"/>
    <w:p w14:paraId="3B24B49E" w14:textId="77777777" w:rsidR="00DB7466" w:rsidRDefault="00DB7466" w:rsidP="00AD4EA1"/>
    <w:p w14:paraId="0A31DF41" w14:textId="77777777" w:rsidR="00DB7466" w:rsidRDefault="00DB7466" w:rsidP="00AD4EA1"/>
    <w:p w14:paraId="364E6986" w14:textId="77777777" w:rsidR="00DB7466" w:rsidRDefault="00DB7466" w:rsidP="00AD4EA1"/>
    <w:p w14:paraId="79331A42" w14:textId="77777777" w:rsidR="00DB7466" w:rsidRDefault="00DB7466" w:rsidP="00AD4EA1"/>
    <w:p w14:paraId="38835B5A" w14:textId="77777777" w:rsidR="00DB7466" w:rsidRDefault="00DB7466" w:rsidP="00AD4EA1"/>
    <w:p w14:paraId="22544B76" w14:textId="77777777" w:rsidR="00DB7466" w:rsidRDefault="00DB7466" w:rsidP="00AD4EA1"/>
    <w:p w14:paraId="16DFB773" w14:textId="77777777" w:rsidR="00DB7466" w:rsidRDefault="00DB7466" w:rsidP="00AD4EA1"/>
    <w:p w14:paraId="1F8D787E" w14:textId="77777777" w:rsidR="00DB7466" w:rsidRDefault="00DB7466" w:rsidP="00AD4EA1"/>
    <w:p w14:paraId="115438B7" w14:textId="77777777" w:rsidR="00DB7466" w:rsidRDefault="00DB7466" w:rsidP="00AD4EA1"/>
    <w:p w14:paraId="67108E22" w14:textId="77777777" w:rsidR="00DB7466" w:rsidRDefault="00DB7466" w:rsidP="00AD4EA1"/>
    <w:p w14:paraId="01299D66" w14:textId="77777777" w:rsidR="00DB7466" w:rsidRDefault="00DB7466" w:rsidP="00AD4EA1"/>
    <w:p w14:paraId="34880CE0" w14:textId="77777777" w:rsidR="00DB7466" w:rsidRDefault="00DB7466" w:rsidP="00AD4EA1"/>
    <w:p w14:paraId="6262B767" w14:textId="77777777" w:rsidR="00DB7466" w:rsidRDefault="00DB7466" w:rsidP="00AD4EA1"/>
    <w:p w14:paraId="0022E172" w14:textId="77777777" w:rsidR="00DB7466" w:rsidRDefault="00DB7466" w:rsidP="00AD4EA1"/>
    <w:p w14:paraId="552F8750" w14:textId="77777777" w:rsidR="00DB7466" w:rsidRDefault="00DB7466" w:rsidP="00AD4EA1"/>
    <w:p w14:paraId="1B66EB0C" w14:textId="77777777" w:rsidR="00DB7466" w:rsidRDefault="00DB7466" w:rsidP="00AD4EA1"/>
    <w:p w14:paraId="5653EB32" w14:textId="77777777" w:rsidR="00DB7466" w:rsidRDefault="00DB7466" w:rsidP="00AD4EA1"/>
    <w:p w14:paraId="6C72D413" w14:textId="77777777" w:rsidR="00DB7466" w:rsidRDefault="00DB7466" w:rsidP="00AD4EA1"/>
    <w:p w14:paraId="0C3EC0DC" w14:textId="77777777" w:rsidR="00DB7466" w:rsidRDefault="00DB7466" w:rsidP="00AD4EA1"/>
    <w:p w14:paraId="5E797762" w14:textId="77777777" w:rsidR="00DB7466" w:rsidRDefault="00DB7466" w:rsidP="00AD4EA1"/>
    <w:p w14:paraId="74E5E508" w14:textId="77777777" w:rsidR="00DB7466" w:rsidRDefault="00DB7466" w:rsidP="00AD4EA1"/>
    <w:p w14:paraId="32905C78" w14:textId="77777777" w:rsidR="00DB7466" w:rsidRDefault="00DB7466" w:rsidP="00AD4EA1"/>
    <w:p w14:paraId="6738251C" w14:textId="77777777" w:rsidR="00DB7466" w:rsidRDefault="00DB7466" w:rsidP="00AD4EA1"/>
    <w:p w14:paraId="6FF481E1" w14:textId="77777777" w:rsidR="00DB7466" w:rsidRDefault="00DB7466" w:rsidP="00AD4EA1"/>
    <w:p w14:paraId="1227855C" w14:textId="77777777" w:rsidR="00DB7466" w:rsidRDefault="00DB7466" w:rsidP="00AD4EA1"/>
    <w:p w14:paraId="1133CE33" w14:textId="77777777" w:rsidR="00DB7466" w:rsidRDefault="00DB7466" w:rsidP="00AD4EA1"/>
    <w:p w14:paraId="0B7A41B6" w14:textId="77777777" w:rsidR="00DB7466" w:rsidRDefault="00DB7466" w:rsidP="00AD4EA1"/>
    <w:p w14:paraId="6C37AC05" w14:textId="77777777" w:rsidR="00DB7466" w:rsidRDefault="00DB7466" w:rsidP="00AD4EA1"/>
    <w:p w14:paraId="2ECF31E8" w14:textId="77777777" w:rsidR="00DB7466" w:rsidRDefault="00DB7466" w:rsidP="00AD4EA1"/>
    <w:p w14:paraId="5DBA4EF2" w14:textId="77777777" w:rsidR="00DB7466" w:rsidRDefault="00DB7466" w:rsidP="00AD4EA1"/>
    <w:p w14:paraId="4F73868F" w14:textId="77777777" w:rsidR="00DB7466" w:rsidRDefault="00DB7466" w:rsidP="00AD4EA1"/>
    <w:p w14:paraId="1DFE0454" w14:textId="77777777" w:rsidR="00DB7466" w:rsidRDefault="00DB7466" w:rsidP="00AD4EA1"/>
    <w:p w14:paraId="34F8BEF7" w14:textId="77777777" w:rsidR="00DB7466" w:rsidRDefault="00DB7466" w:rsidP="00AD4EA1"/>
    <w:p w14:paraId="45C2E944" w14:textId="77777777" w:rsidR="00DB7466" w:rsidRDefault="00DB7466" w:rsidP="00AD4EA1"/>
    <w:p w14:paraId="617B9FE1" w14:textId="77777777" w:rsidR="00DB7466" w:rsidRDefault="00DB7466" w:rsidP="00AD4EA1"/>
    <w:p w14:paraId="5EB17432" w14:textId="77777777" w:rsidR="00DB7466" w:rsidRDefault="00DB7466" w:rsidP="00AD4EA1"/>
    <w:p w14:paraId="58C38CDC" w14:textId="77777777" w:rsidR="00DB7466" w:rsidRDefault="00DB7466" w:rsidP="00AD4EA1"/>
    <w:p w14:paraId="60FFC6EF" w14:textId="77777777" w:rsidR="00DB7466" w:rsidRDefault="00DB7466" w:rsidP="00AD4EA1"/>
    <w:p w14:paraId="4F7FB80F" w14:textId="77777777" w:rsidR="00DB7466" w:rsidRDefault="00DB7466" w:rsidP="00AD4EA1"/>
    <w:p w14:paraId="71C4ED3D" w14:textId="77777777" w:rsidR="00DB7466" w:rsidRDefault="00DB7466" w:rsidP="00AD4EA1"/>
    <w:p w14:paraId="2ACE3C8A" w14:textId="77777777" w:rsidR="00DB7466" w:rsidRDefault="00DB7466" w:rsidP="00AD4EA1"/>
    <w:p w14:paraId="44F54BE1" w14:textId="77777777" w:rsidR="00DB7466" w:rsidRDefault="00DB7466" w:rsidP="00AD4EA1"/>
    <w:p w14:paraId="116CD719" w14:textId="77777777" w:rsidR="00DB7466" w:rsidRDefault="00DB7466" w:rsidP="00AD4EA1"/>
    <w:p w14:paraId="1784A430" w14:textId="77777777" w:rsidR="00DB7466" w:rsidRDefault="00DB7466" w:rsidP="00AD4EA1"/>
    <w:p w14:paraId="569B9190" w14:textId="77777777" w:rsidR="00DB7466" w:rsidRDefault="00DB7466" w:rsidP="00AD4EA1"/>
    <w:p w14:paraId="292C3022" w14:textId="77777777" w:rsidR="00DB7466" w:rsidRDefault="00DB7466" w:rsidP="00AD4EA1"/>
    <w:p w14:paraId="1F3F54A2" w14:textId="77777777" w:rsidR="00DB7466" w:rsidRDefault="00DB7466" w:rsidP="00AD4EA1"/>
    <w:p w14:paraId="5B9E7AE1" w14:textId="77777777" w:rsidR="00DB7466" w:rsidRDefault="00DB7466" w:rsidP="00AD4EA1"/>
    <w:p w14:paraId="69DCF422" w14:textId="77777777" w:rsidR="00DB7466" w:rsidRDefault="00DB7466" w:rsidP="00AD4EA1"/>
    <w:p w14:paraId="5C8EB9DB" w14:textId="77777777" w:rsidR="00DB7466" w:rsidRDefault="00DB7466" w:rsidP="00AD4EA1"/>
    <w:p w14:paraId="6A7CE9E9" w14:textId="77777777" w:rsidR="00DB7466" w:rsidRDefault="00DB7466" w:rsidP="00AD4EA1"/>
    <w:p w14:paraId="55268A4D" w14:textId="77777777" w:rsidR="00DB7466" w:rsidRDefault="00DB7466" w:rsidP="00AD4EA1"/>
    <w:p w14:paraId="42949313" w14:textId="77777777" w:rsidR="00DB7466" w:rsidRDefault="00DB7466" w:rsidP="00AD4EA1"/>
    <w:p w14:paraId="58DB1758" w14:textId="77777777" w:rsidR="00DB7466" w:rsidRDefault="00DB7466" w:rsidP="00AD4EA1"/>
    <w:p w14:paraId="681B63D5" w14:textId="77777777" w:rsidR="00DB7466" w:rsidRDefault="00DB7466" w:rsidP="00AD4EA1"/>
    <w:p w14:paraId="7DD1CC8D" w14:textId="77777777" w:rsidR="00DB7466" w:rsidRDefault="00DB7466" w:rsidP="00AD4EA1"/>
    <w:p w14:paraId="74A125D2" w14:textId="77777777" w:rsidR="00DB7466" w:rsidRDefault="00DB7466" w:rsidP="00AD4EA1"/>
    <w:p w14:paraId="6534D901" w14:textId="77777777" w:rsidR="00DB7466" w:rsidRDefault="00DB7466" w:rsidP="00AD4EA1"/>
    <w:p w14:paraId="3775F4F9" w14:textId="77777777" w:rsidR="00DB7466" w:rsidRDefault="00DB7466" w:rsidP="00AD4EA1"/>
    <w:p w14:paraId="4343C6BA" w14:textId="77777777" w:rsidR="00DB7466" w:rsidRDefault="00DB7466" w:rsidP="00AD4EA1"/>
    <w:p w14:paraId="1A2BB859" w14:textId="77777777" w:rsidR="00DB7466" w:rsidRDefault="00DB7466" w:rsidP="00AD4EA1"/>
    <w:p w14:paraId="1A4BDB97" w14:textId="77777777" w:rsidR="00DB7466" w:rsidRDefault="00DB7466" w:rsidP="00CD4DEC"/>
    <w:p w14:paraId="6B33FE9A" w14:textId="77777777" w:rsidR="00DB7466" w:rsidRDefault="00DB7466" w:rsidP="002C583C"/>
    <w:p w14:paraId="44BB567A" w14:textId="77777777" w:rsidR="00DB7466" w:rsidRDefault="00DB7466" w:rsidP="002C583C"/>
    <w:p w14:paraId="61F15BF6" w14:textId="77777777" w:rsidR="00DB7466" w:rsidRDefault="00DB7466" w:rsidP="006208C5"/>
    <w:p w14:paraId="0361DDD0" w14:textId="77777777" w:rsidR="00DB7466" w:rsidRDefault="00DB7466" w:rsidP="006208C5"/>
    <w:p w14:paraId="5C872830" w14:textId="77777777" w:rsidR="00DB7466" w:rsidRDefault="00DB7466" w:rsidP="003E60B3"/>
    <w:p w14:paraId="481D990C" w14:textId="77777777" w:rsidR="00DB7466" w:rsidRDefault="00DB7466" w:rsidP="003E60B3"/>
    <w:p w14:paraId="32853282" w14:textId="77777777" w:rsidR="00DB7466" w:rsidRDefault="00DB7466" w:rsidP="00C7542B"/>
    <w:p w14:paraId="3AEF7434" w14:textId="77777777" w:rsidR="00DB7466" w:rsidRDefault="00DB7466" w:rsidP="00C7542B"/>
    <w:p w14:paraId="0F49B39A" w14:textId="77777777" w:rsidR="00DB7466" w:rsidRDefault="00DB7466" w:rsidP="00C7542B"/>
    <w:p w14:paraId="197BE414" w14:textId="77777777" w:rsidR="00DB7466" w:rsidRDefault="00DB7466" w:rsidP="00C7542B"/>
    <w:p w14:paraId="40E99188" w14:textId="77777777" w:rsidR="00DB7466" w:rsidRDefault="00DB7466" w:rsidP="00C7542B"/>
    <w:p w14:paraId="5B80E612" w14:textId="77777777" w:rsidR="00DB7466" w:rsidRDefault="00DB7466" w:rsidP="00C7542B"/>
    <w:p w14:paraId="7B072E4E" w14:textId="77777777" w:rsidR="00DB7466" w:rsidRDefault="00DB7466" w:rsidP="00E668AB"/>
    <w:p w14:paraId="5D886A82" w14:textId="77777777" w:rsidR="00DB7466" w:rsidRDefault="00DB7466" w:rsidP="002E2DD5"/>
    <w:p w14:paraId="556AE6F3" w14:textId="77777777" w:rsidR="00DB7466" w:rsidRDefault="00DB7466" w:rsidP="00F34FE7"/>
    <w:p w14:paraId="012ADD6F" w14:textId="77777777" w:rsidR="00DB7466" w:rsidRDefault="00DB7466" w:rsidP="00987D5A"/>
    <w:p w14:paraId="647DA70A" w14:textId="77777777" w:rsidR="00DB7466" w:rsidRDefault="00DB7466" w:rsidP="00987D5A"/>
    <w:p w14:paraId="437E21EC" w14:textId="77777777" w:rsidR="00DB7466" w:rsidRDefault="00DB7466" w:rsidP="00DA3815"/>
    <w:p w14:paraId="58E82044" w14:textId="77777777" w:rsidR="00DB7466" w:rsidRDefault="00DB7466" w:rsidP="00BE5921"/>
    <w:p w14:paraId="5C2AC01F" w14:textId="77777777" w:rsidR="00DB7466" w:rsidRDefault="00DB7466" w:rsidP="00BA65A1"/>
    <w:p w14:paraId="6F1942EB" w14:textId="77777777" w:rsidR="00DB7466" w:rsidRDefault="00DB7466" w:rsidP="00BA65A1"/>
    <w:p w14:paraId="37293386" w14:textId="77777777" w:rsidR="00DB7466" w:rsidRDefault="00DB7466" w:rsidP="00BA65A1"/>
    <w:p w14:paraId="42AA62C9" w14:textId="77777777" w:rsidR="00DB7466" w:rsidRDefault="00DB7466" w:rsidP="00E972D0"/>
    <w:p w14:paraId="1D9CA152" w14:textId="77777777" w:rsidR="00DB7466" w:rsidRDefault="00DB7466" w:rsidP="00EA4A6E"/>
    <w:p w14:paraId="1CE59AA3" w14:textId="77777777" w:rsidR="00DB7466" w:rsidRDefault="00DB7466" w:rsidP="00B206BE"/>
    <w:p w14:paraId="2F6A1C82" w14:textId="77777777" w:rsidR="00DB7466" w:rsidRDefault="00DB7466" w:rsidP="006D36B9"/>
    <w:p w14:paraId="14D47109" w14:textId="77777777" w:rsidR="00DB7466" w:rsidRDefault="00DB7466" w:rsidP="006D36B9"/>
    <w:p w14:paraId="35011686" w14:textId="77777777" w:rsidR="00DB7466" w:rsidRDefault="00DB7466" w:rsidP="006D36B9"/>
    <w:p w14:paraId="05C9EBA0" w14:textId="77777777" w:rsidR="00DB7466" w:rsidRDefault="00DB7466" w:rsidP="006D36B9"/>
    <w:p w14:paraId="2E60FD8B" w14:textId="77777777" w:rsidR="00DB7466" w:rsidRDefault="00DB7466" w:rsidP="006D36B9"/>
    <w:p w14:paraId="59EB7B9C" w14:textId="77777777" w:rsidR="00DB7466" w:rsidRDefault="00DB7466" w:rsidP="006D36B9"/>
    <w:p w14:paraId="39F1FFC4" w14:textId="77777777" w:rsidR="00DB7466" w:rsidRDefault="00DB7466" w:rsidP="00EA23F1"/>
    <w:p w14:paraId="13EDD1DB" w14:textId="77777777" w:rsidR="00DB7466" w:rsidRDefault="00DB7466"/>
    <w:p w14:paraId="25987542" w14:textId="77777777" w:rsidR="00DB7466" w:rsidRDefault="00DB7466" w:rsidP="00AC6278"/>
    <w:p w14:paraId="64D72F61" w14:textId="77777777" w:rsidR="00DB7466" w:rsidRDefault="00DB7466" w:rsidP="000F7EB3"/>
    <w:p w14:paraId="2E41843D" w14:textId="77777777" w:rsidR="00DB7466" w:rsidRDefault="00DB7466" w:rsidP="00FB722B"/>
    <w:p w14:paraId="227AF67F" w14:textId="77777777" w:rsidR="00DB7466" w:rsidRDefault="00DB7466" w:rsidP="00FB722B"/>
    <w:p w14:paraId="624F33E9" w14:textId="77777777" w:rsidR="00DB7466" w:rsidRDefault="00DB7466" w:rsidP="00760684"/>
    <w:p w14:paraId="13876051" w14:textId="77777777" w:rsidR="00DB7466" w:rsidRDefault="00DB7466"/>
    <w:p w14:paraId="4B86C1C4" w14:textId="77777777" w:rsidR="00DB7466" w:rsidRDefault="00DB7466"/>
    <w:p w14:paraId="0BC45AD7" w14:textId="77777777" w:rsidR="00DB7466" w:rsidRDefault="00DB7466"/>
    <w:p w14:paraId="06DDAD65" w14:textId="77777777" w:rsidR="00DB7466" w:rsidRDefault="00DB7466" w:rsidP="00E97D21"/>
    <w:p w14:paraId="0151B384" w14:textId="77777777" w:rsidR="00DB7466" w:rsidRDefault="00DB7466" w:rsidP="00A2303A"/>
    <w:p w14:paraId="36608ECB" w14:textId="77777777" w:rsidR="00DB7466" w:rsidRDefault="00DB7466" w:rsidP="00A2303A"/>
    <w:p w14:paraId="3152D24C" w14:textId="77777777" w:rsidR="00DB7466" w:rsidRDefault="00DB7466" w:rsidP="00A2303A"/>
    <w:p w14:paraId="515A76AA" w14:textId="77777777" w:rsidR="00DB7466" w:rsidRDefault="00DB7466"/>
    <w:p w14:paraId="1687356C" w14:textId="77777777" w:rsidR="00DB7466" w:rsidRDefault="00DB7466" w:rsidP="004B37A9"/>
    <w:p w14:paraId="5C1925A8" w14:textId="77777777" w:rsidR="00DB7466" w:rsidRDefault="00DB7466" w:rsidP="004B37A9"/>
    <w:p w14:paraId="4BC68B6D" w14:textId="77777777" w:rsidR="00DB7466" w:rsidRDefault="00DB7466"/>
    <w:p w14:paraId="1ADFB5EF" w14:textId="77777777" w:rsidR="00DB7466" w:rsidRDefault="00DB7466" w:rsidP="00F2792F"/>
    <w:p w14:paraId="1353436E" w14:textId="77777777" w:rsidR="00DB7466" w:rsidRDefault="00DB7466" w:rsidP="00F2792F"/>
    <w:p w14:paraId="7C4E8FE0" w14:textId="77777777" w:rsidR="00DB7466" w:rsidRDefault="00DB7466" w:rsidP="00F2792F"/>
    <w:p w14:paraId="6CF27810" w14:textId="77777777" w:rsidR="00DB7466" w:rsidRDefault="00DB7466" w:rsidP="00F2792F"/>
    <w:p w14:paraId="2CF4E909" w14:textId="77777777" w:rsidR="00DB7466" w:rsidRDefault="00DB7466" w:rsidP="003F470F"/>
    <w:p w14:paraId="4A9CD569" w14:textId="77777777" w:rsidR="00DB7466" w:rsidRDefault="00DB7466" w:rsidP="00FE2957"/>
    <w:p w14:paraId="7DB4007F" w14:textId="77777777" w:rsidR="00DB7466" w:rsidRDefault="00DB7466" w:rsidP="00FE2957"/>
    <w:p w14:paraId="7D8402CA" w14:textId="77777777" w:rsidR="00DB7466" w:rsidRDefault="00DB7466" w:rsidP="00E02438"/>
    <w:p w14:paraId="4C6C0CEC" w14:textId="77777777" w:rsidR="00DB7466" w:rsidRDefault="00DB7466" w:rsidP="008F70A3"/>
    <w:p w14:paraId="68389838" w14:textId="77777777" w:rsidR="00DB7466" w:rsidRDefault="00DB7466" w:rsidP="00727452"/>
    <w:p w14:paraId="5E34780E" w14:textId="77777777" w:rsidR="00DB7466" w:rsidRDefault="00DB7466" w:rsidP="00676913"/>
    <w:p w14:paraId="1DEE9784" w14:textId="77777777" w:rsidR="00DB7466" w:rsidRDefault="00DB7466"/>
    <w:p w14:paraId="6537620A" w14:textId="77777777" w:rsidR="00DB7466" w:rsidRDefault="00DB7466" w:rsidP="0088433B"/>
    <w:p w14:paraId="18B91797" w14:textId="77777777" w:rsidR="00DB7466" w:rsidRDefault="00DB7466" w:rsidP="0088433B"/>
    <w:p w14:paraId="0FCABC4C" w14:textId="77777777" w:rsidR="00DB7466" w:rsidRDefault="00DB7466" w:rsidP="00B005BD"/>
    <w:p w14:paraId="6FA66B2D" w14:textId="77777777" w:rsidR="00DB7466" w:rsidRDefault="00DB7466" w:rsidP="00B005BD"/>
    <w:p w14:paraId="5E6A86B2" w14:textId="77777777" w:rsidR="00DB7466" w:rsidRDefault="00DB7466" w:rsidP="00FE1B67"/>
    <w:p w14:paraId="37BE437D" w14:textId="77777777" w:rsidR="00DB7466" w:rsidRDefault="00DB7466" w:rsidP="00FE1B67"/>
    <w:p w14:paraId="192FF0AC" w14:textId="77777777" w:rsidR="00DB7466" w:rsidRDefault="00DB7466" w:rsidP="00FE1B67"/>
    <w:p w14:paraId="5F30BD4A" w14:textId="77777777" w:rsidR="00DB7466" w:rsidRDefault="00DB7466"/>
    <w:p w14:paraId="6BDAB2AC" w14:textId="77777777" w:rsidR="00DB7466" w:rsidRDefault="00DB7466"/>
    <w:p w14:paraId="400554D0" w14:textId="77777777" w:rsidR="00DB7466" w:rsidRDefault="00DB7466"/>
    <w:p w14:paraId="279391CC" w14:textId="77777777" w:rsidR="00DB7466" w:rsidRDefault="00DB7466" w:rsidP="00A25F00"/>
    <w:p w14:paraId="634CF79A" w14:textId="77777777" w:rsidR="00DB7466" w:rsidRDefault="00DB7466"/>
    <w:p w14:paraId="1AC3CD80" w14:textId="77777777" w:rsidR="00DB7466" w:rsidRDefault="00DB7466" w:rsidP="00C86149"/>
    <w:p w14:paraId="64AF7952" w14:textId="77777777" w:rsidR="00DB7466" w:rsidRDefault="00DB7466"/>
    <w:p w14:paraId="3ACE261E" w14:textId="77777777" w:rsidR="00DB7466" w:rsidRDefault="00DB7466" w:rsidP="00AE612D"/>
    <w:p w14:paraId="119912E2" w14:textId="77777777" w:rsidR="00DB7466" w:rsidRDefault="00DB7466" w:rsidP="008D16DA"/>
    <w:p w14:paraId="3876349B" w14:textId="77777777" w:rsidR="00DB7466" w:rsidRDefault="00DB7466" w:rsidP="008D16DA"/>
    <w:p w14:paraId="29CCE33F" w14:textId="77777777" w:rsidR="00DB7466" w:rsidRDefault="00DB7466" w:rsidP="008D16DA"/>
    <w:p w14:paraId="34369F8F" w14:textId="77777777" w:rsidR="00DB7466" w:rsidRDefault="00DB7466" w:rsidP="00221E03"/>
    <w:p w14:paraId="2E940937" w14:textId="77777777" w:rsidR="00DB7466" w:rsidRDefault="00DB7466"/>
    <w:p w14:paraId="00325BC6" w14:textId="77777777" w:rsidR="00DB7466" w:rsidRDefault="00DB7466"/>
    <w:p w14:paraId="26F777C6" w14:textId="77777777" w:rsidR="00DB7466" w:rsidRDefault="00DB7466" w:rsidP="000B3880"/>
    <w:p w14:paraId="7EBAAD49" w14:textId="77777777" w:rsidR="00DB7466" w:rsidRDefault="00DB7466" w:rsidP="000B3880"/>
    <w:p w14:paraId="5A96C73F" w14:textId="77777777" w:rsidR="00DB7466" w:rsidRDefault="00DB7466" w:rsidP="000B3880"/>
    <w:p w14:paraId="6566B44B" w14:textId="77777777" w:rsidR="00DB7466" w:rsidRDefault="00DB7466" w:rsidP="00C61011"/>
    <w:p w14:paraId="301F9D7A" w14:textId="77777777" w:rsidR="00DB7466" w:rsidRDefault="00DB7466"/>
    <w:p w14:paraId="47E9314E" w14:textId="77777777" w:rsidR="00DB7466" w:rsidRDefault="00DB7466" w:rsidP="00442E09"/>
    <w:p w14:paraId="58154AF6" w14:textId="77777777" w:rsidR="00DB7466" w:rsidRDefault="00DB7466"/>
    <w:p w14:paraId="43E9A01A" w14:textId="77777777" w:rsidR="00DB7466" w:rsidRDefault="00DB7466" w:rsidP="002F2F0C"/>
    <w:p w14:paraId="74AFCC06" w14:textId="77777777" w:rsidR="00DB7466" w:rsidRDefault="00DB7466"/>
    <w:p w14:paraId="1733066E" w14:textId="77777777" w:rsidR="00DB7466" w:rsidRDefault="00DB7466"/>
    <w:p w14:paraId="1B8A745E" w14:textId="77777777" w:rsidR="00DB7466" w:rsidRDefault="00DB7466" w:rsidP="00FC0786"/>
    <w:p w14:paraId="299EFBCA" w14:textId="77777777" w:rsidR="00DB7466" w:rsidRDefault="00DB7466" w:rsidP="00FC0786"/>
    <w:p w14:paraId="532E2C5A" w14:textId="77777777" w:rsidR="00DB7466" w:rsidRDefault="00DB7466" w:rsidP="00FC0786"/>
    <w:p w14:paraId="2D686CD6" w14:textId="77777777" w:rsidR="00DB7466" w:rsidRDefault="00DB7466" w:rsidP="00FC0786"/>
    <w:p w14:paraId="1A24160D" w14:textId="77777777" w:rsidR="00DB7466" w:rsidRDefault="00DB7466" w:rsidP="00FC0786"/>
    <w:p w14:paraId="756EAF0F" w14:textId="77777777" w:rsidR="00DB7466" w:rsidRDefault="00DB7466" w:rsidP="00FC0786"/>
    <w:p w14:paraId="323ED773" w14:textId="77777777" w:rsidR="00DB7466" w:rsidRDefault="00DB7466" w:rsidP="00FC0786"/>
    <w:p w14:paraId="2FDC1A24" w14:textId="77777777" w:rsidR="00DB7466" w:rsidRDefault="00DB7466" w:rsidP="00FC0786"/>
    <w:p w14:paraId="29E395DF" w14:textId="77777777" w:rsidR="00DB7466" w:rsidRDefault="00DB7466" w:rsidP="00FC0786"/>
    <w:p w14:paraId="1AF947BB" w14:textId="77777777" w:rsidR="00DB7466" w:rsidRDefault="00DB7466" w:rsidP="00FC0786"/>
    <w:p w14:paraId="6841A1DB" w14:textId="77777777" w:rsidR="00DB7466" w:rsidRDefault="00DB7466" w:rsidP="00FC0786"/>
    <w:p w14:paraId="38EB2EFE" w14:textId="77777777" w:rsidR="00DB7466" w:rsidRDefault="00DB7466" w:rsidP="00FC0786"/>
    <w:p w14:paraId="31769759" w14:textId="77777777" w:rsidR="00DB7466" w:rsidRDefault="00DB7466" w:rsidP="00FC0786"/>
    <w:p w14:paraId="2D98F957" w14:textId="77777777" w:rsidR="00DB7466" w:rsidRDefault="00DB7466" w:rsidP="00FC0786"/>
    <w:p w14:paraId="60A2476F" w14:textId="77777777" w:rsidR="00DB7466" w:rsidRDefault="00DB7466" w:rsidP="00FC0786"/>
    <w:p w14:paraId="4C9B5C71" w14:textId="77777777" w:rsidR="00DB7466" w:rsidRDefault="00DB7466" w:rsidP="00FC0786"/>
    <w:p w14:paraId="7F364333" w14:textId="77777777" w:rsidR="00DB7466" w:rsidRDefault="00DB7466" w:rsidP="00884294"/>
    <w:p w14:paraId="5FBCE7CC" w14:textId="77777777" w:rsidR="00DB7466" w:rsidRDefault="00DB7466" w:rsidP="00115C61"/>
    <w:p w14:paraId="6D156914" w14:textId="77777777" w:rsidR="00DB7466" w:rsidRDefault="00DB7466" w:rsidP="00F21980"/>
    <w:p w14:paraId="696D1AA6" w14:textId="77777777" w:rsidR="00DB7466" w:rsidRDefault="00DB7466"/>
    <w:p w14:paraId="19A45236" w14:textId="77777777" w:rsidR="00DB7466" w:rsidRDefault="00DB7466" w:rsidP="004902EB"/>
    <w:p w14:paraId="4FF2976A" w14:textId="77777777" w:rsidR="00DB7466" w:rsidRDefault="00DB7466" w:rsidP="00C165D6"/>
    <w:p w14:paraId="28A7A762" w14:textId="77777777" w:rsidR="00DB7466" w:rsidRDefault="00DB7466" w:rsidP="00C165D6"/>
    <w:p w14:paraId="42CD2754" w14:textId="77777777" w:rsidR="00DB7466" w:rsidRDefault="00DB7466" w:rsidP="00D1652A"/>
    <w:p w14:paraId="536A9B5B" w14:textId="77777777" w:rsidR="00DB7466" w:rsidRDefault="00DB7466"/>
    <w:p w14:paraId="3BD6C3BB" w14:textId="77777777" w:rsidR="00DB7466" w:rsidRDefault="00DB7466"/>
    <w:p w14:paraId="391FB653" w14:textId="77777777" w:rsidR="00DB7466" w:rsidRDefault="00DB7466" w:rsidP="00665E23"/>
    <w:p w14:paraId="10A25C61" w14:textId="77777777" w:rsidR="00DB7466" w:rsidRDefault="00DB7466" w:rsidP="00665E23"/>
    <w:p w14:paraId="3FBEC0FE" w14:textId="77777777" w:rsidR="00DB7466" w:rsidRDefault="00DB7466" w:rsidP="00665E23"/>
    <w:p w14:paraId="13FE9C41" w14:textId="77777777" w:rsidR="00DB7466" w:rsidRDefault="00DB7466"/>
    <w:p w14:paraId="29BD2422" w14:textId="77777777" w:rsidR="00DB7466" w:rsidRDefault="00DB7466" w:rsidP="00FC625F"/>
    <w:p w14:paraId="582000DF" w14:textId="77777777" w:rsidR="00DB7466" w:rsidRDefault="00DB7466" w:rsidP="00CD26FF"/>
    <w:p w14:paraId="5ECE40A7" w14:textId="77777777" w:rsidR="00DB7466" w:rsidRDefault="00DB7466" w:rsidP="005C0894"/>
    <w:p w14:paraId="2993381C" w14:textId="77777777" w:rsidR="00DB7466" w:rsidRDefault="00DB7466" w:rsidP="005C0894"/>
    <w:p w14:paraId="0FDC642A" w14:textId="77777777" w:rsidR="00DB7466" w:rsidRDefault="00DB7466" w:rsidP="005C0894"/>
    <w:p w14:paraId="14FB5882" w14:textId="77777777" w:rsidR="00DB7466" w:rsidRDefault="00DB7466" w:rsidP="005C0894"/>
    <w:p w14:paraId="097F1E04" w14:textId="77777777" w:rsidR="00DB7466" w:rsidRDefault="00DB7466" w:rsidP="005C0894"/>
    <w:p w14:paraId="6CAF2810" w14:textId="77777777" w:rsidR="00DB7466" w:rsidRDefault="00DB7466" w:rsidP="005C0894"/>
    <w:p w14:paraId="16A0D8E3" w14:textId="77777777" w:rsidR="00DB7466" w:rsidRDefault="00DB7466" w:rsidP="005C0894"/>
    <w:p w14:paraId="33AD45AC" w14:textId="77777777" w:rsidR="00DB7466" w:rsidRDefault="00DB7466" w:rsidP="005C0894"/>
    <w:p w14:paraId="19569CB9" w14:textId="77777777" w:rsidR="00DB7466" w:rsidRDefault="00DB7466" w:rsidP="00EE7F1F"/>
    <w:p w14:paraId="2AC71264" w14:textId="77777777" w:rsidR="00DB7466" w:rsidRDefault="00DB7466" w:rsidP="00C6037F"/>
    <w:p w14:paraId="32194E1C" w14:textId="77777777" w:rsidR="00DB7466" w:rsidRDefault="00DB7466" w:rsidP="00C6037F"/>
    <w:p w14:paraId="0FD66277" w14:textId="77777777" w:rsidR="00DB7466" w:rsidRDefault="00DB7466" w:rsidP="00C6037F"/>
    <w:p w14:paraId="2E8C1DFD" w14:textId="77777777" w:rsidR="00DB7466" w:rsidRDefault="00DB7466" w:rsidP="00C6037F"/>
    <w:p w14:paraId="50673393" w14:textId="77777777" w:rsidR="00DB7466" w:rsidRDefault="00DB7466" w:rsidP="00C6037F"/>
    <w:p w14:paraId="22325EE1" w14:textId="77777777" w:rsidR="00DB7466" w:rsidRDefault="00DB7466" w:rsidP="00B8778C"/>
    <w:p w14:paraId="016E945D" w14:textId="77777777" w:rsidR="00DB7466" w:rsidRDefault="00DB7466" w:rsidP="00B8778C"/>
    <w:p w14:paraId="0A3E7739" w14:textId="77777777" w:rsidR="00DB7466" w:rsidRDefault="00DB7466" w:rsidP="00B8778C"/>
    <w:p w14:paraId="19708B78" w14:textId="77777777" w:rsidR="00DB7466" w:rsidRDefault="00DB7466" w:rsidP="00B8778C"/>
    <w:p w14:paraId="0DA33DB2" w14:textId="77777777" w:rsidR="00DB7466" w:rsidRDefault="00DB7466" w:rsidP="00B8778C"/>
    <w:p w14:paraId="4A828F3F" w14:textId="77777777" w:rsidR="00DB7466" w:rsidRDefault="00DB7466" w:rsidP="00B8778C"/>
    <w:p w14:paraId="0DBE4137" w14:textId="77777777" w:rsidR="00DB7466" w:rsidRDefault="00DB7466" w:rsidP="00B8778C"/>
    <w:p w14:paraId="56D88431" w14:textId="77777777" w:rsidR="00DB7466" w:rsidRDefault="00DB7466"/>
    <w:p w14:paraId="4B5421E5" w14:textId="77777777" w:rsidR="00DB7466" w:rsidRDefault="00DB7466" w:rsidP="00054EA8"/>
    <w:p w14:paraId="75A51CB7" w14:textId="77777777" w:rsidR="00DB7466" w:rsidRDefault="00DB7466" w:rsidP="00054EA8"/>
    <w:p w14:paraId="5A4B801B" w14:textId="77777777" w:rsidR="00DB7466" w:rsidRDefault="00DB7466" w:rsidP="009A1FE6"/>
    <w:p w14:paraId="1D7E6DBE" w14:textId="77777777" w:rsidR="00DB7466" w:rsidRDefault="00DB7466" w:rsidP="008508D9"/>
    <w:p w14:paraId="1644D503" w14:textId="77777777" w:rsidR="00DB7466" w:rsidRDefault="00DB7466" w:rsidP="002E3F59"/>
    <w:p w14:paraId="69AC9666" w14:textId="77777777" w:rsidR="00DB7466" w:rsidRDefault="00DB7466" w:rsidP="003347C9"/>
    <w:p w14:paraId="1D12BDBE" w14:textId="77777777" w:rsidR="00DB7466" w:rsidRDefault="00DB7466" w:rsidP="00DB01F5"/>
    <w:p w14:paraId="7305F112" w14:textId="77777777" w:rsidR="00DB7466" w:rsidRDefault="00DB7466" w:rsidP="00816B51"/>
    <w:p w14:paraId="45FE3194" w14:textId="77777777" w:rsidR="00DB7466" w:rsidRDefault="00DB7466"/>
    <w:p w14:paraId="43C0E64A" w14:textId="77777777" w:rsidR="00DB7466" w:rsidRDefault="00DB7466"/>
    <w:p w14:paraId="5A4F7175" w14:textId="77777777" w:rsidR="00DB7466" w:rsidRDefault="00DB7466" w:rsidP="00D26309"/>
    <w:p w14:paraId="34C087C5" w14:textId="77777777" w:rsidR="00DB7466" w:rsidRDefault="00DB7466" w:rsidP="00C2442C"/>
    <w:p w14:paraId="59256A7B" w14:textId="77777777" w:rsidR="00DB7466" w:rsidRDefault="00DB7466"/>
    <w:p w14:paraId="0B72C954" w14:textId="77777777" w:rsidR="00DB7466" w:rsidRDefault="00DB7466" w:rsidP="001361EB"/>
    <w:p w14:paraId="4DA24A6C" w14:textId="77777777" w:rsidR="00DB7466" w:rsidRDefault="00DB7466"/>
    <w:p w14:paraId="660DDFD5" w14:textId="77777777" w:rsidR="00DB7466" w:rsidRDefault="00DB7466" w:rsidP="003159DE"/>
    <w:p w14:paraId="3D50DCF9" w14:textId="77777777" w:rsidR="00DB7466" w:rsidRDefault="00DB7466" w:rsidP="003159DE"/>
    <w:p w14:paraId="623A1A31" w14:textId="77777777" w:rsidR="00DB7466" w:rsidRDefault="00DB7466"/>
    <w:p w14:paraId="6A0BAC8E" w14:textId="77777777" w:rsidR="00DB7466" w:rsidRDefault="00DB7466"/>
    <w:p w14:paraId="5CE7ACDC" w14:textId="77777777" w:rsidR="00DB7466" w:rsidRDefault="00DB7466"/>
    <w:p w14:paraId="3EDF55A1" w14:textId="77777777" w:rsidR="00DB7466" w:rsidRDefault="00DB7466" w:rsidP="00071B02"/>
    <w:p w14:paraId="18E4D5EF" w14:textId="77777777" w:rsidR="00DB7466" w:rsidRDefault="00DB7466" w:rsidP="00071B02"/>
    <w:p w14:paraId="1DF00080" w14:textId="77777777" w:rsidR="00DB7466" w:rsidRDefault="00DB7466"/>
    <w:p w14:paraId="399036D3" w14:textId="77777777" w:rsidR="00ED71D7" w:rsidRDefault="00ED71D7"/>
    <w:p w14:paraId="5C65B97B" w14:textId="77777777" w:rsidR="00ED71D7" w:rsidRDefault="00ED71D7" w:rsidP="00D90A2B"/>
    <w:p w14:paraId="0BF1EDF4" w14:textId="77777777" w:rsidR="009248A6" w:rsidRDefault="009248A6"/>
    <w:p w14:paraId="080CAA18" w14:textId="77777777" w:rsidR="009248A6" w:rsidRDefault="009248A6" w:rsidP="005A34FE"/>
    <w:p w14:paraId="4DB99029" w14:textId="77777777" w:rsidR="009248A6" w:rsidRDefault="009248A6" w:rsidP="005125FE"/>
    <w:p w14:paraId="462F3F8C" w14:textId="77777777" w:rsidR="009248A6" w:rsidRDefault="009248A6" w:rsidP="007D2527"/>
    <w:p w14:paraId="454F8C29" w14:textId="77777777" w:rsidR="009248A6" w:rsidRDefault="009248A6" w:rsidP="00C61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F10D" w14:textId="77777777" w:rsidR="006240A9" w:rsidRDefault="006240A9">
    <w:pPr>
      <w:pStyle w:val="Header"/>
    </w:pPr>
  </w:p>
  <w:p w14:paraId="21F5219C" w14:textId="77777777" w:rsidR="006240A9" w:rsidRDefault="006240A9"/>
  <w:p w14:paraId="0803D01F" w14:textId="77777777" w:rsidR="006240A9" w:rsidRDefault="006240A9" w:rsidP="00FC0786"/>
  <w:p w14:paraId="04B42C03" w14:textId="77777777" w:rsidR="006240A9" w:rsidRDefault="006240A9" w:rsidP="00FC0786"/>
  <w:p w14:paraId="23405718" w14:textId="77777777" w:rsidR="006240A9" w:rsidRDefault="006240A9" w:rsidP="00FC0786"/>
  <w:p w14:paraId="4FF08B43" w14:textId="77777777" w:rsidR="006240A9" w:rsidRDefault="006240A9" w:rsidP="00FC0786"/>
  <w:p w14:paraId="3CD2DB2A" w14:textId="77777777" w:rsidR="006240A9" w:rsidRDefault="006240A9" w:rsidP="00FC0786"/>
  <w:p w14:paraId="31BDA55C" w14:textId="77777777" w:rsidR="006240A9" w:rsidRDefault="006240A9" w:rsidP="00FC0786"/>
  <w:p w14:paraId="48EBD0A2" w14:textId="77777777" w:rsidR="006240A9" w:rsidRDefault="006240A9" w:rsidP="00FC0786"/>
  <w:p w14:paraId="485C8B3D" w14:textId="77777777" w:rsidR="006240A9" w:rsidRDefault="006240A9" w:rsidP="00FC0786"/>
  <w:p w14:paraId="39185049" w14:textId="1F0F1062" w:rsidR="006240A9" w:rsidRDefault="006240A9" w:rsidP="004902EB">
    <w:pPr>
      <w:tabs>
        <w:tab w:val="left" w:pos="2007"/>
      </w:tabs>
    </w:pPr>
  </w:p>
  <w:p w14:paraId="0750FB09" w14:textId="77777777" w:rsidR="006240A9" w:rsidRDefault="006240A9" w:rsidP="00FC0786"/>
  <w:p w14:paraId="33D705F5" w14:textId="77777777" w:rsidR="006240A9" w:rsidRDefault="006240A9" w:rsidP="00FC0786"/>
  <w:p w14:paraId="103D3AF8" w14:textId="77777777" w:rsidR="006240A9" w:rsidRDefault="006240A9" w:rsidP="00FC0786"/>
  <w:p w14:paraId="6BCDAE5D" w14:textId="77777777" w:rsidR="006240A9" w:rsidRDefault="006240A9" w:rsidP="00FC0786"/>
  <w:p w14:paraId="68153BA7" w14:textId="77777777" w:rsidR="006240A9" w:rsidRDefault="006240A9" w:rsidP="00FC0786"/>
  <w:p w14:paraId="1D5C4101" w14:textId="77777777" w:rsidR="006240A9" w:rsidRDefault="006240A9" w:rsidP="00FC0786"/>
  <w:p w14:paraId="552BE9B5" w14:textId="77777777" w:rsidR="006240A9" w:rsidRDefault="006240A9" w:rsidP="00FC0786"/>
  <w:p w14:paraId="5C5E4C6F" w14:textId="77777777" w:rsidR="006240A9" w:rsidRDefault="006240A9" w:rsidP="00884294"/>
  <w:p w14:paraId="7C49D844" w14:textId="77777777" w:rsidR="006240A9" w:rsidRDefault="006240A9" w:rsidP="00115C61"/>
  <w:p w14:paraId="28A8A8F1" w14:textId="77777777" w:rsidR="006240A9" w:rsidRDefault="006240A9" w:rsidP="00F21980"/>
  <w:p w14:paraId="1802746B" w14:textId="77777777" w:rsidR="006240A9" w:rsidRDefault="006240A9"/>
  <w:p w14:paraId="1F267CDC" w14:textId="77777777" w:rsidR="006240A9" w:rsidRDefault="006240A9" w:rsidP="004902EB"/>
  <w:p w14:paraId="1C4CA693" w14:textId="77777777" w:rsidR="006240A9" w:rsidRDefault="006240A9" w:rsidP="00C165D6"/>
  <w:p w14:paraId="758EF953" w14:textId="77777777" w:rsidR="006240A9" w:rsidRDefault="006240A9" w:rsidP="00C165D6"/>
  <w:p w14:paraId="169712B6" w14:textId="77777777" w:rsidR="006412C7" w:rsidRDefault="006412C7" w:rsidP="00665E23"/>
  <w:p w14:paraId="68D5C41C" w14:textId="77777777" w:rsidR="00FF18F5" w:rsidRDefault="00FF18F5" w:rsidP="001B1C48"/>
  <w:sdt>
    <w:sdtPr>
      <w:rPr>
        <w:rStyle w:val="PageNumber"/>
      </w:rPr>
      <w:id w:val="963389501"/>
      <w:docPartObj>
        <w:docPartGallery w:val="Page Numbers (Bottom of Page)"/>
        <w:docPartUnique/>
      </w:docPartObj>
    </w:sdtPr>
    <w:sdtEndPr>
      <w:rPr>
        <w:rStyle w:val="PageNumber"/>
      </w:rPr>
    </w:sdtEndPr>
    <w:sdtContent>
      <w:p w14:paraId="483F327B" w14:textId="77777777" w:rsidR="00C17898" w:rsidRDefault="00C17898" w:rsidP="00C17898">
        <w:pPr>
          <w:pStyle w:val="Footer"/>
          <w:framePr w:wrap="none" w:vAnchor="text" w:hAnchor="page" w:x="10756" w:y="354"/>
          <w:rPr>
            <w:rStyle w:val="PageNumber"/>
          </w:rPr>
        </w:pPr>
        <w:r w:rsidRPr="00C17898">
          <w:rPr>
            <w:rStyle w:val="PageNumber"/>
          </w:rPr>
          <w:fldChar w:fldCharType="begin"/>
        </w:r>
        <w:r w:rsidRPr="00C17898">
          <w:rPr>
            <w:rStyle w:val="PageNumber"/>
          </w:rPr>
          <w:instrText xml:space="preserve"> PAGE </w:instrText>
        </w:r>
        <w:r w:rsidRPr="00C17898">
          <w:rPr>
            <w:rStyle w:val="PageNumber"/>
          </w:rPr>
          <w:fldChar w:fldCharType="separate"/>
        </w:r>
        <w:r w:rsidRPr="00C17898">
          <w:rPr>
            <w:rStyle w:val="PageNumber"/>
            <w:noProof/>
          </w:rPr>
          <w:t>69</w:t>
        </w:r>
        <w:r w:rsidRPr="00C17898">
          <w:rPr>
            <w:rStyle w:val="PageNumber"/>
          </w:rPr>
          <w:fldChar w:fldCharType="end"/>
        </w:r>
      </w:p>
    </w:sdtContent>
  </w:sdt>
  <w:p w14:paraId="4FD8D52B" w14:textId="77777777" w:rsidR="00FF18F5" w:rsidRDefault="00FF18F5" w:rsidP="005C0894"/>
  <w:p w14:paraId="1ED09BFB" w14:textId="77777777" w:rsidR="00FF18F5" w:rsidRDefault="00FF18F5" w:rsidP="005C0894"/>
  <w:p w14:paraId="61216E96" w14:textId="77777777" w:rsidR="00FF18F5" w:rsidRDefault="00FF18F5" w:rsidP="005C0894"/>
  <w:p w14:paraId="18EAFB10" w14:textId="77777777" w:rsidR="00FF18F5" w:rsidRDefault="00FF18F5" w:rsidP="005C0894"/>
  <w:p w14:paraId="3078D179" w14:textId="77777777" w:rsidR="00FF18F5" w:rsidRDefault="00FF18F5" w:rsidP="005C0894"/>
  <w:p w14:paraId="09877080" w14:textId="77777777" w:rsidR="00FF18F5" w:rsidRDefault="00FF18F5" w:rsidP="005C0894"/>
  <w:p w14:paraId="4F55A373" w14:textId="77777777" w:rsidR="00FF18F5" w:rsidRDefault="00FF18F5" w:rsidP="00EE7F1F"/>
  <w:p w14:paraId="718B1E53" w14:textId="77777777" w:rsidR="00FF18F5" w:rsidRDefault="00FF18F5" w:rsidP="00C6037F"/>
  <w:p w14:paraId="1572B4BA" w14:textId="77777777" w:rsidR="00FF18F5" w:rsidRDefault="00FF18F5" w:rsidP="00C6037F"/>
  <w:p w14:paraId="4B45FA3C" w14:textId="77777777" w:rsidR="00FF18F5" w:rsidRDefault="00FF18F5" w:rsidP="00C6037F"/>
  <w:p w14:paraId="67D0847B" w14:textId="77777777" w:rsidR="00FF18F5" w:rsidRDefault="00FF18F5" w:rsidP="00C6037F"/>
  <w:p w14:paraId="119F8B82" w14:textId="77777777" w:rsidR="00FF18F5" w:rsidRDefault="00FF18F5" w:rsidP="00C6037F"/>
  <w:p w14:paraId="32CD8D02" w14:textId="77777777" w:rsidR="00FF18F5" w:rsidRDefault="00FF18F5" w:rsidP="00B8778C"/>
  <w:p w14:paraId="68CB90FC" w14:textId="77777777" w:rsidR="00FF18F5" w:rsidRDefault="00FF18F5" w:rsidP="00B8778C"/>
  <w:p w14:paraId="6B367029" w14:textId="77777777" w:rsidR="00FF18F5" w:rsidRDefault="00FF18F5" w:rsidP="00B8778C"/>
  <w:p w14:paraId="6512FBFE" w14:textId="77777777" w:rsidR="00FF18F5" w:rsidRDefault="00FF18F5" w:rsidP="00B8778C"/>
  <w:p w14:paraId="620D7A4A" w14:textId="77777777" w:rsidR="00FF18F5" w:rsidRDefault="00FF18F5" w:rsidP="00B8778C"/>
  <w:p w14:paraId="0F241D1A" w14:textId="77777777" w:rsidR="00FF18F5" w:rsidRDefault="00FF18F5" w:rsidP="00B8778C"/>
  <w:p w14:paraId="713FCBE5" w14:textId="77777777" w:rsidR="00FF18F5" w:rsidRDefault="00FF18F5" w:rsidP="00B8778C"/>
  <w:p w14:paraId="5ACE1C96" w14:textId="77777777" w:rsidR="004C642F" w:rsidRDefault="004C642F"/>
  <w:p w14:paraId="3F98C893" w14:textId="77777777" w:rsidR="004C642F" w:rsidRDefault="004C642F" w:rsidP="00054EA8"/>
  <w:p w14:paraId="35E180FC" w14:textId="77777777" w:rsidR="004C642F" w:rsidRDefault="004C642F" w:rsidP="00054EA8"/>
  <w:p w14:paraId="1CD6301B" w14:textId="77777777" w:rsidR="004C642F" w:rsidRDefault="004C642F" w:rsidP="009A1FE6"/>
  <w:p w14:paraId="52293E61" w14:textId="77777777" w:rsidR="004C642F" w:rsidRDefault="004C642F" w:rsidP="008508D9"/>
  <w:p w14:paraId="326780E5" w14:textId="77777777" w:rsidR="004C642F" w:rsidRDefault="004C642F" w:rsidP="002E3F59"/>
  <w:p w14:paraId="74EE3004" w14:textId="77777777" w:rsidR="004C642F" w:rsidRDefault="004C642F" w:rsidP="003347C9"/>
  <w:p w14:paraId="0970D9FA" w14:textId="77777777" w:rsidR="004C642F" w:rsidRDefault="004C642F" w:rsidP="00DB01F5"/>
  <w:p w14:paraId="5D449AF0" w14:textId="77777777" w:rsidR="004C642F" w:rsidRDefault="004C642F" w:rsidP="00816B51"/>
  <w:p w14:paraId="0B258DAE" w14:textId="77777777" w:rsidR="00541A70" w:rsidRDefault="00541A70"/>
  <w:p w14:paraId="76CC8AFF" w14:textId="77777777" w:rsidR="00757494" w:rsidRDefault="00757494"/>
  <w:p w14:paraId="347536C9" w14:textId="77777777" w:rsidR="00757494" w:rsidRDefault="00757494" w:rsidP="00D26309"/>
  <w:p w14:paraId="32B615BE" w14:textId="77777777" w:rsidR="00757494" w:rsidRDefault="00757494" w:rsidP="00C2442C"/>
  <w:p w14:paraId="45A1DC4D" w14:textId="77777777" w:rsidR="00AF4161" w:rsidRDefault="00AF4161"/>
  <w:p w14:paraId="6EF616A2" w14:textId="77777777" w:rsidR="00AF4161" w:rsidRDefault="00AF4161" w:rsidP="001361EB"/>
  <w:p w14:paraId="3F74A90A" w14:textId="77777777" w:rsidR="00BA7268" w:rsidRDefault="00BA7268"/>
  <w:p w14:paraId="2701B68B" w14:textId="77777777" w:rsidR="00BA7268" w:rsidRDefault="00BA7268" w:rsidP="003159DE"/>
  <w:p w14:paraId="30322F53" w14:textId="77777777" w:rsidR="00BA7268" w:rsidRDefault="00BA7268" w:rsidP="003159DE"/>
  <w:p w14:paraId="77512F45" w14:textId="77777777" w:rsidR="003427B4" w:rsidRDefault="003427B4"/>
  <w:p w14:paraId="01E2BB5D" w14:textId="77777777" w:rsidR="00EE2D0F" w:rsidRDefault="00EE2D0F"/>
  <w:p w14:paraId="0127A3DE" w14:textId="77777777" w:rsidR="00411195" w:rsidRDefault="00411195"/>
  <w:p w14:paraId="7D759963" w14:textId="77777777" w:rsidR="00411195" w:rsidRDefault="00411195" w:rsidP="00071B02"/>
  <w:p w14:paraId="0397CF12" w14:textId="77777777" w:rsidR="00411195" w:rsidRDefault="00411195" w:rsidP="00071B02"/>
  <w:p w14:paraId="68B46D52" w14:textId="77777777" w:rsidR="0068389F" w:rsidRDefault="0068389F"/>
  <w:p w14:paraId="187917B3" w14:textId="77777777" w:rsidR="00ED71D7" w:rsidRDefault="00ED71D7"/>
  <w:p w14:paraId="5DA61945" w14:textId="77777777" w:rsidR="00ED71D7" w:rsidRDefault="00ED71D7" w:rsidP="00D90A2B"/>
  <w:p w14:paraId="53A3A7BB" w14:textId="77777777" w:rsidR="009248A6" w:rsidRDefault="009248A6"/>
  <w:p w14:paraId="57383C96" w14:textId="77777777" w:rsidR="009248A6" w:rsidRDefault="009248A6" w:rsidP="005A34FE"/>
  <w:p w14:paraId="27E0BBBC" w14:textId="77777777" w:rsidR="009248A6" w:rsidRDefault="009248A6" w:rsidP="005125FE"/>
  <w:p w14:paraId="04FE86FD" w14:textId="77777777" w:rsidR="009248A6" w:rsidRDefault="009248A6" w:rsidP="007D2527"/>
  <w:p w14:paraId="583379F0" w14:textId="77777777" w:rsidR="009248A6" w:rsidRDefault="009248A6" w:rsidP="00C61D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F9226B8" w14:paraId="0D14F1EE" w14:textId="77777777" w:rsidTr="5F9226B8">
      <w:trPr>
        <w:trHeight w:val="300"/>
      </w:trPr>
      <w:tc>
        <w:tcPr>
          <w:tcW w:w="3130" w:type="dxa"/>
        </w:tcPr>
        <w:p w14:paraId="26A4C6A5" w14:textId="2683591B" w:rsidR="5F9226B8" w:rsidRDefault="5F9226B8" w:rsidP="5F9226B8">
          <w:pPr>
            <w:pStyle w:val="Header"/>
            <w:ind w:left="-115"/>
            <w:jc w:val="left"/>
          </w:pPr>
        </w:p>
      </w:tc>
      <w:tc>
        <w:tcPr>
          <w:tcW w:w="3130" w:type="dxa"/>
        </w:tcPr>
        <w:p w14:paraId="035B16E6" w14:textId="0ED4C0B6" w:rsidR="5F9226B8" w:rsidRDefault="5F9226B8" w:rsidP="5F9226B8">
          <w:pPr>
            <w:pStyle w:val="Header"/>
            <w:jc w:val="center"/>
          </w:pPr>
        </w:p>
      </w:tc>
      <w:tc>
        <w:tcPr>
          <w:tcW w:w="3130" w:type="dxa"/>
        </w:tcPr>
        <w:p w14:paraId="2E8E43B3" w14:textId="477EF420" w:rsidR="5F9226B8" w:rsidRDefault="5F9226B8" w:rsidP="5F9226B8">
          <w:pPr>
            <w:pStyle w:val="Header"/>
            <w:ind w:right="-115"/>
            <w:jc w:val="right"/>
          </w:pPr>
        </w:p>
      </w:tc>
    </w:tr>
  </w:tbl>
  <w:p w14:paraId="42F02039" w14:textId="49891E25" w:rsidR="009943BD" w:rsidRDefault="00994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A0C"/>
    <w:multiLevelType w:val="multilevel"/>
    <w:tmpl w:val="64EC4AD4"/>
    <w:lvl w:ilvl="0">
      <w:start w:val="1"/>
      <w:numFmt w:val="decimal"/>
      <w:pStyle w:val="Heading2"/>
      <w:lvlText w:val="%1."/>
      <w:lvlJc w:val="left"/>
      <w:pPr>
        <w:tabs>
          <w:tab w:val="num" w:pos="360"/>
        </w:tabs>
        <w:ind w:left="360" w:hanging="360"/>
      </w:pPr>
      <w:rPr>
        <w:rFonts w:cs="Times New Roman" w:hint="default"/>
      </w:rPr>
    </w:lvl>
    <w:lvl w:ilvl="1">
      <w:start w:val="1"/>
      <w:numFmt w:val="decimal"/>
      <w:pStyle w:val="Heading3"/>
      <w:lvlText w:val="%1.%2."/>
      <w:lvlJc w:val="left"/>
      <w:pPr>
        <w:tabs>
          <w:tab w:val="num" w:pos="-232"/>
        </w:tabs>
        <w:ind w:left="-232" w:hanging="1000"/>
      </w:pPr>
      <w:rPr>
        <w:rFonts w:ascii="Arial" w:hAnsi="Arial"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08"/>
        </w:tabs>
        <w:ind w:left="-8" w:hanging="504"/>
      </w:pPr>
      <w:rPr>
        <w:rFonts w:cs="Times New Roman" w:hint="default"/>
      </w:rPr>
    </w:lvl>
    <w:lvl w:ilvl="3">
      <w:start w:val="1"/>
      <w:numFmt w:val="decimal"/>
      <w:lvlText w:val="%1.%2.%3.%4."/>
      <w:lvlJc w:val="left"/>
      <w:pPr>
        <w:tabs>
          <w:tab w:val="num" w:pos="928"/>
        </w:tabs>
        <w:ind w:left="496" w:hanging="648"/>
      </w:pPr>
      <w:rPr>
        <w:rFonts w:cs="Times New Roman" w:hint="default"/>
      </w:rPr>
    </w:lvl>
    <w:lvl w:ilvl="4">
      <w:start w:val="1"/>
      <w:numFmt w:val="decimal"/>
      <w:lvlText w:val="%1.%2.%3.%4.%5."/>
      <w:lvlJc w:val="left"/>
      <w:pPr>
        <w:tabs>
          <w:tab w:val="num" w:pos="1288"/>
        </w:tabs>
        <w:ind w:left="1000" w:hanging="792"/>
      </w:pPr>
      <w:rPr>
        <w:rFonts w:cs="Times New Roman" w:hint="default"/>
      </w:rPr>
    </w:lvl>
    <w:lvl w:ilvl="5">
      <w:start w:val="1"/>
      <w:numFmt w:val="decimal"/>
      <w:lvlText w:val="%1.%2.%3.%4.%5.%6."/>
      <w:lvlJc w:val="left"/>
      <w:pPr>
        <w:tabs>
          <w:tab w:val="num" w:pos="2008"/>
        </w:tabs>
        <w:ind w:left="1504" w:hanging="936"/>
      </w:pPr>
      <w:rPr>
        <w:rFonts w:cs="Times New Roman" w:hint="default"/>
      </w:rPr>
    </w:lvl>
    <w:lvl w:ilvl="6">
      <w:start w:val="1"/>
      <w:numFmt w:val="decimal"/>
      <w:lvlText w:val="%1.%2.%3.%4.%5.%6.%7."/>
      <w:lvlJc w:val="left"/>
      <w:pPr>
        <w:tabs>
          <w:tab w:val="num" w:pos="2368"/>
        </w:tabs>
        <w:ind w:left="2008" w:hanging="1080"/>
      </w:pPr>
      <w:rPr>
        <w:rFonts w:cs="Times New Roman" w:hint="default"/>
      </w:rPr>
    </w:lvl>
    <w:lvl w:ilvl="7">
      <w:start w:val="1"/>
      <w:numFmt w:val="decimal"/>
      <w:lvlText w:val="%1.%2.%3.%4.%5.%6.%7.%8."/>
      <w:lvlJc w:val="left"/>
      <w:pPr>
        <w:tabs>
          <w:tab w:val="num" w:pos="3088"/>
        </w:tabs>
        <w:ind w:left="2512" w:hanging="1224"/>
      </w:pPr>
      <w:rPr>
        <w:rFonts w:cs="Times New Roman" w:hint="default"/>
      </w:rPr>
    </w:lvl>
    <w:lvl w:ilvl="8">
      <w:start w:val="1"/>
      <w:numFmt w:val="decimal"/>
      <w:lvlText w:val="%1.%2.%3.%4.%5.%6.%7.%8.%9."/>
      <w:lvlJc w:val="left"/>
      <w:pPr>
        <w:tabs>
          <w:tab w:val="num" w:pos="3448"/>
        </w:tabs>
        <w:ind w:left="3088" w:hanging="1440"/>
      </w:pPr>
      <w:rPr>
        <w:rFonts w:cs="Times New Roman" w:hint="default"/>
      </w:rPr>
    </w:lvl>
  </w:abstractNum>
  <w:abstractNum w:abstractNumId="1" w15:restartNumberingAfterBreak="0">
    <w:nsid w:val="07061052"/>
    <w:multiLevelType w:val="hybridMultilevel"/>
    <w:tmpl w:val="8CFAD1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8EC7295"/>
    <w:multiLevelType w:val="hybridMultilevel"/>
    <w:tmpl w:val="38465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150230"/>
    <w:multiLevelType w:val="hybridMultilevel"/>
    <w:tmpl w:val="79F88C44"/>
    <w:lvl w:ilvl="0" w:tplc="E9D04E3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C968DA"/>
    <w:multiLevelType w:val="hybridMultilevel"/>
    <w:tmpl w:val="29AE55EE"/>
    <w:lvl w:ilvl="0" w:tplc="21588E1A">
      <w:start w:val="1"/>
      <w:numFmt w:val="upperLetter"/>
      <w:lvlText w:val="%1."/>
      <w:lvlJc w:val="left"/>
      <w:pPr>
        <w:ind w:left="720" w:hanging="360"/>
      </w:pPr>
    </w:lvl>
    <w:lvl w:ilvl="1" w:tplc="E6A6F1F6">
      <w:start w:val="1"/>
      <w:numFmt w:val="lowerLetter"/>
      <w:lvlText w:val="%2."/>
      <w:lvlJc w:val="left"/>
      <w:pPr>
        <w:ind w:left="1440" w:hanging="360"/>
      </w:pPr>
    </w:lvl>
    <w:lvl w:ilvl="2" w:tplc="28DE3992">
      <w:start w:val="1"/>
      <w:numFmt w:val="lowerRoman"/>
      <w:lvlText w:val="%3."/>
      <w:lvlJc w:val="right"/>
      <w:pPr>
        <w:ind w:left="2160" w:hanging="180"/>
      </w:pPr>
    </w:lvl>
    <w:lvl w:ilvl="3" w:tplc="DD9AFF46">
      <w:start w:val="1"/>
      <w:numFmt w:val="decimal"/>
      <w:lvlText w:val="%4."/>
      <w:lvlJc w:val="left"/>
      <w:pPr>
        <w:ind w:left="2880" w:hanging="360"/>
      </w:pPr>
    </w:lvl>
    <w:lvl w:ilvl="4" w:tplc="D938F2A2">
      <w:start w:val="1"/>
      <w:numFmt w:val="lowerLetter"/>
      <w:lvlText w:val="%5."/>
      <w:lvlJc w:val="left"/>
      <w:pPr>
        <w:ind w:left="3600" w:hanging="360"/>
      </w:pPr>
    </w:lvl>
    <w:lvl w:ilvl="5" w:tplc="B0C634EE">
      <w:start w:val="1"/>
      <w:numFmt w:val="lowerRoman"/>
      <w:lvlText w:val="%6."/>
      <w:lvlJc w:val="right"/>
      <w:pPr>
        <w:ind w:left="4320" w:hanging="180"/>
      </w:pPr>
    </w:lvl>
    <w:lvl w:ilvl="6" w:tplc="D49024F6">
      <w:start w:val="1"/>
      <w:numFmt w:val="decimal"/>
      <w:lvlText w:val="%7."/>
      <w:lvlJc w:val="left"/>
      <w:pPr>
        <w:ind w:left="5040" w:hanging="360"/>
      </w:pPr>
    </w:lvl>
    <w:lvl w:ilvl="7" w:tplc="5D5C07C4">
      <w:start w:val="1"/>
      <w:numFmt w:val="lowerLetter"/>
      <w:lvlText w:val="%8."/>
      <w:lvlJc w:val="left"/>
      <w:pPr>
        <w:ind w:left="5760" w:hanging="360"/>
      </w:pPr>
    </w:lvl>
    <w:lvl w:ilvl="8" w:tplc="654EDAD4">
      <w:start w:val="1"/>
      <w:numFmt w:val="lowerRoman"/>
      <w:lvlText w:val="%9."/>
      <w:lvlJc w:val="right"/>
      <w:pPr>
        <w:ind w:left="6480" w:hanging="180"/>
      </w:pPr>
    </w:lvl>
  </w:abstractNum>
  <w:abstractNum w:abstractNumId="5" w15:restartNumberingAfterBreak="0">
    <w:nsid w:val="10FF3BBF"/>
    <w:multiLevelType w:val="hybridMultilevel"/>
    <w:tmpl w:val="40FEDE2C"/>
    <w:lvl w:ilvl="0" w:tplc="FFFFFFFF">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212A59"/>
    <w:multiLevelType w:val="hybridMultilevel"/>
    <w:tmpl w:val="A400219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93365C1"/>
    <w:multiLevelType w:val="hybridMultilevel"/>
    <w:tmpl w:val="E73A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31EDF"/>
    <w:multiLevelType w:val="hybridMultilevel"/>
    <w:tmpl w:val="3606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B794F"/>
    <w:multiLevelType w:val="hybridMultilevel"/>
    <w:tmpl w:val="BBB0C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1F85851"/>
    <w:multiLevelType w:val="hybridMultilevel"/>
    <w:tmpl w:val="4FB8BF5E"/>
    <w:lvl w:ilvl="0" w:tplc="04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228D29DB"/>
    <w:multiLevelType w:val="hybridMultilevel"/>
    <w:tmpl w:val="C1EA9E3E"/>
    <w:lvl w:ilvl="0" w:tplc="1C090001">
      <w:start w:val="1"/>
      <w:numFmt w:val="bullet"/>
      <w:lvlText w:val=""/>
      <w:lvlJc w:val="left"/>
      <w:pPr>
        <w:ind w:left="1515" w:hanging="360"/>
      </w:pPr>
      <w:rPr>
        <w:rFonts w:ascii="Symbol" w:hAnsi="Symbol" w:hint="default"/>
      </w:rPr>
    </w:lvl>
    <w:lvl w:ilvl="1" w:tplc="1C090003" w:tentative="1">
      <w:start w:val="1"/>
      <w:numFmt w:val="bullet"/>
      <w:lvlText w:val="o"/>
      <w:lvlJc w:val="left"/>
      <w:pPr>
        <w:ind w:left="2235" w:hanging="360"/>
      </w:pPr>
      <w:rPr>
        <w:rFonts w:ascii="Courier New" w:hAnsi="Courier New" w:cs="Courier New" w:hint="default"/>
      </w:rPr>
    </w:lvl>
    <w:lvl w:ilvl="2" w:tplc="1C090005" w:tentative="1">
      <w:start w:val="1"/>
      <w:numFmt w:val="bullet"/>
      <w:lvlText w:val=""/>
      <w:lvlJc w:val="left"/>
      <w:pPr>
        <w:ind w:left="2955" w:hanging="360"/>
      </w:pPr>
      <w:rPr>
        <w:rFonts w:ascii="Wingdings" w:hAnsi="Wingdings" w:hint="default"/>
      </w:rPr>
    </w:lvl>
    <w:lvl w:ilvl="3" w:tplc="1C090001" w:tentative="1">
      <w:start w:val="1"/>
      <w:numFmt w:val="bullet"/>
      <w:lvlText w:val=""/>
      <w:lvlJc w:val="left"/>
      <w:pPr>
        <w:ind w:left="3675" w:hanging="360"/>
      </w:pPr>
      <w:rPr>
        <w:rFonts w:ascii="Symbol" w:hAnsi="Symbol" w:hint="default"/>
      </w:rPr>
    </w:lvl>
    <w:lvl w:ilvl="4" w:tplc="1C090003" w:tentative="1">
      <w:start w:val="1"/>
      <w:numFmt w:val="bullet"/>
      <w:lvlText w:val="o"/>
      <w:lvlJc w:val="left"/>
      <w:pPr>
        <w:ind w:left="4395" w:hanging="360"/>
      </w:pPr>
      <w:rPr>
        <w:rFonts w:ascii="Courier New" w:hAnsi="Courier New" w:cs="Courier New" w:hint="default"/>
      </w:rPr>
    </w:lvl>
    <w:lvl w:ilvl="5" w:tplc="1C090005" w:tentative="1">
      <w:start w:val="1"/>
      <w:numFmt w:val="bullet"/>
      <w:lvlText w:val=""/>
      <w:lvlJc w:val="left"/>
      <w:pPr>
        <w:ind w:left="5115" w:hanging="360"/>
      </w:pPr>
      <w:rPr>
        <w:rFonts w:ascii="Wingdings" w:hAnsi="Wingdings" w:hint="default"/>
      </w:rPr>
    </w:lvl>
    <w:lvl w:ilvl="6" w:tplc="1C090001" w:tentative="1">
      <w:start w:val="1"/>
      <w:numFmt w:val="bullet"/>
      <w:lvlText w:val=""/>
      <w:lvlJc w:val="left"/>
      <w:pPr>
        <w:ind w:left="5835" w:hanging="360"/>
      </w:pPr>
      <w:rPr>
        <w:rFonts w:ascii="Symbol" w:hAnsi="Symbol" w:hint="default"/>
      </w:rPr>
    </w:lvl>
    <w:lvl w:ilvl="7" w:tplc="1C090003" w:tentative="1">
      <w:start w:val="1"/>
      <w:numFmt w:val="bullet"/>
      <w:lvlText w:val="o"/>
      <w:lvlJc w:val="left"/>
      <w:pPr>
        <w:ind w:left="6555" w:hanging="360"/>
      </w:pPr>
      <w:rPr>
        <w:rFonts w:ascii="Courier New" w:hAnsi="Courier New" w:cs="Courier New" w:hint="default"/>
      </w:rPr>
    </w:lvl>
    <w:lvl w:ilvl="8" w:tplc="1C090005" w:tentative="1">
      <w:start w:val="1"/>
      <w:numFmt w:val="bullet"/>
      <w:lvlText w:val=""/>
      <w:lvlJc w:val="left"/>
      <w:pPr>
        <w:ind w:left="7275" w:hanging="360"/>
      </w:pPr>
      <w:rPr>
        <w:rFonts w:ascii="Wingdings" w:hAnsi="Wingdings" w:hint="default"/>
      </w:rPr>
    </w:lvl>
  </w:abstractNum>
  <w:abstractNum w:abstractNumId="12" w15:restartNumberingAfterBreak="0">
    <w:nsid w:val="26DF6496"/>
    <w:multiLevelType w:val="hybridMultilevel"/>
    <w:tmpl w:val="2314110E"/>
    <w:lvl w:ilvl="0" w:tplc="1C090015">
      <w:start w:val="1"/>
      <w:numFmt w:val="upp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82847A2"/>
    <w:multiLevelType w:val="hybridMultilevel"/>
    <w:tmpl w:val="2A1A98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B4C3530"/>
    <w:multiLevelType w:val="hybridMultilevel"/>
    <w:tmpl w:val="9850B1A0"/>
    <w:lvl w:ilvl="0" w:tplc="DF44D5A2">
      <w:start w:val="1"/>
      <w:numFmt w:val="upperLetter"/>
      <w:pStyle w:val="5Sectio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D111F13"/>
    <w:multiLevelType w:val="hybridMultilevel"/>
    <w:tmpl w:val="7BB67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D77D5B"/>
    <w:multiLevelType w:val="hybridMultilevel"/>
    <w:tmpl w:val="CA5A6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54A0314"/>
    <w:multiLevelType w:val="hybridMultilevel"/>
    <w:tmpl w:val="5E346B9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297118"/>
    <w:multiLevelType w:val="hybridMultilevel"/>
    <w:tmpl w:val="CD0CC158"/>
    <w:lvl w:ilvl="0" w:tplc="83DC30EC">
      <w:start w:val="1"/>
      <w:numFmt w:val="decimal"/>
      <w:lvlText w:val="%1."/>
      <w:lvlJc w:val="left"/>
      <w:pPr>
        <w:tabs>
          <w:tab w:val="num" w:pos="1440"/>
        </w:tabs>
        <w:ind w:left="1440" w:hanging="720"/>
      </w:pPr>
      <w:rPr>
        <w:rFonts w:cs="Times New Roman" w:hint="default"/>
      </w:rPr>
    </w:lvl>
    <w:lvl w:ilvl="1" w:tplc="BD04B47A">
      <w:start w:val="1"/>
      <w:numFmt w:val="bullet"/>
      <w:pStyle w:val="Bullet1"/>
      <w:lvlText w:val=""/>
      <w:lvlJc w:val="left"/>
      <w:pPr>
        <w:tabs>
          <w:tab w:val="num" w:pos="1440"/>
        </w:tabs>
        <w:ind w:left="1440" w:hanging="360"/>
      </w:pPr>
      <w:rPr>
        <w:rFonts w:ascii="Wingdings" w:hAnsi="Wingdings" w:hint="default"/>
      </w:rPr>
    </w:lvl>
    <w:lvl w:ilvl="2" w:tplc="0F625ED0">
      <w:start w:val="1"/>
      <w:numFmt w:val="bullet"/>
      <w:lvlText w:val="-"/>
      <w:lvlJc w:val="left"/>
      <w:pPr>
        <w:tabs>
          <w:tab w:val="num" w:pos="2340"/>
        </w:tabs>
        <w:ind w:left="2340" w:hanging="360"/>
      </w:pPr>
      <w:rPr>
        <w:rFonts w:ascii="Arial" w:eastAsia="Times New Roman" w:hAnsi="Arial" w:hint="default"/>
      </w:rPr>
    </w:lvl>
    <w:lvl w:ilvl="3" w:tplc="ED880960">
      <w:start w:val="120"/>
      <w:numFmt w:val="bullet"/>
      <w:lvlText w:val="-"/>
      <w:lvlJc w:val="left"/>
      <w:pPr>
        <w:tabs>
          <w:tab w:val="num" w:pos="2340"/>
        </w:tabs>
        <w:ind w:left="2340" w:hanging="360"/>
      </w:pPr>
      <w:rPr>
        <w:rFonts w:ascii="Times New Roman" w:eastAsia="Times New Roman" w:hAnsi="Times New Roman" w:hint="default"/>
      </w:rPr>
    </w:lvl>
    <w:lvl w:ilvl="4" w:tplc="ED880960">
      <w:start w:val="120"/>
      <w:numFmt w:val="bullet"/>
      <w:lvlText w:val="-"/>
      <w:lvlJc w:val="left"/>
      <w:pPr>
        <w:tabs>
          <w:tab w:val="num" w:pos="3600"/>
        </w:tabs>
        <w:ind w:left="3600" w:hanging="360"/>
      </w:pPr>
      <w:rPr>
        <w:rFonts w:ascii="Times New Roman" w:eastAsia="Times New Roman" w:hAnsi="Times New Roman" w:hint="default"/>
      </w:rPr>
    </w:lvl>
    <w:lvl w:ilvl="5" w:tplc="ED880960">
      <w:start w:val="120"/>
      <w:numFmt w:val="bullet"/>
      <w:lvlText w:val="-"/>
      <w:lvlJc w:val="left"/>
      <w:pPr>
        <w:tabs>
          <w:tab w:val="num" w:pos="3600"/>
        </w:tabs>
        <w:ind w:left="3600" w:hanging="360"/>
      </w:pPr>
      <w:rPr>
        <w:rFonts w:ascii="Times New Roman" w:eastAsia="Times New Roman" w:hAnsi="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6882FFD"/>
    <w:multiLevelType w:val="hybridMultilevel"/>
    <w:tmpl w:val="0134841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9C1C2E"/>
    <w:multiLevelType w:val="multilevel"/>
    <w:tmpl w:val="674AF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Restart w:val="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21A81"/>
    <w:multiLevelType w:val="hybridMultilevel"/>
    <w:tmpl w:val="74A07CD6"/>
    <w:lvl w:ilvl="0" w:tplc="7ABCEF06">
      <w:start w:val="15"/>
      <w:numFmt w:val="upperLetter"/>
      <w:lvlText w:val="%1."/>
      <w:lvlJc w:val="left"/>
      <w:pPr>
        <w:ind w:left="720" w:hanging="360"/>
      </w:pPr>
    </w:lvl>
    <w:lvl w:ilvl="1" w:tplc="6EF425FE">
      <w:start w:val="1"/>
      <w:numFmt w:val="lowerLetter"/>
      <w:lvlText w:val="%2."/>
      <w:lvlJc w:val="left"/>
      <w:pPr>
        <w:ind w:left="1440" w:hanging="360"/>
      </w:pPr>
    </w:lvl>
    <w:lvl w:ilvl="2" w:tplc="C3485C70">
      <w:start w:val="1"/>
      <w:numFmt w:val="lowerRoman"/>
      <w:lvlText w:val="%3."/>
      <w:lvlJc w:val="right"/>
      <w:pPr>
        <w:ind w:left="2160" w:hanging="180"/>
      </w:pPr>
    </w:lvl>
    <w:lvl w:ilvl="3" w:tplc="AA143C2C">
      <w:start w:val="1"/>
      <w:numFmt w:val="decimal"/>
      <w:lvlText w:val="%4."/>
      <w:lvlJc w:val="left"/>
      <w:pPr>
        <w:ind w:left="2880" w:hanging="360"/>
      </w:pPr>
    </w:lvl>
    <w:lvl w:ilvl="4" w:tplc="F274E4C0">
      <w:start w:val="1"/>
      <w:numFmt w:val="lowerLetter"/>
      <w:lvlText w:val="%5."/>
      <w:lvlJc w:val="left"/>
      <w:pPr>
        <w:ind w:left="3600" w:hanging="360"/>
      </w:pPr>
    </w:lvl>
    <w:lvl w:ilvl="5" w:tplc="5914C028">
      <w:start w:val="1"/>
      <w:numFmt w:val="lowerRoman"/>
      <w:lvlText w:val="%6."/>
      <w:lvlJc w:val="right"/>
      <w:pPr>
        <w:ind w:left="4320" w:hanging="180"/>
      </w:pPr>
    </w:lvl>
    <w:lvl w:ilvl="6" w:tplc="44D4DBB0">
      <w:start w:val="1"/>
      <w:numFmt w:val="decimal"/>
      <w:lvlText w:val="%7."/>
      <w:lvlJc w:val="left"/>
      <w:pPr>
        <w:ind w:left="5040" w:hanging="360"/>
      </w:pPr>
    </w:lvl>
    <w:lvl w:ilvl="7" w:tplc="7CBEFB4C">
      <w:start w:val="1"/>
      <w:numFmt w:val="lowerLetter"/>
      <w:lvlText w:val="%8."/>
      <w:lvlJc w:val="left"/>
      <w:pPr>
        <w:ind w:left="5760" w:hanging="360"/>
      </w:pPr>
    </w:lvl>
    <w:lvl w:ilvl="8" w:tplc="509A9212">
      <w:start w:val="1"/>
      <w:numFmt w:val="lowerRoman"/>
      <w:lvlText w:val="%9."/>
      <w:lvlJc w:val="right"/>
      <w:pPr>
        <w:ind w:left="6480" w:hanging="180"/>
      </w:pPr>
    </w:lvl>
  </w:abstractNum>
  <w:abstractNum w:abstractNumId="22" w15:restartNumberingAfterBreak="0">
    <w:nsid w:val="3A9A5F61"/>
    <w:multiLevelType w:val="hybridMultilevel"/>
    <w:tmpl w:val="A68A7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A9B0D54"/>
    <w:multiLevelType w:val="hybridMultilevel"/>
    <w:tmpl w:val="9FC83C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C2638E1"/>
    <w:multiLevelType w:val="hybridMultilevel"/>
    <w:tmpl w:val="C14C1C50"/>
    <w:lvl w:ilvl="0" w:tplc="6B7E1E7E">
      <w:start w:val="1"/>
      <w:numFmt w:val="upperRoman"/>
      <w:pStyle w:val="3Paragraph"/>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D8A20AE"/>
    <w:multiLevelType w:val="hybridMultilevel"/>
    <w:tmpl w:val="40FEDE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543312"/>
    <w:multiLevelType w:val="hybridMultilevel"/>
    <w:tmpl w:val="F7BC9E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2980C1F"/>
    <w:multiLevelType w:val="hybridMultilevel"/>
    <w:tmpl w:val="FC701638"/>
    <w:lvl w:ilvl="0" w:tplc="9F5C1862">
      <w:start w:val="1"/>
      <w:numFmt w:val="upperLetter"/>
      <w:lvlText w:val="%1."/>
      <w:lvlJc w:val="left"/>
      <w:pPr>
        <w:ind w:left="720" w:hanging="360"/>
      </w:pPr>
    </w:lvl>
    <w:lvl w:ilvl="1" w:tplc="AB2AFFFA">
      <w:start w:val="1"/>
      <w:numFmt w:val="lowerLetter"/>
      <w:lvlText w:val="%2."/>
      <w:lvlJc w:val="left"/>
      <w:pPr>
        <w:ind w:left="1440" w:hanging="360"/>
      </w:pPr>
    </w:lvl>
    <w:lvl w:ilvl="2" w:tplc="B554ED80">
      <w:start w:val="1"/>
      <w:numFmt w:val="lowerRoman"/>
      <w:lvlText w:val="%3."/>
      <w:lvlJc w:val="right"/>
      <w:pPr>
        <w:ind w:left="2160" w:hanging="180"/>
      </w:pPr>
    </w:lvl>
    <w:lvl w:ilvl="3" w:tplc="F380373A">
      <w:start w:val="1"/>
      <w:numFmt w:val="decimal"/>
      <w:lvlText w:val="%4."/>
      <w:lvlJc w:val="left"/>
      <w:pPr>
        <w:ind w:left="2880" w:hanging="360"/>
      </w:pPr>
    </w:lvl>
    <w:lvl w:ilvl="4" w:tplc="36BAC4C2">
      <w:start w:val="1"/>
      <w:numFmt w:val="lowerLetter"/>
      <w:lvlText w:val="%5."/>
      <w:lvlJc w:val="left"/>
      <w:pPr>
        <w:ind w:left="3600" w:hanging="360"/>
      </w:pPr>
    </w:lvl>
    <w:lvl w:ilvl="5" w:tplc="B88093E8">
      <w:start w:val="1"/>
      <w:numFmt w:val="lowerRoman"/>
      <w:lvlText w:val="%6."/>
      <w:lvlJc w:val="right"/>
      <w:pPr>
        <w:ind w:left="4320" w:hanging="180"/>
      </w:pPr>
    </w:lvl>
    <w:lvl w:ilvl="6" w:tplc="AF3AD938">
      <w:start w:val="1"/>
      <w:numFmt w:val="decimal"/>
      <w:lvlText w:val="%7."/>
      <w:lvlJc w:val="left"/>
      <w:pPr>
        <w:ind w:left="5040" w:hanging="360"/>
      </w:pPr>
    </w:lvl>
    <w:lvl w:ilvl="7" w:tplc="C83AF17C">
      <w:start w:val="1"/>
      <w:numFmt w:val="lowerLetter"/>
      <w:lvlText w:val="%8."/>
      <w:lvlJc w:val="left"/>
      <w:pPr>
        <w:ind w:left="5760" w:hanging="360"/>
      </w:pPr>
    </w:lvl>
    <w:lvl w:ilvl="8" w:tplc="C6AC3394">
      <w:start w:val="1"/>
      <w:numFmt w:val="lowerRoman"/>
      <w:lvlText w:val="%9."/>
      <w:lvlJc w:val="right"/>
      <w:pPr>
        <w:ind w:left="6480" w:hanging="180"/>
      </w:pPr>
    </w:lvl>
  </w:abstractNum>
  <w:abstractNum w:abstractNumId="28" w15:restartNumberingAfterBreak="0">
    <w:nsid w:val="53B93205"/>
    <w:multiLevelType w:val="multilevel"/>
    <w:tmpl w:val="3792361A"/>
    <w:styleLink w:val="style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5B1295"/>
    <w:multiLevelType w:val="hybridMultilevel"/>
    <w:tmpl w:val="0484AC60"/>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30" w15:restartNumberingAfterBreak="0">
    <w:nsid w:val="5C5E59DF"/>
    <w:multiLevelType w:val="hybridMultilevel"/>
    <w:tmpl w:val="EA04226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D9D0BCE"/>
    <w:multiLevelType w:val="hybridMultilevel"/>
    <w:tmpl w:val="05A60290"/>
    <w:lvl w:ilvl="0" w:tplc="1C090001">
      <w:start w:val="1"/>
      <w:numFmt w:val="bullet"/>
      <w:lvlText w:val=""/>
      <w:lvlJc w:val="left"/>
      <w:pPr>
        <w:ind w:left="788" w:hanging="360"/>
      </w:pPr>
      <w:rPr>
        <w:rFonts w:ascii="Symbol" w:hAnsi="Symbol" w:hint="default"/>
      </w:rPr>
    </w:lvl>
    <w:lvl w:ilvl="1" w:tplc="1C090003" w:tentative="1">
      <w:start w:val="1"/>
      <w:numFmt w:val="bullet"/>
      <w:lvlText w:val="o"/>
      <w:lvlJc w:val="left"/>
      <w:pPr>
        <w:ind w:left="1508" w:hanging="360"/>
      </w:pPr>
      <w:rPr>
        <w:rFonts w:ascii="Courier New" w:hAnsi="Courier New" w:cs="Courier New" w:hint="default"/>
      </w:rPr>
    </w:lvl>
    <w:lvl w:ilvl="2" w:tplc="1C090005" w:tentative="1">
      <w:start w:val="1"/>
      <w:numFmt w:val="bullet"/>
      <w:lvlText w:val=""/>
      <w:lvlJc w:val="left"/>
      <w:pPr>
        <w:ind w:left="2228" w:hanging="360"/>
      </w:pPr>
      <w:rPr>
        <w:rFonts w:ascii="Wingdings" w:hAnsi="Wingdings" w:hint="default"/>
      </w:rPr>
    </w:lvl>
    <w:lvl w:ilvl="3" w:tplc="1C090001" w:tentative="1">
      <w:start w:val="1"/>
      <w:numFmt w:val="bullet"/>
      <w:lvlText w:val=""/>
      <w:lvlJc w:val="left"/>
      <w:pPr>
        <w:ind w:left="2948" w:hanging="360"/>
      </w:pPr>
      <w:rPr>
        <w:rFonts w:ascii="Symbol" w:hAnsi="Symbol" w:hint="default"/>
      </w:rPr>
    </w:lvl>
    <w:lvl w:ilvl="4" w:tplc="1C090003" w:tentative="1">
      <w:start w:val="1"/>
      <w:numFmt w:val="bullet"/>
      <w:lvlText w:val="o"/>
      <w:lvlJc w:val="left"/>
      <w:pPr>
        <w:ind w:left="3668" w:hanging="360"/>
      </w:pPr>
      <w:rPr>
        <w:rFonts w:ascii="Courier New" w:hAnsi="Courier New" w:cs="Courier New" w:hint="default"/>
      </w:rPr>
    </w:lvl>
    <w:lvl w:ilvl="5" w:tplc="1C090005" w:tentative="1">
      <w:start w:val="1"/>
      <w:numFmt w:val="bullet"/>
      <w:lvlText w:val=""/>
      <w:lvlJc w:val="left"/>
      <w:pPr>
        <w:ind w:left="4388" w:hanging="360"/>
      </w:pPr>
      <w:rPr>
        <w:rFonts w:ascii="Wingdings" w:hAnsi="Wingdings" w:hint="default"/>
      </w:rPr>
    </w:lvl>
    <w:lvl w:ilvl="6" w:tplc="1C090001" w:tentative="1">
      <w:start w:val="1"/>
      <w:numFmt w:val="bullet"/>
      <w:lvlText w:val=""/>
      <w:lvlJc w:val="left"/>
      <w:pPr>
        <w:ind w:left="5108" w:hanging="360"/>
      </w:pPr>
      <w:rPr>
        <w:rFonts w:ascii="Symbol" w:hAnsi="Symbol" w:hint="default"/>
      </w:rPr>
    </w:lvl>
    <w:lvl w:ilvl="7" w:tplc="1C090003" w:tentative="1">
      <w:start w:val="1"/>
      <w:numFmt w:val="bullet"/>
      <w:lvlText w:val="o"/>
      <w:lvlJc w:val="left"/>
      <w:pPr>
        <w:ind w:left="5828" w:hanging="360"/>
      </w:pPr>
      <w:rPr>
        <w:rFonts w:ascii="Courier New" w:hAnsi="Courier New" w:cs="Courier New" w:hint="default"/>
      </w:rPr>
    </w:lvl>
    <w:lvl w:ilvl="8" w:tplc="1C090005" w:tentative="1">
      <w:start w:val="1"/>
      <w:numFmt w:val="bullet"/>
      <w:lvlText w:val=""/>
      <w:lvlJc w:val="left"/>
      <w:pPr>
        <w:ind w:left="6548" w:hanging="360"/>
      </w:pPr>
      <w:rPr>
        <w:rFonts w:ascii="Wingdings" w:hAnsi="Wingdings" w:hint="default"/>
      </w:rPr>
    </w:lvl>
  </w:abstractNum>
  <w:abstractNum w:abstractNumId="32" w15:restartNumberingAfterBreak="0">
    <w:nsid w:val="60DD5358"/>
    <w:multiLevelType w:val="multilevel"/>
    <w:tmpl w:val="E076A13C"/>
    <w:lvl w:ilvl="0">
      <w:start w:val="1"/>
      <w:numFmt w:val="decimal"/>
      <w:pStyle w:val="H1"/>
      <w:lvlText w:val="%1."/>
      <w:lvlJc w:val="left"/>
      <w:pPr>
        <w:tabs>
          <w:tab w:val="num" w:pos="851"/>
        </w:tabs>
        <w:ind w:left="851" w:hanging="851"/>
      </w:pPr>
      <w:rPr>
        <w:b w:val="0"/>
        <w:i w:val="0"/>
        <w:sz w:val="24"/>
        <w:szCs w:val="24"/>
      </w:rPr>
    </w:lvl>
    <w:lvl w:ilvl="1">
      <w:start w:val="1"/>
      <w:numFmt w:val="decimal"/>
      <w:pStyle w:val="H2"/>
      <w:lvlText w:val="%1.%2"/>
      <w:lvlJc w:val="left"/>
      <w:pPr>
        <w:tabs>
          <w:tab w:val="num" w:pos="851"/>
        </w:tabs>
        <w:ind w:left="851" w:hanging="851"/>
      </w:pPr>
      <w:rPr>
        <w:b w:val="0"/>
        <w:i w:val="0"/>
        <w:sz w:val="24"/>
        <w:szCs w:val="24"/>
      </w:rPr>
    </w:lvl>
    <w:lvl w:ilvl="2">
      <w:start w:val="1"/>
      <w:numFmt w:val="decimal"/>
      <w:pStyle w:val="H3"/>
      <w:lvlText w:val="%1.%2.%3"/>
      <w:lvlJc w:val="left"/>
      <w:pPr>
        <w:tabs>
          <w:tab w:val="num" w:pos="851"/>
        </w:tabs>
        <w:ind w:left="851" w:hanging="851"/>
      </w:pPr>
      <w:rPr>
        <w:b w:val="0"/>
        <w:i w:val="0"/>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1B9436B"/>
    <w:multiLevelType w:val="hybridMultilevel"/>
    <w:tmpl w:val="D2B069A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8403BE3"/>
    <w:multiLevelType w:val="hybridMultilevel"/>
    <w:tmpl w:val="7FCEA5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FB40D1F"/>
    <w:multiLevelType w:val="hybridMultilevel"/>
    <w:tmpl w:val="925EAE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115E8C1"/>
    <w:multiLevelType w:val="hybridMultilevel"/>
    <w:tmpl w:val="3F062764"/>
    <w:lvl w:ilvl="0" w:tplc="86088570">
      <w:start w:val="1"/>
      <w:numFmt w:val="upperLetter"/>
      <w:lvlText w:val="%1."/>
      <w:lvlJc w:val="left"/>
      <w:pPr>
        <w:ind w:left="1080" w:hanging="360"/>
      </w:pPr>
    </w:lvl>
    <w:lvl w:ilvl="1" w:tplc="89C84940">
      <w:start w:val="1"/>
      <w:numFmt w:val="lowerLetter"/>
      <w:lvlText w:val="%2."/>
      <w:lvlJc w:val="left"/>
      <w:pPr>
        <w:ind w:left="1800" w:hanging="360"/>
      </w:pPr>
    </w:lvl>
    <w:lvl w:ilvl="2" w:tplc="9F2CCFD4">
      <w:start w:val="1"/>
      <w:numFmt w:val="lowerRoman"/>
      <w:lvlText w:val="%3."/>
      <w:lvlJc w:val="right"/>
      <w:pPr>
        <w:ind w:left="2520" w:hanging="180"/>
      </w:pPr>
    </w:lvl>
    <w:lvl w:ilvl="3" w:tplc="A9F6F3DC">
      <w:start w:val="1"/>
      <w:numFmt w:val="decimal"/>
      <w:lvlText w:val="%4."/>
      <w:lvlJc w:val="left"/>
      <w:pPr>
        <w:ind w:left="3240" w:hanging="360"/>
      </w:pPr>
    </w:lvl>
    <w:lvl w:ilvl="4" w:tplc="D3B67894">
      <w:start w:val="1"/>
      <w:numFmt w:val="lowerLetter"/>
      <w:lvlText w:val="%5."/>
      <w:lvlJc w:val="left"/>
      <w:pPr>
        <w:ind w:left="3960" w:hanging="360"/>
      </w:pPr>
    </w:lvl>
    <w:lvl w:ilvl="5" w:tplc="5C243E96">
      <w:start w:val="1"/>
      <w:numFmt w:val="lowerRoman"/>
      <w:lvlText w:val="%6."/>
      <w:lvlJc w:val="right"/>
      <w:pPr>
        <w:ind w:left="4680" w:hanging="180"/>
      </w:pPr>
    </w:lvl>
    <w:lvl w:ilvl="6" w:tplc="873A5524">
      <w:start w:val="1"/>
      <w:numFmt w:val="decimal"/>
      <w:lvlText w:val="%7."/>
      <w:lvlJc w:val="left"/>
      <w:pPr>
        <w:ind w:left="5400" w:hanging="360"/>
      </w:pPr>
    </w:lvl>
    <w:lvl w:ilvl="7" w:tplc="DD20BF94">
      <w:start w:val="1"/>
      <w:numFmt w:val="lowerLetter"/>
      <w:lvlText w:val="%8."/>
      <w:lvlJc w:val="left"/>
      <w:pPr>
        <w:ind w:left="6120" w:hanging="360"/>
      </w:pPr>
    </w:lvl>
    <w:lvl w:ilvl="8" w:tplc="4BD6B978">
      <w:start w:val="1"/>
      <w:numFmt w:val="lowerRoman"/>
      <w:lvlText w:val="%9."/>
      <w:lvlJc w:val="right"/>
      <w:pPr>
        <w:ind w:left="6840" w:hanging="180"/>
      </w:pPr>
    </w:lvl>
  </w:abstractNum>
  <w:abstractNum w:abstractNumId="37" w15:restartNumberingAfterBreak="0">
    <w:nsid w:val="725F6F15"/>
    <w:multiLevelType w:val="hybridMultilevel"/>
    <w:tmpl w:val="9A426C5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8973AD9"/>
    <w:multiLevelType w:val="hybridMultilevel"/>
    <w:tmpl w:val="71ECD5C2"/>
    <w:lvl w:ilvl="0" w:tplc="F3ACBAC6">
      <w:start w:val="5"/>
      <w:numFmt w:val="upperLetter"/>
      <w:lvlText w:val="%1."/>
      <w:lvlJc w:val="left"/>
      <w:pPr>
        <w:ind w:left="720" w:hanging="360"/>
      </w:pPr>
    </w:lvl>
    <w:lvl w:ilvl="1" w:tplc="F7CAC586">
      <w:start w:val="1"/>
      <w:numFmt w:val="lowerLetter"/>
      <w:lvlText w:val="%2."/>
      <w:lvlJc w:val="left"/>
      <w:pPr>
        <w:ind w:left="1440" w:hanging="360"/>
      </w:pPr>
    </w:lvl>
    <w:lvl w:ilvl="2" w:tplc="27461B48">
      <w:start w:val="1"/>
      <w:numFmt w:val="lowerRoman"/>
      <w:lvlText w:val="%3."/>
      <w:lvlJc w:val="right"/>
      <w:pPr>
        <w:ind w:left="2160" w:hanging="180"/>
      </w:pPr>
    </w:lvl>
    <w:lvl w:ilvl="3" w:tplc="18689744">
      <w:start w:val="1"/>
      <w:numFmt w:val="decimal"/>
      <w:lvlText w:val="%4."/>
      <w:lvlJc w:val="left"/>
      <w:pPr>
        <w:ind w:left="2880" w:hanging="360"/>
      </w:pPr>
    </w:lvl>
    <w:lvl w:ilvl="4" w:tplc="AFB427DA">
      <w:start w:val="1"/>
      <w:numFmt w:val="lowerLetter"/>
      <w:lvlText w:val="%5."/>
      <w:lvlJc w:val="left"/>
      <w:pPr>
        <w:ind w:left="3600" w:hanging="360"/>
      </w:pPr>
    </w:lvl>
    <w:lvl w:ilvl="5" w:tplc="1FFC4E6C">
      <w:start w:val="1"/>
      <w:numFmt w:val="lowerRoman"/>
      <w:lvlText w:val="%6."/>
      <w:lvlJc w:val="right"/>
      <w:pPr>
        <w:ind w:left="4320" w:hanging="180"/>
      </w:pPr>
    </w:lvl>
    <w:lvl w:ilvl="6" w:tplc="049633FE">
      <w:start w:val="1"/>
      <w:numFmt w:val="decimal"/>
      <w:lvlText w:val="%7."/>
      <w:lvlJc w:val="left"/>
      <w:pPr>
        <w:ind w:left="5040" w:hanging="360"/>
      </w:pPr>
    </w:lvl>
    <w:lvl w:ilvl="7" w:tplc="E7043ED4">
      <w:start w:val="1"/>
      <w:numFmt w:val="lowerLetter"/>
      <w:lvlText w:val="%8."/>
      <w:lvlJc w:val="left"/>
      <w:pPr>
        <w:ind w:left="5760" w:hanging="360"/>
      </w:pPr>
    </w:lvl>
    <w:lvl w:ilvl="8" w:tplc="BB74F852">
      <w:start w:val="1"/>
      <w:numFmt w:val="lowerRoman"/>
      <w:lvlText w:val="%9."/>
      <w:lvlJc w:val="right"/>
      <w:pPr>
        <w:ind w:left="6480" w:hanging="180"/>
      </w:pPr>
    </w:lvl>
  </w:abstractNum>
  <w:abstractNum w:abstractNumId="39" w15:restartNumberingAfterBreak="0">
    <w:nsid w:val="78D715B7"/>
    <w:multiLevelType w:val="hybridMultilevel"/>
    <w:tmpl w:val="E6A62484"/>
    <w:lvl w:ilvl="0" w:tplc="3BBCFBEA">
      <w:start w:val="1"/>
      <w:numFmt w:val="bullet"/>
      <w:pStyle w:val="81Orderedlis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92251784">
    <w:abstractNumId w:val="4"/>
  </w:num>
  <w:num w:numId="2" w16cid:durableId="1022628878">
    <w:abstractNumId w:val="21"/>
  </w:num>
  <w:num w:numId="3" w16cid:durableId="235671410">
    <w:abstractNumId w:val="38"/>
  </w:num>
  <w:num w:numId="4" w16cid:durableId="1467503484">
    <w:abstractNumId w:val="27"/>
  </w:num>
  <w:num w:numId="5" w16cid:durableId="176434242">
    <w:abstractNumId w:val="36"/>
  </w:num>
  <w:num w:numId="6" w16cid:durableId="1546987530">
    <w:abstractNumId w:val="0"/>
  </w:num>
  <w:num w:numId="7" w16cid:durableId="1355158366">
    <w:abstractNumId w:val="18"/>
  </w:num>
  <w:num w:numId="8" w16cid:durableId="1764911960">
    <w:abstractNumId w:val="22"/>
  </w:num>
  <w:num w:numId="9" w16cid:durableId="1237280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094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132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8725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0431916">
    <w:abstractNumId w:val="24"/>
  </w:num>
  <w:num w:numId="14" w16cid:durableId="265382215">
    <w:abstractNumId w:val="14"/>
  </w:num>
  <w:num w:numId="15" w16cid:durableId="717706208">
    <w:abstractNumId w:val="39"/>
  </w:num>
  <w:num w:numId="16" w16cid:durableId="1330984835">
    <w:abstractNumId w:val="28"/>
  </w:num>
  <w:num w:numId="17" w16cid:durableId="578711993">
    <w:abstractNumId w:val="20"/>
    <w:lvlOverride w:ilvl="0">
      <w:lvl w:ilvl="0">
        <w:start w:val="1"/>
        <w:numFmt w:val="decimal"/>
        <w:lvlText w:val="%1"/>
        <w:lvlJc w:val="left"/>
        <w:pPr>
          <w:ind w:left="502"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Restart w:val="1"/>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16cid:durableId="141258644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Restart w:val="1"/>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9" w16cid:durableId="1037043871">
    <w:abstractNumId w:val="34"/>
  </w:num>
  <w:num w:numId="20" w16cid:durableId="1806464106">
    <w:abstractNumId w:val="2"/>
  </w:num>
  <w:num w:numId="21" w16cid:durableId="144396314">
    <w:abstractNumId w:val="12"/>
  </w:num>
  <w:num w:numId="22" w16cid:durableId="457072976">
    <w:abstractNumId w:val="11"/>
  </w:num>
  <w:num w:numId="23" w16cid:durableId="247810849">
    <w:abstractNumId w:val="37"/>
  </w:num>
  <w:num w:numId="24" w16cid:durableId="1961447476">
    <w:abstractNumId w:val="13"/>
  </w:num>
  <w:num w:numId="25" w16cid:durableId="1977291442">
    <w:abstractNumId w:val="31"/>
  </w:num>
  <w:num w:numId="26" w16cid:durableId="1966571270">
    <w:abstractNumId w:val="16"/>
  </w:num>
  <w:num w:numId="27" w16cid:durableId="286081949">
    <w:abstractNumId w:val="19"/>
  </w:num>
  <w:num w:numId="28" w16cid:durableId="1929072259">
    <w:abstractNumId w:val="26"/>
  </w:num>
  <w:num w:numId="29" w16cid:durableId="466556507">
    <w:abstractNumId w:val="5"/>
  </w:num>
  <w:num w:numId="30" w16cid:durableId="699551340">
    <w:abstractNumId w:val="6"/>
  </w:num>
  <w:num w:numId="31" w16cid:durableId="1522426195">
    <w:abstractNumId w:val="30"/>
  </w:num>
  <w:num w:numId="32" w16cid:durableId="1399745740">
    <w:abstractNumId w:val="8"/>
  </w:num>
  <w:num w:numId="33" w16cid:durableId="640117510">
    <w:abstractNumId w:val="7"/>
  </w:num>
  <w:num w:numId="34" w16cid:durableId="297341719">
    <w:abstractNumId w:val="1"/>
  </w:num>
  <w:num w:numId="35" w16cid:durableId="1221480084">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Restart w:val="1"/>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16cid:durableId="363749072">
    <w:abstractNumId w:val="29"/>
  </w:num>
  <w:num w:numId="37" w16cid:durableId="1073433430">
    <w:abstractNumId w:val="33"/>
  </w:num>
  <w:num w:numId="38" w16cid:durableId="1350259699">
    <w:abstractNumId w:val="9"/>
  </w:num>
  <w:num w:numId="39" w16cid:durableId="771054907">
    <w:abstractNumId w:val="15"/>
  </w:num>
  <w:num w:numId="40" w16cid:durableId="1412964604">
    <w:abstractNumId w:val="2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decimal"/>
        <w:lvlText w:val="%1.%2"/>
        <w:lvlJc w:val="left"/>
        <w:pPr>
          <w:ind w:left="360" w:hanging="360"/>
        </w:pPr>
        <w:rPr>
          <w:rFonts w:hint="default"/>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Restart w:val="1"/>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41" w16cid:durableId="1327828779">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Restart w:val="1"/>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1715737381">
    <w:abstractNumId w:val="10"/>
  </w:num>
  <w:num w:numId="43" w16cid:durableId="1322654829">
    <w:abstractNumId w:val="2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decimal"/>
        <w:lvlText w:val="%1.%2"/>
        <w:lvlJc w:val="left"/>
        <w:pPr>
          <w:ind w:left="360" w:hanging="360"/>
        </w:pPr>
        <w:rPr>
          <w:rFonts w:hint="default"/>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Restart w:val="1"/>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44" w16cid:durableId="2062090545">
    <w:abstractNumId w:val="25"/>
  </w:num>
  <w:num w:numId="45" w16cid:durableId="1916740124">
    <w:abstractNumId w:val="35"/>
  </w:num>
  <w:num w:numId="46" w16cid:durableId="157712985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30"/>
    <w:rsid w:val="000000E4"/>
    <w:rsid w:val="00000322"/>
    <w:rsid w:val="000012A4"/>
    <w:rsid w:val="00001761"/>
    <w:rsid w:val="000017B3"/>
    <w:rsid w:val="00001855"/>
    <w:rsid w:val="00001EB6"/>
    <w:rsid w:val="00001F5B"/>
    <w:rsid w:val="000028A6"/>
    <w:rsid w:val="00002954"/>
    <w:rsid w:val="00002AF2"/>
    <w:rsid w:val="00002E98"/>
    <w:rsid w:val="0000336F"/>
    <w:rsid w:val="00003608"/>
    <w:rsid w:val="00003872"/>
    <w:rsid w:val="00003D18"/>
    <w:rsid w:val="00004418"/>
    <w:rsid w:val="0000584A"/>
    <w:rsid w:val="0000595D"/>
    <w:rsid w:val="00006DF5"/>
    <w:rsid w:val="00007341"/>
    <w:rsid w:val="00007B18"/>
    <w:rsid w:val="00007BA1"/>
    <w:rsid w:val="00007E60"/>
    <w:rsid w:val="000104D4"/>
    <w:rsid w:val="00010A2D"/>
    <w:rsid w:val="00010C04"/>
    <w:rsid w:val="0001144A"/>
    <w:rsid w:val="000117B8"/>
    <w:rsid w:val="00011897"/>
    <w:rsid w:val="00011EB1"/>
    <w:rsid w:val="000120C8"/>
    <w:rsid w:val="00012817"/>
    <w:rsid w:val="00012A0B"/>
    <w:rsid w:val="00012C8A"/>
    <w:rsid w:val="00013210"/>
    <w:rsid w:val="00013A0F"/>
    <w:rsid w:val="00014934"/>
    <w:rsid w:val="00014A66"/>
    <w:rsid w:val="0001530A"/>
    <w:rsid w:val="000156DA"/>
    <w:rsid w:val="00015C8B"/>
    <w:rsid w:val="00016598"/>
    <w:rsid w:val="00016847"/>
    <w:rsid w:val="00016B4A"/>
    <w:rsid w:val="00016C58"/>
    <w:rsid w:val="00016FD2"/>
    <w:rsid w:val="000172BA"/>
    <w:rsid w:val="000175B5"/>
    <w:rsid w:val="000201E9"/>
    <w:rsid w:val="0002028D"/>
    <w:rsid w:val="00020369"/>
    <w:rsid w:val="0002040D"/>
    <w:rsid w:val="00021165"/>
    <w:rsid w:val="00021257"/>
    <w:rsid w:val="00021756"/>
    <w:rsid w:val="000218C9"/>
    <w:rsid w:val="000219A1"/>
    <w:rsid w:val="00021B99"/>
    <w:rsid w:val="00021CA9"/>
    <w:rsid w:val="00021F3C"/>
    <w:rsid w:val="000225D5"/>
    <w:rsid w:val="000226B2"/>
    <w:rsid w:val="00022F36"/>
    <w:rsid w:val="00023B12"/>
    <w:rsid w:val="00023D53"/>
    <w:rsid w:val="00024529"/>
    <w:rsid w:val="0002456C"/>
    <w:rsid w:val="0002480F"/>
    <w:rsid w:val="000249C3"/>
    <w:rsid w:val="00025270"/>
    <w:rsid w:val="000252F3"/>
    <w:rsid w:val="00025655"/>
    <w:rsid w:val="000258E3"/>
    <w:rsid w:val="00026830"/>
    <w:rsid w:val="00026921"/>
    <w:rsid w:val="00026935"/>
    <w:rsid w:val="00026BA5"/>
    <w:rsid w:val="00026D02"/>
    <w:rsid w:val="00026D56"/>
    <w:rsid w:val="000272AE"/>
    <w:rsid w:val="00027A63"/>
    <w:rsid w:val="00030183"/>
    <w:rsid w:val="00030C52"/>
    <w:rsid w:val="00030E5F"/>
    <w:rsid w:val="000312B2"/>
    <w:rsid w:val="000313DF"/>
    <w:rsid w:val="00031516"/>
    <w:rsid w:val="00032081"/>
    <w:rsid w:val="00032140"/>
    <w:rsid w:val="00032243"/>
    <w:rsid w:val="00032EB3"/>
    <w:rsid w:val="00032F24"/>
    <w:rsid w:val="00033362"/>
    <w:rsid w:val="0003391E"/>
    <w:rsid w:val="00033E26"/>
    <w:rsid w:val="000347AE"/>
    <w:rsid w:val="00034F53"/>
    <w:rsid w:val="0003527C"/>
    <w:rsid w:val="000358F4"/>
    <w:rsid w:val="00035C0D"/>
    <w:rsid w:val="00036365"/>
    <w:rsid w:val="00036374"/>
    <w:rsid w:val="000368BE"/>
    <w:rsid w:val="0003717F"/>
    <w:rsid w:val="000374CA"/>
    <w:rsid w:val="00040BEF"/>
    <w:rsid w:val="00040C1B"/>
    <w:rsid w:val="000412B4"/>
    <w:rsid w:val="000414BD"/>
    <w:rsid w:val="000416AC"/>
    <w:rsid w:val="0004178D"/>
    <w:rsid w:val="000418BE"/>
    <w:rsid w:val="00041EFC"/>
    <w:rsid w:val="00042025"/>
    <w:rsid w:val="000423DD"/>
    <w:rsid w:val="00042611"/>
    <w:rsid w:val="000426C0"/>
    <w:rsid w:val="00042EE5"/>
    <w:rsid w:val="0004306C"/>
    <w:rsid w:val="00043347"/>
    <w:rsid w:val="000434E9"/>
    <w:rsid w:val="00043D01"/>
    <w:rsid w:val="00043DD8"/>
    <w:rsid w:val="0004429B"/>
    <w:rsid w:val="00044ED6"/>
    <w:rsid w:val="00045255"/>
    <w:rsid w:val="000454C4"/>
    <w:rsid w:val="00045518"/>
    <w:rsid w:val="00045B3A"/>
    <w:rsid w:val="00046039"/>
    <w:rsid w:val="00046353"/>
    <w:rsid w:val="0004661F"/>
    <w:rsid w:val="000467F4"/>
    <w:rsid w:val="00046830"/>
    <w:rsid w:val="00046E74"/>
    <w:rsid w:val="00046E8D"/>
    <w:rsid w:val="00047427"/>
    <w:rsid w:val="00047555"/>
    <w:rsid w:val="000475AB"/>
    <w:rsid w:val="000476FB"/>
    <w:rsid w:val="000478F8"/>
    <w:rsid w:val="00047BCF"/>
    <w:rsid w:val="000504C0"/>
    <w:rsid w:val="00050603"/>
    <w:rsid w:val="0005091E"/>
    <w:rsid w:val="00051839"/>
    <w:rsid w:val="0005192A"/>
    <w:rsid w:val="0005195E"/>
    <w:rsid w:val="000519C3"/>
    <w:rsid w:val="00051F44"/>
    <w:rsid w:val="00051F55"/>
    <w:rsid w:val="000522A2"/>
    <w:rsid w:val="00052442"/>
    <w:rsid w:val="000529BE"/>
    <w:rsid w:val="00052AD0"/>
    <w:rsid w:val="00053338"/>
    <w:rsid w:val="000533F5"/>
    <w:rsid w:val="00053609"/>
    <w:rsid w:val="00053ACD"/>
    <w:rsid w:val="00053BD8"/>
    <w:rsid w:val="00053DC4"/>
    <w:rsid w:val="00054563"/>
    <w:rsid w:val="00054CF6"/>
    <w:rsid w:val="00054EA8"/>
    <w:rsid w:val="00055020"/>
    <w:rsid w:val="00055103"/>
    <w:rsid w:val="000554FD"/>
    <w:rsid w:val="00055815"/>
    <w:rsid w:val="00055E29"/>
    <w:rsid w:val="000561A8"/>
    <w:rsid w:val="000566F3"/>
    <w:rsid w:val="00057181"/>
    <w:rsid w:val="0005746A"/>
    <w:rsid w:val="000578E5"/>
    <w:rsid w:val="0006090D"/>
    <w:rsid w:val="00060E59"/>
    <w:rsid w:val="00060EF6"/>
    <w:rsid w:val="00061B4D"/>
    <w:rsid w:val="0006241D"/>
    <w:rsid w:val="00062E46"/>
    <w:rsid w:val="000643EC"/>
    <w:rsid w:val="000644A8"/>
    <w:rsid w:val="00064B96"/>
    <w:rsid w:val="0006530E"/>
    <w:rsid w:val="00065E4A"/>
    <w:rsid w:val="0006607B"/>
    <w:rsid w:val="00066859"/>
    <w:rsid w:val="00066C53"/>
    <w:rsid w:val="00067503"/>
    <w:rsid w:val="000677CE"/>
    <w:rsid w:val="000678EB"/>
    <w:rsid w:val="00067BE2"/>
    <w:rsid w:val="00067D21"/>
    <w:rsid w:val="0007015C"/>
    <w:rsid w:val="00070205"/>
    <w:rsid w:val="0007047B"/>
    <w:rsid w:val="000714D0"/>
    <w:rsid w:val="0007172E"/>
    <w:rsid w:val="00071B02"/>
    <w:rsid w:val="0007217C"/>
    <w:rsid w:val="000723F9"/>
    <w:rsid w:val="00073707"/>
    <w:rsid w:val="00073B32"/>
    <w:rsid w:val="00073CC7"/>
    <w:rsid w:val="0007496F"/>
    <w:rsid w:val="00074AC1"/>
    <w:rsid w:val="00074B5E"/>
    <w:rsid w:val="00074D73"/>
    <w:rsid w:val="00074F75"/>
    <w:rsid w:val="000754E6"/>
    <w:rsid w:val="00075B56"/>
    <w:rsid w:val="00075BE2"/>
    <w:rsid w:val="00075C28"/>
    <w:rsid w:val="00076928"/>
    <w:rsid w:val="00076C09"/>
    <w:rsid w:val="00076C42"/>
    <w:rsid w:val="00076D40"/>
    <w:rsid w:val="000777C2"/>
    <w:rsid w:val="0008017F"/>
    <w:rsid w:val="000805D1"/>
    <w:rsid w:val="00081AF7"/>
    <w:rsid w:val="000821A0"/>
    <w:rsid w:val="0008279E"/>
    <w:rsid w:val="000828DA"/>
    <w:rsid w:val="00083D0C"/>
    <w:rsid w:val="00084084"/>
    <w:rsid w:val="00084707"/>
    <w:rsid w:val="00084A94"/>
    <w:rsid w:val="00084CF2"/>
    <w:rsid w:val="00084FB1"/>
    <w:rsid w:val="00085363"/>
    <w:rsid w:val="00085F61"/>
    <w:rsid w:val="00085FC5"/>
    <w:rsid w:val="00086376"/>
    <w:rsid w:val="000867E7"/>
    <w:rsid w:val="000905BD"/>
    <w:rsid w:val="000907F8"/>
    <w:rsid w:val="00090BBA"/>
    <w:rsid w:val="00090C2B"/>
    <w:rsid w:val="00090C4D"/>
    <w:rsid w:val="00090F0F"/>
    <w:rsid w:val="0009108B"/>
    <w:rsid w:val="000910D6"/>
    <w:rsid w:val="00091230"/>
    <w:rsid w:val="000915AE"/>
    <w:rsid w:val="0009199B"/>
    <w:rsid w:val="00091E1E"/>
    <w:rsid w:val="0009203D"/>
    <w:rsid w:val="00092808"/>
    <w:rsid w:val="000931D2"/>
    <w:rsid w:val="0009325C"/>
    <w:rsid w:val="00093501"/>
    <w:rsid w:val="0009467A"/>
    <w:rsid w:val="00094782"/>
    <w:rsid w:val="0009481F"/>
    <w:rsid w:val="00094F08"/>
    <w:rsid w:val="000951F7"/>
    <w:rsid w:val="00095F7C"/>
    <w:rsid w:val="00095FB3"/>
    <w:rsid w:val="00095FDA"/>
    <w:rsid w:val="000962AB"/>
    <w:rsid w:val="00096700"/>
    <w:rsid w:val="000968B6"/>
    <w:rsid w:val="000971A5"/>
    <w:rsid w:val="00097522"/>
    <w:rsid w:val="000976EC"/>
    <w:rsid w:val="00097779"/>
    <w:rsid w:val="00097B56"/>
    <w:rsid w:val="00097D56"/>
    <w:rsid w:val="00097EAB"/>
    <w:rsid w:val="000A0A76"/>
    <w:rsid w:val="000A0C60"/>
    <w:rsid w:val="000A0C87"/>
    <w:rsid w:val="000A0E4D"/>
    <w:rsid w:val="000A13EF"/>
    <w:rsid w:val="000A198A"/>
    <w:rsid w:val="000A1A9A"/>
    <w:rsid w:val="000A1E8F"/>
    <w:rsid w:val="000A276A"/>
    <w:rsid w:val="000A3108"/>
    <w:rsid w:val="000A384D"/>
    <w:rsid w:val="000A3AF8"/>
    <w:rsid w:val="000A3BCD"/>
    <w:rsid w:val="000A47DD"/>
    <w:rsid w:val="000A4BF5"/>
    <w:rsid w:val="000A561C"/>
    <w:rsid w:val="000A56AF"/>
    <w:rsid w:val="000A6286"/>
    <w:rsid w:val="000A64AD"/>
    <w:rsid w:val="000A672D"/>
    <w:rsid w:val="000A6908"/>
    <w:rsid w:val="000A7003"/>
    <w:rsid w:val="000A7197"/>
    <w:rsid w:val="000A769B"/>
    <w:rsid w:val="000A76C9"/>
    <w:rsid w:val="000A7DDB"/>
    <w:rsid w:val="000B0254"/>
    <w:rsid w:val="000B0AF8"/>
    <w:rsid w:val="000B14FC"/>
    <w:rsid w:val="000B1B0F"/>
    <w:rsid w:val="000B1D3C"/>
    <w:rsid w:val="000B2846"/>
    <w:rsid w:val="000B2943"/>
    <w:rsid w:val="000B2949"/>
    <w:rsid w:val="000B29C3"/>
    <w:rsid w:val="000B2C0C"/>
    <w:rsid w:val="000B2D50"/>
    <w:rsid w:val="000B2FED"/>
    <w:rsid w:val="000B3695"/>
    <w:rsid w:val="000B3880"/>
    <w:rsid w:val="000B38B3"/>
    <w:rsid w:val="000B3CFF"/>
    <w:rsid w:val="000B3E12"/>
    <w:rsid w:val="000B4033"/>
    <w:rsid w:val="000B422E"/>
    <w:rsid w:val="000B4547"/>
    <w:rsid w:val="000B4DB0"/>
    <w:rsid w:val="000B5104"/>
    <w:rsid w:val="000B515D"/>
    <w:rsid w:val="000B51D4"/>
    <w:rsid w:val="000B5919"/>
    <w:rsid w:val="000B5964"/>
    <w:rsid w:val="000B5A00"/>
    <w:rsid w:val="000B5D07"/>
    <w:rsid w:val="000B6186"/>
    <w:rsid w:val="000B642B"/>
    <w:rsid w:val="000B649F"/>
    <w:rsid w:val="000B6B07"/>
    <w:rsid w:val="000B6C37"/>
    <w:rsid w:val="000B7004"/>
    <w:rsid w:val="000B7BB6"/>
    <w:rsid w:val="000C055C"/>
    <w:rsid w:val="000C0BC6"/>
    <w:rsid w:val="000C15E5"/>
    <w:rsid w:val="000C18C7"/>
    <w:rsid w:val="000C25E7"/>
    <w:rsid w:val="000C28EB"/>
    <w:rsid w:val="000C2969"/>
    <w:rsid w:val="000C29C0"/>
    <w:rsid w:val="000C2DF4"/>
    <w:rsid w:val="000C319E"/>
    <w:rsid w:val="000C31D8"/>
    <w:rsid w:val="000C3BE9"/>
    <w:rsid w:val="000C3D44"/>
    <w:rsid w:val="000C46B2"/>
    <w:rsid w:val="000C4853"/>
    <w:rsid w:val="000C4B2C"/>
    <w:rsid w:val="000C4B3D"/>
    <w:rsid w:val="000C4DEE"/>
    <w:rsid w:val="000C51C6"/>
    <w:rsid w:val="000C5563"/>
    <w:rsid w:val="000C5C74"/>
    <w:rsid w:val="000C622E"/>
    <w:rsid w:val="000C6311"/>
    <w:rsid w:val="000C6D69"/>
    <w:rsid w:val="000C6E17"/>
    <w:rsid w:val="000C74F4"/>
    <w:rsid w:val="000C7670"/>
    <w:rsid w:val="000D045D"/>
    <w:rsid w:val="000D0CE9"/>
    <w:rsid w:val="000D0E50"/>
    <w:rsid w:val="000D0F56"/>
    <w:rsid w:val="000D13F4"/>
    <w:rsid w:val="000D15EF"/>
    <w:rsid w:val="000D165D"/>
    <w:rsid w:val="000D1687"/>
    <w:rsid w:val="000D1C2A"/>
    <w:rsid w:val="000D1DF3"/>
    <w:rsid w:val="000D1EA7"/>
    <w:rsid w:val="000D1FF5"/>
    <w:rsid w:val="000D2355"/>
    <w:rsid w:val="000D279D"/>
    <w:rsid w:val="000D2873"/>
    <w:rsid w:val="000D32BD"/>
    <w:rsid w:val="000D38CF"/>
    <w:rsid w:val="000D3DB9"/>
    <w:rsid w:val="000D42A9"/>
    <w:rsid w:val="000D43A0"/>
    <w:rsid w:val="000D4B3F"/>
    <w:rsid w:val="000D4D09"/>
    <w:rsid w:val="000D4F29"/>
    <w:rsid w:val="000D4F80"/>
    <w:rsid w:val="000D503E"/>
    <w:rsid w:val="000D514B"/>
    <w:rsid w:val="000D5785"/>
    <w:rsid w:val="000D5C99"/>
    <w:rsid w:val="000D5DBB"/>
    <w:rsid w:val="000D653E"/>
    <w:rsid w:val="000D6CF7"/>
    <w:rsid w:val="000D7633"/>
    <w:rsid w:val="000D7B3D"/>
    <w:rsid w:val="000D7C96"/>
    <w:rsid w:val="000E04D3"/>
    <w:rsid w:val="000E0826"/>
    <w:rsid w:val="000E09F0"/>
    <w:rsid w:val="000E0B63"/>
    <w:rsid w:val="000E0C97"/>
    <w:rsid w:val="000E11C9"/>
    <w:rsid w:val="000E157B"/>
    <w:rsid w:val="000E16EA"/>
    <w:rsid w:val="000E17D2"/>
    <w:rsid w:val="000E1E98"/>
    <w:rsid w:val="000E1EC0"/>
    <w:rsid w:val="000E1F85"/>
    <w:rsid w:val="000E2575"/>
    <w:rsid w:val="000E281D"/>
    <w:rsid w:val="000E29AF"/>
    <w:rsid w:val="000E2B98"/>
    <w:rsid w:val="000E3148"/>
    <w:rsid w:val="000E34C7"/>
    <w:rsid w:val="000E3520"/>
    <w:rsid w:val="000E3919"/>
    <w:rsid w:val="000E39B2"/>
    <w:rsid w:val="000E3C2D"/>
    <w:rsid w:val="000E42C4"/>
    <w:rsid w:val="000E4429"/>
    <w:rsid w:val="000E46F2"/>
    <w:rsid w:val="000E4BA0"/>
    <w:rsid w:val="000E4E14"/>
    <w:rsid w:val="000E4F71"/>
    <w:rsid w:val="000E523C"/>
    <w:rsid w:val="000E5610"/>
    <w:rsid w:val="000E5A16"/>
    <w:rsid w:val="000E60B1"/>
    <w:rsid w:val="000E7A3A"/>
    <w:rsid w:val="000E7C5A"/>
    <w:rsid w:val="000E7DFB"/>
    <w:rsid w:val="000E7E8B"/>
    <w:rsid w:val="000F00A8"/>
    <w:rsid w:val="000F04E2"/>
    <w:rsid w:val="000F08F8"/>
    <w:rsid w:val="000F0DB0"/>
    <w:rsid w:val="000F0EC8"/>
    <w:rsid w:val="000F1019"/>
    <w:rsid w:val="000F131F"/>
    <w:rsid w:val="000F1567"/>
    <w:rsid w:val="000F172A"/>
    <w:rsid w:val="000F174B"/>
    <w:rsid w:val="000F17DC"/>
    <w:rsid w:val="000F1B5C"/>
    <w:rsid w:val="000F2133"/>
    <w:rsid w:val="000F269D"/>
    <w:rsid w:val="000F2D74"/>
    <w:rsid w:val="000F3222"/>
    <w:rsid w:val="000F3763"/>
    <w:rsid w:val="000F382A"/>
    <w:rsid w:val="000F3A69"/>
    <w:rsid w:val="000F3C9E"/>
    <w:rsid w:val="000F404C"/>
    <w:rsid w:val="000F424B"/>
    <w:rsid w:val="000F4AA5"/>
    <w:rsid w:val="000F5135"/>
    <w:rsid w:val="000F5167"/>
    <w:rsid w:val="000F552B"/>
    <w:rsid w:val="000F556D"/>
    <w:rsid w:val="000F55E5"/>
    <w:rsid w:val="000F5823"/>
    <w:rsid w:val="000F58A8"/>
    <w:rsid w:val="000F5BAB"/>
    <w:rsid w:val="000F5D5F"/>
    <w:rsid w:val="000F672D"/>
    <w:rsid w:val="000F6769"/>
    <w:rsid w:val="000F70FA"/>
    <w:rsid w:val="000F766B"/>
    <w:rsid w:val="000F784F"/>
    <w:rsid w:val="000F7A2A"/>
    <w:rsid w:val="000F7A89"/>
    <w:rsid w:val="000F7E1E"/>
    <w:rsid w:val="000F7EB3"/>
    <w:rsid w:val="000F7FC2"/>
    <w:rsid w:val="00100084"/>
    <w:rsid w:val="00100592"/>
    <w:rsid w:val="0010065E"/>
    <w:rsid w:val="00102223"/>
    <w:rsid w:val="00102270"/>
    <w:rsid w:val="0010238D"/>
    <w:rsid w:val="00102584"/>
    <w:rsid w:val="00102A45"/>
    <w:rsid w:val="0010372F"/>
    <w:rsid w:val="00103C36"/>
    <w:rsid w:val="00104031"/>
    <w:rsid w:val="00104CEE"/>
    <w:rsid w:val="00105258"/>
    <w:rsid w:val="001057AF"/>
    <w:rsid w:val="00105839"/>
    <w:rsid w:val="00106098"/>
    <w:rsid w:val="0010661D"/>
    <w:rsid w:val="00106654"/>
    <w:rsid w:val="00107094"/>
    <w:rsid w:val="001075E2"/>
    <w:rsid w:val="001077E9"/>
    <w:rsid w:val="00107E82"/>
    <w:rsid w:val="00107F4F"/>
    <w:rsid w:val="00110019"/>
    <w:rsid w:val="001107B2"/>
    <w:rsid w:val="00110AE9"/>
    <w:rsid w:val="0011129E"/>
    <w:rsid w:val="00111633"/>
    <w:rsid w:val="0011163B"/>
    <w:rsid w:val="00111791"/>
    <w:rsid w:val="00111DF1"/>
    <w:rsid w:val="00111F68"/>
    <w:rsid w:val="00112360"/>
    <w:rsid w:val="00112C55"/>
    <w:rsid w:val="00113120"/>
    <w:rsid w:val="00113315"/>
    <w:rsid w:val="00113B21"/>
    <w:rsid w:val="00113C26"/>
    <w:rsid w:val="00113FA4"/>
    <w:rsid w:val="00114153"/>
    <w:rsid w:val="00114255"/>
    <w:rsid w:val="001144BC"/>
    <w:rsid w:val="00114CD8"/>
    <w:rsid w:val="00114DBB"/>
    <w:rsid w:val="00114E95"/>
    <w:rsid w:val="00115716"/>
    <w:rsid w:val="00115C61"/>
    <w:rsid w:val="00115F0E"/>
    <w:rsid w:val="0011622F"/>
    <w:rsid w:val="0011648E"/>
    <w:rsid w:val="00116AF9"/>
    <w:rsid w:val="00116BDB"/>
    <w:rsid w:val="00116E8F"/>
    <w:rsid w:val="0011708B"/>
    <w:rsid w:val="001172FC"/>
    <w:rsid w:val="00117344"/>
    <w:rsid w:val="00117921"/>
    <w:rsid w:val="0012017D"/>
    <w:rsid w:val="0012087D"/>
    <w:rsid w:val="00120899"/>
    <w:rsid w:val="00120B02"/>
    <w:rsid w:val="0012107B"/>
    <w:rsid w:val="0012110D"/>
    <w:rsid w:val="0012171D"/>
    <w:rsid w:val="00122CC1"/>
    <w:rsid w:val="00123034"/>
    <w:rsid w:val="0012353F"/>
    <w:rsid w:val="0012383A"/>
    <w:rsid w:val="00123DE9"/>
    <w:rsid w:val="00123FBB"/>
    <w:rsid w:val="0012437A"/>
    <w:rsid w:val="001244BF"/>
    <w:rsid w:val="0012466B"/>
    <w:rsid w:val="00124C21"/>
    <w:rsid w:val="00124EBA"/>
    <w:rsid w:val="00125280"/>
    <w:rsid w:val="001257E7"/>
    <w:rsid w:val="00125D40"/>
    <w:rsid w:val="00126EA9"/>
    <w:rsid w:val="00127072"/>
    <w:rsid w:val="00127227"/>
    <w:rsid w:val="0012799C"/>
    <w:rsid w:val="001279A4"/>
    <w:rsid w:val="00127ACC"/>
    <w:rsid w:val="00130209"/>
    <w:rsid w:val="0013085C"/>
    <w:rsid w:val="00130C20"/>
    <w:rsid w:val="001316DD"/>
    <w:rsid w:val="001318A9"/>
    <w:rsid w:val="00132028"/>
    <w:rsid w:val="001320A4"/>
    <w:rsid w:val="00132107"/>
    <w:rsid w:val="00132830"/>
    <w:rsid w:val="00132A46"/>
    <w:rsid w:val="00132DF3"/>
    <w:rsid w:val="00133163"/>
    <w:rsid w:val="001333A8"/>
    <w:rsid w:val="0013382A"/>
    <w:rsid w:val="00133866"/>
    <w:rsid w:val="001344FB"/>
    <w:rsid w:val="001346F0"/>
    <w:rsid w:val="00134711"/>
    <w:rsid w:val="0013483C"/>
    <w:rsid w:val="00134A00"/>
    <w:rsid w:val="00134BB0"/>
    <w:rsid w:val="00134BDC"/>
    <w:rsid w:val="00134E4E"/>
    <w:rsid w:val="001350EC"/>
    <w:rsid w:val="001352CC"/>
    <w:rsid w:val="00135367"/>
    <w:rsid w:val="00135857"/>
    <w:rsid w:val="00135C34"/>
    <w:rsid w:val="00135C76"/>
    <w:rsid w:val="0013607D"/>
    <w:rsid w:val="001361EB"/>
    <w:rsid w:val="00136228"/>
    <w:rsid w:val="0013645A"/>
    <w:rsid w:val="001369EA"/>
    <w:rsid w:val="00136BE0"/>
    <w:rsid w:val="00137325"/>
    <w:rsid w:val="00137589"/>
    <w:rsid w:val="00137713"/>
    <w:rsid w:val="00137875"/>
    <w:rsid w:val="00137B83"/>
    <w:rsid w:val="00137D7A"/>
    <w:rsid w:val="00137EAD"/>
    <w:rsid w:val="001400BC"/>
    <w:rsid w:val="00140A4F"/>
    <w:rsid w:val="00141C97"/>
    <w:rsid w:val="00141F43"/>
    <w:rsid w:val="00142048"/>
    <w:rsid w:val="00142E89"/>
    <w:rsid w:val="00143B39"/>
    <w:rsid w:val="00143F56"/>
    <w:rsid w:val="001441AD"/>
    <w:rsid w:val="00144619"/>
    <w:rsid w:val="001448DE"/>
    <w:rsid w:val="00144B3D"/>
    <w:rsid w:val="00144D58"/>
    <w:rsid w:val="00145D50"/>
    <w:rsid w:val="001460DA"/>
    <w:rsid w:val="001461B3"/>
    <w:rsid w:val="001465C6"/>
    <w:rsid w:val="001466BC"/>
    <w:rsid w:val="001468DF"/>
    <w:rsid w:val="00146C75"/>
    <w:rsid w:val="00146CE3"/>
    <w:rsid w:val="00146E97"/>
    <w:rsid w:val="001471BF"/>
    <w:rsid w:val="00150775"/>
    <w:rsid w:val="00150A4D"/>
    <w:rsid w:val="00150E97"/>
    <w:rsid w:val="0015162A"/>
    <w:rsid w:val="00151A49"/>
    <w:rsid w:val="00151BAA"/>
    <w:rsid w:val="00152373"/>
    <w:rsid w:val="0015311C"/>
    <w:rsid w:val="001531AE"/>
    <w:rsid w:val="00153D90"/>
    <w:rsid w:val="001540CB"/>
    <w:rsid w:val="001548B4"/>
    <w:rsid w:val="001555FB"/>
    <w:rsid w:val="00155A4B"/>
    <w:rsid w:val="00155BA1"/>
    <w:rsid w:val="00155FA9"/>
    <w:rsid w:val="00156296"/>
    <w:rsid w:val="001565BB"/>
    <w:rsid w:val="001570E3"/>
    <w:rsid w:val="00157162"/>
    <w:rsid w:val="001575E3"/>
    <w:rsid w:val="00160086"/>
    <w:rsid w:val="001604EA"/>
    <w:rsid w:val="00160E39"/>
    <w:rsid w:val="001613F8"/>
    <w:rsid w:val="001614C9"/>
    <w:rsid w:val="0016179B"/>
    <w:rsid w:val="00161A25"/>
    <w:rsid w:val="00161F11"/>
    <w:rsid w:val="00162281"/>
    <w:rsid w:val="00162405"/>
    <w:rsid w:val="00162741"/>
    <w:rsid w:val="001627D1"/>
    <w:rsid w:val="001632AF"/>
    <w:rsid w:val="00163B9A"/>
    <w:rsid w:val="00163C5D"/>
    <w:rsid w:val="00163E8A"/>
    <w:rsid w:val="0016407B"/>
    <w:rsid w:val="00164613"/>
    <w:rsid w:val="00164CB1"/>
    <w:rsid w:val="0016538C"/>
    <w:rsid w:val="001653B1"/>
    <w:rsid w:val="001658B7"/>
    <w:rsid w:val="00166108"/>
    <w:rsid w:val="00166380"/>
    <w:rsid w:val="00166394"/>
    <w:rsid w:val="00166399"/>
    <w:rsid w:val="00166557"/>
    <w:rsid w:val="00166662"/>
    <w:rsid w:val="00166A9B"/>
    <w:rsid w:val="00167006"/>
    <w:rsid w:val="001671DF"/>
    <w:rsid w:val="001672D1"/>
    <w:rsid w:val="00167B14"/>
    <w:rsid w:val="00167DAE"/>
    <w:rsid w:val="00170179"/>
    <w:rsid w:val="0017060B"/>
    <w:rsid w:val="001708D3"/>
    <w:rsid w:val="001709D8"/>
    <w:rsid w:val="001711B4"/>
    <w:rsid w:val="0017134E"/>
    <w:rsid w:val="001714CB"/>
    <w:rsid w:val="00171A5C"/>
    <w:rsid w:val="00171BB9"/>
    <w:rsid w:val="00171C13"/>
    <w:rsid w:val="00172920"/>
    <w:rsid w:val="00173B53"/>
    <w:rsid w:val="00173E73"/>
    <w:rsid w:val="00173F68"/>
    <w:rsid w:val="001742D6"/>
    <w:rsid w:val="00174F6A"/>
    <w:rsid w:val="001751A8"/>
    <w:rsid w:val="001753CB"/>
    <w:rsid w:val="00175717"/>
    <w:rsid w:val="00175A4A"/>
    <w:rsid w:val="00175A83"/>
    <w:rsid w:val="00176A31"/>
    <w:rsid w:val="00176B7A"/>
    <w:rsid w:val="00176DBB"/>
    <w:rsid w:val="00177039"/>
    <w:rsid w:val="00177741"/>
    <w:rsid w:val="001777BD"/>
    <w:rsid w:val="00180743"/>
    <w:rsid w:val="00180B6E"/>
    <w:rsid w:val="00180CBD"/>
    <w:rsid w:val="00180D0D"/>
    <w:rsid w:val="0018157B"/>
    <w:rsid w:val="001818EB"/>
    <w:rsid w:val="00182277"/>
    <w:rsid w:val="001822A2"/>
    <w:rsid w:val="00183626"/>
    <w:rsid w:val="00183B23"/>
    <w:rsid w:val="00183D89"/>
    <w:rsid w:val="00183F80"/>
    <w:rsid w:val="00184723"/>
    <w:rsid w:val="00184D1B"/>
    <w:rsid w:val="00185017"/>
    <w:rsid w:val="00185139"/>
    <w:rsid w:val="001855CF"/>
    <w:rsid w:val="001858FC"/>
    <w:rsid w:val="00185B0B"/>
    <w:rsid w:val="00186118"/>
    <w:rsid w:val="00186F9C"/>
    <w:rsid w:val="001878FB"/>
    <w:rsid w:val="0018798E"/>
    <w:rsid w:val="00187A71"/>
    <w:rsid w:val="00187EAA"/>
    <w:rsid w:val="001906CA"/>
    <w:rsid w:val="00190A98"/>
    <w:rsid w:val="00190CB6"/>
    <w:rsid w:val="00191148"/>
    <w:rsid w:val="001919FD"/>
    <w:rsid w:val="00191CC7"/>
    <w:rsid w:val="00191EC1"/>
    <w:rsid w:val="0019219D"/>
    <w:rsid w:val="00192284"/>
    <w:rsid w:val="00192495"/>
    <w:rsid w:val="0019354D"/>
    <w:rsid w:val="001940AB"/>
    <w:rsid w:val="00194B3C"/>
    <w:rsid w:val="00194B43"/>
    <w:rsid w:val="00195120"/>
    <w:rsid w:val="001953E9"/>
    <w:rsid w:val="00195B8B"/>
    <w:rsid w:val="001969DB"/>
    <w:rsid w:val="0019758A"/>
    <w:rsid w:val="0019788A"/>
    <w:rsid w:val="00197F9A"/>
    <w:rsid w:val="001A00CC"/>
    <w:rsid w:val="001A18CE"/>
    <w:rsid w:val="001A1C60"/>
    <w:rsid w:val="001A1F38"/>
    <w:rsid w:val="001A2978"/>
    <w:rsid w:val="001A2AEB"/>
    <w:rsid w:val="001A3820"/>
    <w:rsid w:val="001A449E"/>
    <w:rsid w:val="001A47E9"/>
    <w:rsid w:val="001A4E36"/>
    <w:rsid w:val="001A4EFB"/>
    <w:rsid w:val="001A4FD6"/>
    <w:rsid w:val="001A50B9"/>
    <w:rsid w:val="001A516A"/>
    <w:rsid w:val="001A5939"/>
    <w:rsid w:val="001A5E9B"/>
    <w:rsid w:val="001A6099"/>
    <w:rsid w:val="001A651F"/>
    <w:rsid w:val="001A6776"/>
    <w:rsid w:val="001A67AC"/>
    <w:rsid w:val="001A68BE"/>
    <w:rsid w:val="001A6B43"/>
    <w:rsid w:val="001A6DA7"/>
    <w:rsid w:val="001A6DC8"/>
    <w:rsid w:val="001A7106"/>
    <w:rsid w:val="001A7574"/>
    <w:rsid w:val="001A7915"/>
    <w:rsid w:val="001A7A74"/>
    <w:rsid w:val="001A7BD5"/>
    <w:rsid w:val="001B0129"/>
    <w:rsid w:val="001B03F4"/>
    <w:rsid w:val="001B06A9"/>
    <w:rsid w:val="001B06AD"/>
    <w:rsid w:val="001B0909"/>
    <w:rsid w:val="001B0C56"/>
    <w:rsid w:val="001B0D61"/>
    <w:rsid w:val="001B16DA"/>
    <w:rsid w:val="001B1A21"/>
    <w:rsid w:val="001B1A6B"/>
    <w:rsid w:val="001B1C48"/>
    <w:rsid w:val="001B1C7E"/>
    <w:rsid w:val="001B1F57"/>
    <w:rsid w:val="001B2013"/>
    <w:rsid w:val="001B21F0"/>
    <w:rsid w:val="001B249A"/>
    <w:rsid w:val="001B2A79"/>
    <w:rsid w:val="001B2F8B"/>
    <w:rsid w:val="001B2FC4"/>
    <w:rsid w:val="001B3827"/>
    <w:rsid w:val="001B3924"/>
    <w:rsid w:val="001B3BCA"/>
    <w:rsid w:val="001B3D7A"/>
    <w:rsid w:val="001B42C4"/>
    <w:rsid w:val="001B448D"/>
    <w:rsid w:val="001B458E"/>
    <w:rsid w:val="001B4E64"/>
    <w:rsid w:val="001B4FBA"/>
    <w:rsid w:val="001B5145"/>
    <w:rsid w:val="001B648D"/>
    <w:rsid w:val="001B6712"/>
    <w:rsid w:val="001B700C"/>
    <w:rsid w:val="001B76E1"/>
    <w:rsid w:val="001B7FC6"/>
    <w:rsid w:val="001C02E4"/>
    <w:rsid w:val="001C0AF1"/>
    <w:rsid w:val="001C0BB7"/>
    <w:rsid w:val="001C0C90"/>
    <w:rsid w:val="001C138E"/>
    <w:rsid w:val="001C163B"/>
    <w:rsid w:val="001C1D76"/>
    <w:rsid w:val="001C214F"/>
    <w:rsid w:val="001C2B52"/>
    <w:rsid w:val="001C341F"/>
    <w:rsid w:val="001C40B8"/>
    <w:rsid w:val="001C463A"/>
    <w:rsid w:val="001C4974"/>
    <w:rsid w:val="001C521A"/>
    <w:rsid w:val="001C55EA"/>
    <w:rsid w:val="001C59CA"/>
    <w:rsid w:val="001C5F95"/>
    <w:rsid w:val="001C6A8E"/>
    <w:rsid w:val="001C6CDD"/>
    <w:rsid w:val="001C752B"/>
    <w:rsid w:val="001C7ECD"/>
    <w:rsid w:val="001D0278"/>
    <w:rsid w:val="001D0325"/>
    <w:rsid w:val="001D054B"/>
    <w:rsid w:val="001D0FF9"/>
    <w:rsid w:val="001D13FA"/>
    <w:rsid w:val="001D186C"/>
    <w:rsid w:val="001D1B46"/>
    <w:rsid w:val="001D1D9D"/>
    <w:rsid w:val="001D1E87"/>
    <w:rsid w:val="001D1FDC"/>
    <w:rsid w:val="001D23AF"/>
    <w:rsid w:val="001D2A7D"/>
    <w:rsid w:val="001D2D6D"/>
    <w:rsid w:val="001D31F6"/>
    <w:rsid w:val="001D36D9"/>
    <w:rsid w:val="001D4A45"/>
    <w:rsid w:val="001D4C08"/>
    <w:rsid w:val="001D4E08"/>
    <w:rsid w:val="001D56AF"/>
    <w:rsid w:val="001D58D6"/>
    <w:rsid w:val="001D5D1C"/>
    <w:rsid w:val="001D5E9A"/>
    <w:rsid w:val="001D61CD"/>
    <w:rsid w:val="001D6A5E"/>
    <w:rsid w:val="001D6AF0"/>
    <w:rsid w:val="001D6D2C"/>
    <w:rsid w:val="001D6EFF"/>
    <w:rsid w:val="001D7479"/>
    <w:rsid w:val="001D7F61"/>
    <w:rsid w:val="001E0479"/>
    <w:rsid w:val="001E0CF5"/>
    <w:rsid w:val="001E118A"/>
    <w:rsid w:val="001E1774"/>
    <w:rsid w:val="001E190C"/>
    <w:rsid w:val="001E19F4"/>
    <w:rsid w:val="001E1C22"/>
    <w:rsid w:val="001E223C"/>
    <w:rsid w:val="001E23DD"/>
    <w:rsid w:val="001E2A3E"/>
    <w:rsid w:val="001E2D52"/>
    <w:rsid w:val="001E2F61"/>
    <w:rsid w:val="001E3315"/>
    <w:rsid w:val="001E33A9"/>
    <w:rsid w:val="001E3766"/>
    <w:rsid w:val="001E3782"/>
    <w:rsid w:val="001E3B7B"/>
    <w:rsid w:val="001E4703"/>
    <w:rsid w:val="001E4E5B"/>
    <w:rsid w:val="001E66D2"/>
    <w:rsid w:val="001E6754"/>
    <w:rsid w:val="001E69F3"/>
    <w:rsid w:val="001E6D12"/>
    <w:rsid w:val="001E738A"/>
    <w:rsid w:val="001E76AE"/>
    <w:rsid w:val="001E77AC"/>
    <w:rsid w:val="001F021C"/>
    <w:rsid w:val="001F0AD5"/>
    <w:rsid w:val="001F0BC8"/>
    <w:rsid w:val="001F13A0"/>
    <w:rsid w:val="001F17C3"/>
    <w:rsid w:val="001F19F3"/>
    <w:rsid w:val="001F1A68"/>
    <w:rsid w:val="001F24E6"/>
    <w:rsid w:val="001F2734"/>
    <w:rsid w:val="001F2ABA"/>
    <w:rsid w:val="001F2B36"/>
    <w:rsid w:val="001F2C8B"/>
    <w:rsid w:val="001F2E78"/>
    <w:rsid w:val="001F2F42"/>
    <w:rsid w:val="001F41F0"/>
    <w:rsid w:val="001F50B1"/>
    <w:rsid w:val="001F51E4"/>
    <w:rsid w:val="001F5243"/>
    <w:rsid w:val="001F52BF"/>
    <w:rsid w:val="001F5C45"/>
    <w:rsid w:val="001F5DD4"/>
    <w:rsid w:val="001F6493"/>
    <w:rsid w:val="001F6601"/>
    <w:rsid w:val="001F6C1A"/>
    <w:rsid w:val="001F71CD"/>
    <w:rsid w:val="001F7B7C"/>
    <w:rsid w:val="001F7BF2"/>
    <w:rsid w:val="00200357"/>
    <w:rsid w:val="00200BE0"/>
    <w:rsid w:val="00200CDD"/>
    <w:rsid w:val="00201077"/>
    <w:rsid w:val="00201168"/>
    <w:rsid w:val="002012DE"/>
    <w:rsid w:val="002014DE"/>
    <w:rsid w:val="002017D3"/>
    <w:rsid w:val="00201D29"/>
    <w:rsid w:val="00202ABA"/>
    <w:rsid w:val="00203027"/>
    <w:rsid w:val="0020322C"/>
    <w:rsid w:val="00203245"/>
    <w:rsid w:val="002035CF"/>
    <w:rsid w:val="00203674"/>
    <w:rsid w:val="0020410D"/>
    <w:rsid w:val="002045E6"/>
    <w:rsid w:val="002046E7"/>
    <w:rsid w:val="002049F4"/>
    <w:rsid w:val="00204A47"/>
    <w:rsid w:val="00204E49"/>
    <w:rsid w:val="00205671"/>
    <w:rsid w:val="00205C0C"/>
    <w:rsid w:val="00205C8E"/>
    <w:rsid w:val="00205FEA"/>
    <w:rsid w:val="002077CF"/>
    <w:rsid w:val="00207A78"/>
    <w:rsid w:val="00207BE3"/>
    <w:rsid w:val="00207C5C"/>
    <w:rsid w:val="00207CAC"/>
    <w:rsid w:val="002104AC"/>
    <w:rsid w:val="00210657"/>
    <w:rsid w:val="00210DA3"/>
    <w:rsid w:val="00210E0E"/>
    <w:rsid w:val="002113CD"/>
    <w:rsid w:val="00211DF3"/>
    <w:rsid w:val="002128E0"/>
    <w:rsid w:val="00212A44"/>
    <w:rsid w:val="00212A7C"/>
    <w:rsid w:val="00212B72"/>
    <w:rsid w:val="002133C5"/>
    <w:rsid w:val="00213D3A"/>
    <w:rsid w:val="00213F8E"/>
    <w:rsid w:val="002141DF"/>
    <w:rsid w:val="00214328"/>
    <w:rsid w:val="00214653"/>
    <w:rsid w:val="002147F7"/>
    <w:rsid w:val="00214A5E"/>
    <w:rsid w:val="002159A5"/>
    <w:rsid w:val="0021622A"/>
    <w:rsid w:val="002169F5"/>
    <w:rsid w:val="00216AAD"/>
    <w:rsid w:val="00217281"/>
    <w:rsid w:val="00217D67"/>
    <w:rsid w:val="00217D7F"/>
    <w:rsid w:val="002206D9"/>
    <w:rsid w:val="00220BD8"/>
    <w:rsid w:val="00220CBA"/>
    <w:rsid w:val="002211D7"/>
    <w:rsid w:val="0022162C"/>
    <w:rsid w:val="0022182E"/>
    <w:rsid w:val="00221855"/>
    <w:rsid w:val="00221B2C"/>
    <w:rsid w:val="00221E03"/>
    <w:rsid w:val="00221FA6"/>
    <w:rsid w:val="0022205D"/>
    <w:rsid w:val="0022288C"/>
    <w:rsid w:val="00222BCD"/>
    <w:rsid w:val="00222D51"/>
    <w:rsid w:val="00222F0E"/>
    <w:rsid w:val="002231B8"/>
    <w:rsid w:val="002233CA"/>
    <w:rsid w:val="002234FA"/>
    <w:rsid w:val="002237A4"/>
    <w:rsid w:val="00224216"/>
    <w:rsid w:val="00224451"/>
    <w:rsid w:val="002253EE"/>
    <w:rsid w:val="00225824"/>
    <w:rsid w:val="002258DE"/>
    <w:rsid w:val="0022596A"/>
    <w:rsid w:val="00225D1A"/>
    <w:rsid w:val="00226F26"/>
    <w:rsid w:val="00226FD5"/>
    <w:rsid w:val="0022765B"/>
    <w:rsid w:val="00227DD5"/>
    <w:rsid w:val="00227F73"/>
    <w:rsid w:val="002302C6"/>
    <w:rsid w:val="00230925"/>
    <w:rsid w:val="00231034"/>
    <w:rsid w:val="0023178E"/>
    <w:rsid w:val="00231AC0"/>
    <w:rsid w:val="00231AD0"/>
    <w:rsid w:val="00231C67"/>
    <w:rsid w:val="00231EF1"/>
    <w:rsid w:val="00231FDD"/>
    <w:rsid w:val="00232162"/>
    <w:rsid w:val="002323DE"/>
    <w:rsid w:val="00232DAC"/>
    <w:rsid w:val="00232F5D"/>
    <w:rsid w:val="00233212"/>
    <w:rsid w:val="002337ED"/>
    <w:rsid w:val="002338C3"/>
    <w:rsid w:val="00233A93"/>
    <w:rsid w:val="00233F6C"/>
    <w:rsid w:val="002340BC"/>
    <w:rsid w:val="00234675"/>
    <w:rsid w:val="002351DF"/>
    <w:rsid w:val="0023540E"/>
    <w:rsid w:val="002357E8"/>
    <w:rsid w:val="00235A2E"/>
    <w:rsid w:val="002360F6"/>
    <w:rsid w:val="002363C7"/>
    <w:rsid w:val="002364CD"/>
    <w:rsid w:val="00236670"/>
    <w:rsid w:val="00236AE7"/>
    <w:rsid w:val="00237477"/>
    <w:rsid w:val="0023748A"/>
    <w:rsid w:val="002374FD"/>
    <w:rsid w:val="0023754F"/>
    <w:rsid w:val="00240B6C"/>
    <w:rsid w:val="00241375"/>
    <w:rsid w:val="00241388"/>
    <w:rsid w:val="00241577"/>
    <w:rsid w:val="00241A1C"/>
    <w:rsid w:val="00241C1F"/>
    <w:rsid w:val="00241ECD"/>
    <w:rsid w:val="00241F84"/>
    <w:rsid w:val="0024204B"/>
    <w:rsid w:val="002420ED"/>
    <w:rsid w:val="0024255F"/>
    <w:rsid w:val="00242A75"/>
    <w:rsid w:val="00242C36"/>
    <w:rsid w:val="00243674"/>
    <w:rsid w:val="00243CA2"/>
    <w:rsid w:val="00244250"/>
    <w:rsid w:val="002449F4"/>
    <w:rsid w:val="00244D6A"/>
    <w:rsid w:val="00244FE3"/>
    <w:rsid w:val="00245385"/>
    <w:rsid w:val="00246025"/>
    <w:rsid w:val="002464B6"/>
    <w:rsid w:val="002464CC"/>
    <w:rsid w:val="0024687F"/>
    <w:rsid w:val="0024699A"/>
    <w:rsid w:val="00246DD9"/>
    <w:rsid w:val="00247854"/>
    <w:rsid w:val="00249711"/>
    <w:rsid w:val="00250436"/>
    <w:rsid w:val="00250465"/>
    <w:rsid w:val="0025088A"/>
    <w:rsid w:val="00250EFF"/>
    <w:rsid w:val="00251389"/>
    <w:rsid w:val="00251F33"/>
    <w:rsid w:val="00252069"/>
    <w:rsid w:val="002523EE"/>
    <w:rsid w:val="00252944"/>
    <w:rsid w:val="00252CC9"/>
    <w:rsid w:val="00253CF6"/>
    <w:rsid w:val="00253E7F"/>
    <w:rsid w:val="00253FBC"/>
    <w:rsid w:val="002546DF"/>
    <w:rsid w:val="0025479B"/>
    <w:rsid w:val="00254A44"/>
    <w:rsid w:val="00254E08"/>
    <w:rsid w:val="00255370"/>
    <w:rsid w:val="002561F3"/>
    <w:rsid w:val="002562B8"/>
    <w:rsid w:val="00256EF2"/>
    <w:rsid w:val="002573A1"/>
    <w:rsid w:val="00257425"/>
    <w:rsid w:val="0025762A"/>
    <w:rsid w:val="0025767B"/>
    <w:rsid w:val="00257FE2"/>
    <w:rsid w:val="00260BAB"/>
    <w:rsid w:val="00260E8A"/>
    <w:rsid w:val="00261575"/>
    <w:rsid w:val="002615D4"/>
    <w:rsid w:val="00262008"/>
    <w:rsid w:val="002622D0"/>
    <w:rsid w:val="002628C5"/>
    <w:rsid w:val="00262FD0"/>
    <w:rsid w:val="00263504"/>
    <w:rsid w:val="00263904"/>
    <w:rsid w:val="002640E3"/>
    <w:rsid w:val="00264752"/>
    <w:rsid w:val="00264765"/>
    <w:rsid w:val="0026543C"/>
    <w:rsid w:val="00265BCF"/>
    <w:rsid w:val="00265E69"/>
    <w:rsid w:val="00265F6A"/>
    <w:rsid w:val="00266026"/>
    <w:rsid w:val="0026626E"/>
    <w:rsid w:val="002662D4"/>
    <w:rsid w:val="002665A9"/>
    <w:rsid w:val="00267D5F"/>
    <w:rsid w:val="00267E5D"/>
    <w:rsid w:val="002700F0"/>
    <w:rsid w:val="00270180"/>
    <w:rsid w:val="002701AB"/>
    <w:rsid w:val="00270498"/>
    <w:rsid w:val="002709A5"/>
    <w:rsid w:val="00270CB0"/>
    <w:rsid w:val="00270EDE"/>
    <w:rsid w:val="00271108"/>
    <w:rsid w:val="0027112B"/>
    <w:rsid w:val="00271556"/>
    <w:rsid w:val="0027166F"/>
    <w:rsid w:val="00271E99"/>
    <w:rsid w:val="0027232B"/>
    <w:rsid w:val="00272A54"/>
    <w:rsid w:val="00273093"/>
    <w:rsid w:val="002730C2"/>
    <w:rsid w:val="00273EEE"/>
    <w:rsid w:val="00273F68"/>
    <w:rsid w:val="00273FE8"/>
    <w:rsid w:val="00274159"/>
    <w:rsid w:val="002744A6"/>
    <w:rsid w:val="002747E8"/>
    <w:rsid w:val="0027486F"/>
    <w:rsid w:val="002748A3"/>
    <w:rsid w:val="00274A1C"/>
    <w:rsid w:val="00274E07"/>
    <w:rsid w:val="0027509C"/>
    <w:rsid w:val="002753D3"/>
    <w:rsid w:val="002754D2"/>
    <w:rsid w:val="0027599A"/>
    <w:rsid w:val="00275BE2"/>
    <w:rsid w:val="00276069"/>
    <w:rsid w:val="0027621B"/>
    <w:rsid w:val="00276502"/>
    <w:rsid w:val="00276CB5"/>
    <w:rsid w:val="00276DBF"/>
    <w:rsid w:val="002771C7"/>
    <w:rsid w:val="002771DF"/>
    <w:rsid w:val="002776AA"/>
    <w:rsid w:val="002778AC"/>
    <w:rsid w:val="00277B3E"/>
    <w:rsid w:val="00280331"/>
    <w:rsid w:val="00280618"/>
    <w:rsid w:val="00280B13"/>
    <w:rsid w:val="00280C73"/>
    <w:rsid w:val="00281064"/>
    <w:rsid w:val="002812C1"/>
    <w:rsid w:val="0028186F"/>
    <w:rsid w:val="00281AE6"/>
    <w:rsid w:val="0028201E"/>
    <w:rsid w:val="0028222F"/>
    <w:rsid w:val="00282445"/>
    <w:rsid w:val="002824FF"/>
    <w:rsid w:val="00282C8D"/>
    <w:rsid w:val="00283556"/>
    <w:rsid w:val="002835EB"/>
    <w:rsid w:val="00283780"/>
    <w:rsid w:val="0028379A"/>
    <w:rsid w:val="002838F2"/>
    <w:rsid w:val="00283AD6"/>
    <w:rsid w:val="0028475A"/>
    <w:rsid w:val="002849BD"/>
    <w:rsid w:val="00285014"/>
    <w:rsid w:val="00285347"/>
    <w:rsid w:val="00285C2D"/>
    <w:rsid w:val="00286931"/>
    <w:rsid w:val="00286F0E"/>
    <w:rsid w:val="002871E1"/>
    <w:rsid w:val="002879BA"/>
    <w:rsid w:val="0029058E"/>
    <w:rsid w:val="00290E3D"/>
    <w:rsid w:val="00290F92"/>
    <w:rsid w:val="002918A6"/>
    <w:rsid w:val="00291F21"/>
    <w:rsid w:val="00292964"/>
    <w:rsid w:val="00292D97"/>
    <w:rsid w:val="00292FE0"/>
    <w:rsid w:val="002939FF"/>
    <w:rsid w:val="00293FCC"/>
    <w:rsid w:val="00294246"/>
    <w:rsid w:val="002942EB"/>
    <w:rsid w:val="002944CD"/>
    <w:rsid w:val="00294E60"/>
    <w:rsid w:val="0029500D"/>
    <w:rsid w:val="00295186"/>
    <w:rsid w:val="00295880"/>
    <w:rsid w:val="00295F52"/>
    <w:rsid w:val="002961D3"/>
    <w:rsid w:val="0029638E"/>
    <w:rsid w:val="002963B6"/>
    <w:rsid w:val="002964A1"/>
    <w:rsid w:val="002970C8"/>
    <w:rsid w:val="0029720D"/>
    <w:rsid w:val="00297293"/>
    <w:rsid w:val="00297672"/>
    <w:rsid w:val="002978CC"/>
    <w:rsid w:val="002A03B8"/>
    <w:rsid w:val="002A08C7"/>
    <w:rsid w:val="002A0A91"/>
    <w:rsid w:val="002A0E5A"/>
    <w:rsid w:val="002A10D1"/>
    <w:rsid w:val="002A1216"/>
    <w:rsid w:val="002A124A"/>
    <w:rsid w:val="002A12A5"/>
    <w:rsid w:val="002A1460"/>
    <w:rsid w:val="002A1F62"/>
    <w:rsid w:val="002A31B6"/>
    <w:rsid w:val="002A36FE"/>
    <w:rsid w:val="002A3D6D"/>
    <w:rsid w:val="002A496B"/>
    <w:rsid w:val="002A505D"/>
    <w:rsid w:val="002A5764"/>
    <w:rsid w:val="002A5CB8"/>
    <w:rsid w:val="002A5FA8"/>
    <w:rsid w:val="002A71F0"/>
    <w:rsid w:val="002A7E54"/>
    <w:rsid w:val="002B1C5B"/>
    <w:rsid w:val="002B20FE"/>
    <w:rsid w:val="002B2374"/>
    <w:rsid w:val="002B247A"/>
    <w:rsid w:val="002B2609"/>
    <w:rsid w:val="002B2878"/>
    <w:rsid w:val="002B28BF"/>
    <w:rsid w:val="002B2EA1"/>
    <w:rsid w:val="002B2FE6"/>
    <w:rsid w:val="002B33C0"/>
    <w:rsid w:val="002B423A"/>
    <w:rsid w:val="002B4C42"/>
    <w:rsid w:val="002B4D6A"/>
    <w:rsid w:val="002B4EAC"/>
    <w:rsid w:val="002B4ED3"/>
    <w:rsid w:val="002B5253"/>
    <w:rsid w:val="002B59A9"/>
    <w:rsid w:val="002B59E2"/>
    <w:rsid w:val="002B59F2"/>
    <w:rsid w:val="002B6561"/>
    <w:rsid w:val="002B6CF0"/>
    <w:rsid w:val="002B6F81"/>
    <w:rsid w:val="002B7448"/>
    <w:rsid w:val="002B7731"/>
    <w:rsid w:val="002B7B9E"/>
    <w:rsid w:val="002B7BCE"/>
    <w:rsid w:val="002B7CE0"/>
    <w:rsid w:val="002B7DE5"/>
    <w:rsid w:val="002C01E8"/>
    <w:rsid w:val="002C080B"/>
    <w:rsid w:val="002C0853"/>
    <w:rsid w:val="002C0B38"/>
    <w:rsid w:val="002C1253"/>
    <w:rsid w:val="002C179A"/>
    <w:rsid w:val="002C1DA4"/>
    <w:rsid w:val="002C1E66"/>
    <w:rsid w:val="002C268B"/>
    <w:rsid w:val="002C2C96"/>
    <w:rsid w:val="002C2FA8"/>
    <w:rsid w:val="002C312A"/>
    <w:rsid w:val="002C3162"/>
    <w:rsid w:val="002C4C5B"/>
    <w:rsid w:val="002C4DA0"/>
    <w:rsid w:val="002C4F3C"/>
    <w:rsid w:val="002C4F6A"/>
    <w:rsid w:val="002C51E4"/>
    <w:rsid w:val="002C583C"/>
    <w:rsid w:val="002C58FB"/>
    <w:rsid w:val="002C5DED"/>
    <w:rsid w:val="002C5FAD"/>
    <w:rsid w:val="002C65AF"/>
    <w:rsid w:val="002C7843"/>
    <w:rsid w:val="002C7CF1"/>
    <w:rsid w:val="002D02AA"/>
    <w:rsid w:val="002D0600"/>
    <w:rsid w:val="002D0F50"/>
    <w:rsid w:val="002D13A6"/>
    <w:rsid w:val="002D1F8F"/>
    <w:rsid w:val="002D21DC"/>
    <w:rsid w:val="002D21EA"/>
    <w:rsid w:val="002D256F"/>
    <w:rsid w:val="002D2823"/>
    <w:rsid w:val="002D28BC"/>
    <w:rsid w:val="002D28C0"/>
    <w:rsid w:val="002D2EAE"/>
    <w:rsid w:val="002D33A6"/>
    <w:rsid w:val="002D3CBF"/>
    <w:rsid w:val="002D3F3D"/>
    <w:rsid w:val="002D462B"/>
    <w:rsid w:val="002D48CC"/>
    <w:rsid w:val="002D4CB5"/>
    <w:rsid w:val="002D5105"/>
    <w:rsid w:val="002D5681"/>
    <w:rsid w:val="002D57F9"/>
    <w:rsid w:val="002D5836"/>
    <w:rsid w:val="002D585B"/>
    <w:rsid w:val="002D5A1D"/>
    <w:rsid w:val="002D5C8E"/>
    <w:rsid w:val="002D5D93"/>
    <w:rsid w:val="002D6007"/>
    <w:rsid w:val="002D675F"/>
    <w:rsid w:val="002D6F20"/>
    <w:rsid w:val="002D7081"/>
    <w:rsid w:val="002D70BD"/>
    <w:rsid w:val="002D7132"/>
    <w:rsid w:val="002D71F8"/>
    <w:rsid w:val="002D77A7"/>
    <w:rsid w:val="002D7AE7"/>
    <w:rsid w:val="002E0757"/>
    <w:rsid w:val="002E0B06"/>
    <w:rsid w:val="002E0F55"/>
    <w:rsid w:val="002E12CC"/>
    <w:rsid w:val="002E148F"/>
    <w:rsid w:val="002E167F"/>
    <w:rsid w:val="002E17D3"/>
    <w:rsid w:val="002E1F99"/>
    <w:rsid w:val="002E227E"/>
    <w:rsid w:val="002E257A"/>
    <w:rsid w:val="002E2584"/>
    <w:rsid w:val="002E26E0"/>
    <w:rsid w:val="002E26E6"/>
    <w:rsid w:val="002E2DD5"/>
    <w:rsid w:val="002E3828"/>
    <w:rsid w:val="002E3F59"/>
    <w:rsid w:val="002E42BD"/>
    <w:rsid w:val="002E4850"/>
    <w:rsid w:val="002E5271"/>
    <w:rsid w:val="002E5504"/>
    <w:rsid w:val="002E5616"/>
    <w:rsid w:val="002E5BB6"/>
    <w:rsid w:val="002E6387"/>
    <w:rsid w:val="002E63E2"/>
    <w:rsid w:val="002E64CF"/>
    <w:rsid w:val="002E662E"/>
    <w:rsid w:val="002E67E0"/>
    <w:rsid w:val="002E69A9"/>
    <w:rsid w:val="002E6A18"/>
    <w:rsid w:val="002E6AEF"/>
    <w:rsid w:val="002E6B19"/>
    <w:rsid w:val="002E6EB7"/>
    <w:rsid w:val="002E7D63"/>
    <w:rsid w:val="002F0610"/>
    <w:rsid w:val="002F07A0"/>
    <w:rsid w:val="002F0AF1"/>
    <w:rsid w:val="002F0C5D"/>
    <w:rsid w:val="002F0F78"/>
    <w:rsid w:val="002F0FBD"/>
    <w:rsid w:val="002F1162"/>
    <w:rsid w:val="002F1521"/>
    <w:rsid w:val="002F153F"/>
    <w:rsid w:val="002F201D"/>
    <w:rsid w:val="002F2131"/>
    <w:rsid w:val="002F237A"/>
    <w:rsid w:val="002F248F"/>
    <w:rsid w:val="002F2806"/>
    <w:rsid w:val="002F2D5F"/>
    <w:rsid w:val="002F2F0C"/>
    <w:rsid w:val="002F31FA"/>
    <w:rsid w:val="002F3377"/>
    <w:rsid w:val="002F3590"/>
    <w:rsid w:val="002F39B7"/>
    <w:rsid w:val="002F3A11"/>
    <w:rsid w:val="002F40A5"/>
    <w:rsid w:val="002F4522"/>
    <w:rsid w:val="002F47FB"/>
    <w:rsid w:val="002F48AE"/>
    <w:rsid w:val="002F49F4"/>
    <w:rsid w:val="002F5AAF"/>
    <w:rsid w:val="002F5BBA"/>
    <w:rsid w:val="002F6095"/>
    <w:rsid w:val="002F6502"/>
    <w:rsid w:val="002F6950"/>
    <w:rsid w:val="002F6D20"/>
    <w:rsid w:val="002F6EB0"/>
    <w:rsid w:val="002F703E"/>
    <w:rsid w:val="002F7377"/>
    <w:rsid w:val="002F7A55"/>
    <w:rsid w:val="002F7A94"/>
    <w:rsid w:val="002F7BB3"/>
    <w:rsid w:val="00300441"/>
    <w:rsid w:val="00300592"/>
    <w:rsid w:val="00300A60"/>
    <w:rsid w:val="00300BB3"/>
    <w:rsid w:val="00300BFA"/>
    <w:rsid w:val="00300EF9"/>
    <w:rsid w:val="00301100"/>
    <w:rsid w:val="003014A8"/>
    <w:rsid w:val="00301655"/>
    <w:rsid w:val="0030198C"/>
    <w:rsid w:val="00301A7F"/>
    <w:rsid w:val="003022C7"/>
    <w:rsid w:val="0030247F"/>
    <w:rsid w:val="003025C0"/>
    <w:rsid w:val="00302701"/>
    <w:rsid w:val="00302DF5"/>
    <w:rsid w:val="00303027"/>
    <w:rsid w:val="00303131"/>
    <w:rsid w:val="003034FB"/>
    <w:rsid w:val="0030405F"/>
    <w:rsid w:val="00304392"/>
    <w:rsid w:val="00304634"/>
    <w:rsid w:val="00304ED7"/>
    <w:rsid w:val="00304F6A"/>
    <w:rsid w:val="003063A4"/>
    <w:rsid w:val="003066CD"/>
    <w:rsid w:val="0030672B"/>
    <w:rsid w:val="00306F22"/>
    <w:rsid w:val="00306F7C"/>
    <w:rsid w:val="0030728D"/>
    <w:rsid w:val="003072ED"/>
    <w:rsid w:val="0030738E"/>
    <w:rsid w:val="00307469"/>
    <w:rsid w:val="00307896"/>
    <w:rsid w:val="00307F12"/>
    <w:rsid w:val="00307F6A"/>
    <w:rsid w:val="0031007A"/>
    <w:rsid w:val="003103E0"/>
    <w:rsid w:val="003103F3"/>
    <w:rsid w:val="003105A8"/>
    <w:rsid w:val="00310801"/>
    <w:rsid w:val="00310930"/>
    <w:rsid w:val="003109E0"/>
    <w:rsid w:val="00310F08"/>
    <w:rsid w:val="003114C6"/>
    <w:rsid w:val="00311FB1"/>
    <w:rsid w:val="00312633"/>
    <w:rsid w:val="00312918"/>
    <w:rsid w:val="003129D3"/>
    <w:rsid w:val="00312C33"/>
    <w:rsid w:val="0031390A"/>
    <w:rsid w:val="00313FAB"/>
    <w:rsid w:val="00314046"/>
    <w:rsid w:val="003148A0"/>
    <w:rsid w:val="00314A3C"/>
    <w:rsid w:val="00314D83"/>
    <w:rsid w:val="00315036"/>
    <w:rsid w:val="0031530E"/>
    <w:rsid w:val="00315407"/>
    <w:rsid w:val="003159DE"/>
    <w:rsid w:val="003159F6"/>
    <w:rsid w:val="00315D00"/>
    <w:rsid w:val="003160DD"/>
    <w:rsid w:val="003164B3"/>
    <w:rsid w:val="0031659F"/>
    <w:rsid w:val="0031661E"/>
    <w:rsid w:val="00316733"/>
    <w:rsid w:val="00316E57"/>
    <w:rsid w:val="00317292"/>
    <w:rsid w:val="00317435"/>
    <w:rsid w:val="003177C0"/>
    <w:rsid w:val="003177DB"/>
    <w:rsid w:val="00317C99"/>
    <w:rsid w:val="0032039F"/>
    <w:rsid w:val="00320714"/>
    <w:rsid w:val="003207AB"/>
    <w:rsid w:val="00320AEC"/>
    <w:rsid w:val="00320CB9"/>
    <w:rsid w:val="00320EE1"/>
    <w:rsid w:val="00321004"/>
    <w:rsid w:val="003210E5"/>
    <w:rsid w:val="00321CA9"/>
    <w:rsid w:val="00321DFE"/>
    <w:rsid w:val="00322710"/>
    <w:rsid w:val="00322EC7"/>
    <w:rsid w:val="00322FC9"/>
    <w:rsid w:val="003231BF"/>
    <w:rsid w:val="0032326F"/>
    <w:rsid w:val="003232FB"/>
    <w:rsid w:val="003234B3"/>
    <w:rsid w:val="00323F16"/>
    <w:rsid w:val="003244BA"/>
    <w:rsid w:val="00324DA0"/>
    <w:rsid w:val="0032500E"/>
    <w:rsid w:val="00325364"/>
    <w:rsid w:val="00325541"/>
    <w:rsid w:val="0032572C"/>
    <w:rsid w:val="00325E3B"/>
    <w:rsid w:val="003262B4"/>
    <w:rsid w:val="00326529"/>
    <w:rsid w:val="0032674D"/>
    <w:rsid w:val="003268D9"/>
    <w:rsid w:val="00326A84"/>
    <w:rsid w:val="003278FD"/>
    <w:rsid w:val="0032794C"/>
    <w:rsid w:val="00327B1D"/>
    <w:rsid w:val="00327C55"/>
    <w:rsid w:val="0033028C"/>
    <w:rsid w:val="003302F0"/>
    <w:rsid w:val="00330498"/>
    <w:rsid w:val="00330986"/>
    <w:rsid w:val="00330A45"/>
    <w:rsid w:val="00330A8D"/>
    <w:rsid w:val="00331108"/>
    <w:rsid w:val="003313B1"/>
    <w:rsid w:val="003330A9"/>
    <w:rsid w:val="003330B9"/>
    <w:rsid w:val="00333244"/>
    <w:rsid w:val="003334B1"/>
    <w:rsid w:val="003336BF"/>
    <w:rsid w:val="00333AE0"/>
    <w:rsid w:val="00333C9A"/>
    <w:rsid w:val="00333E91"/>
    <w:rsid w:val="00333FBF"/>
    <w:rsid w:val="003347C9"/>
    <w:rsid w:val="00334C8A"/>
    <w:rsid w:val="003351C4"/>
    <w:rsid w:val="0033559C"/>
    <w:rsid w:val="0033660B"/>
    <w:rsid w:val="00336774"/>
    <w:rsid w:val="00336AC0"/>
    <w:rsid w:val="00336C95"/>
    <w:rsid w:val="00337C60"/>
    <w:rsid w:val="00337F6E"/>
    <w:rsid w:val="00340040"/>
    <w:rsid w:val="003404BB"/>
    <w:rsid w:val="00341238"/>
    <w:rsid w:val="00341D14"/>
    <w:rsid w:val="003420BC"/>
    <w:rsid w:val="003420C7"/>
    <w:rsid w:val="00342233"/>
    <w:rsid w:val="003427B4"/>
    <w:rsid w:val="0034298A"/>
    <w:rsid w:val="00342B49"/>
    <w:rsid w:val="00342F96"/>
    <w:rsid w:val="00343FF5"/>
    <w:rsid w:val="003446EC"/>
    <w:rsid w:val="00344807"/>
    <w:rsid w:val="0034484C"/>
    <w:rsid w:val="00344983"/>
    <w:rsid w:val="00344997"/>
    <w:rsid w:val="00344E7C"/>
    <w:rsid w:val="00344F44"/>
    <w:rsid w:val="00345062"/>
    <w:rsid w:val="003450E3"/>
    <w:rsid w:val="0034583F"/>
    <w:rsid w:val="003460DF"/>
    <w:rsid w:val="003469A8"/>
    <w:rsid w:val="00350255"/>
    <w:rsid w:val="00350703"/>
    <w:rsid w:val="00351986"/>
    <w:rsid w:val="00351ADF"/>
    <w:rsid w:val="00351E70"/>
    <w:rsid w:val="00352740"/>
    <w:rsid w:val="003527BC"/>
    <w:rsid w:val="00352C9E"/>
    <w:rsid w:val="00352E4D"/>
    <w:rsid w:val="00354638"/>
    <w:rsid w:val="00354673"/>
    <w:rsid w:val="0035497F"/>
    <w:rsid w:val="00354EAD"/>
    <w:rsid w:val="00354F79"/>
    <w:rsid w:val="0035502E"/>
    <w:rsid w:val="00355200"/>
    <w:rsid w:val="0035520B"/>
    <w:rsid w:val="0035542E"/>
    <w:rsid w:val="00355A20"/>
    <w:rsid w:val="00356296"/>
    <w:rsid w:val="00356C41"/>
    <w:rsid w:val="00356D54"/>
    <w:rsid w:val="00357144"/>
    <w:rsid w:val="0035719F"/>
    <w:rsid w:val="003571DD"/>
    <w:rsid w:val="003573C8"/>
    <w:rsid w:val="00357847"/>
    <w:rsid w:val="00357C23"/>
    <w:rsid w:val="00357D98"/>
    <w:rsid w:val="00357ED9"/>
    <w:rsid w:val="0036031D"/>
    <w:rsid w:val="003606D1"/>
    <w:rsid w:val="003609E8"/>
    <w:rsid w:val="00360E44"/>
    <w:rsid w:val="00360E72"/>
    <w:rsid w:val="0036108E"/>
    <w:rsid w:val="00361456"/>
    <w:rsid w:val="0036157E"/>
    <w:rsid w:val="00361AF1"/>
    <w:rsid w:val="003622CF"/>
    <w:rsid w:val="00362452"/>
    <w:rsid w:val="00362EF5"/>
    <w:rsid w:val="00363226"/>
    <w:rsid w:val="00363408"/>
    <w:rsid w:val="0036352A"/>
    <w:rsid w:val="00363BC3"/>
    <w:rsid w:val="00364229"/>
    <w:rsid w:val="003642B8"/>
    <w:rsid w:val="003644C2"/>
    <w:rsid w:val="003649F0"/>
    <w:rsid w:val="00364E66"/>
    <w:rsid w:val="003654BD"/>
    <w:rsid w:val="00365A40"/>
    <w:rsid w:val="00365C3F"/>
    <w:rsid w:val="003665DF"/>
    <w:rsid w:val="00366AE7"/>
    <w:rsid w:val="00366C5E"/>
    <w:rsid w:val="0036706B"/>
    <w:rsid w:val="00367109"/>
    <w:rsid w:val="003676CA"/>
    <w:rsid w:val="00367C78"/>
    <w:rsid w:val="00370C11"/>
    <w:rsid w:val="00370D74"/>
    <w:rsid w:val="00370FB6"/>
    <w:rsid w:val="0037128E"/>
    <w:rsid w:val="00371E31"/>
    <w:rsid w:val="0037205E"/>
    <w:rsid w:val="003723B2"/>
    <w:rsid w:val="00372662"/>
    <w:rsid w:val="003728E6"/>
    <w:rsid w:val="00372A13"/>
    <w:rsid w:val="00373528"/>
    <w:rsid w:val="00373791"/>
    <w:rsid w:val="00373ADB"/>
    <w:rsid w:val="00373BCC"/>
    <w:rsid w:val="00373C99"/>
    <w:rsid w:val="00374197"/>
    <w:rsid w:val="0037431A"/>
    <w:rsid w:val="0037435A"/>
    <w:rsid w:val="0037474E"/>
    <w:rsid w:val="0037480E"/>
    <w:rsid w:val="003748DA"/>
    <w:rsid w:val="00374B0E"/>
    <w:rsid w:val="00374D42"/>
    <w:rsid w:val="0037594E"/>
    <w:rsid w:val="00376931"/>
    <w:rsid w:val="00376AD9"/>
    <w:rsid w:val="00376B3F"/>
    <w:rsid w:val="00376C35"/>
    <w:rsid w:val="003772EE"/>
    <w:rsid w:val="0037730E"/>
    <w:rsid w:val="00377877"/>
    <w:rsid w:val="003778A3"/>
    <w:rsid w:val="00377937"/>
    <w:rsid w:val="00377F0B"/>
    <w:rsid w:val="00377F5C"/>
    <w:rsid w:val="00380374"/>
    <w:rsid w:val="003807B1"/>
    <w:rsid w:val="0038094D"/>
    <w:rsid w:val="00380E39"/>
    <w:rsid w:val="00380E92"/>
    <w:rsid w:val="00381563"/>
    <w:rsid w:val="003816ED"/>
    <w:rsid w:val="003818D2"/>
    <w:rsid w:val="00381A37"/>
    <w:rsid w:val="00381B52"/>
    <w:rsid w:val="00382A75"/>
    <w:rsid w:val="00382C96"/>
    <w:rsid w:val="0038333F"/>
    <w:rsid w:val="00383AA0"/>
    <w:rsid w:val="00383B89"/>
    <w:rsid w:val="00383D81"/>
    <w:rsid w:val="00384315"/>
    <w:rsid w:val="0038459F"/>
    <w:rsid w:val="003847ED"/>
    <w:rsid w:val="00384BE7"/>
    <w:rsid w:val="00384E42"/>
    <w:rsid w:val="00385501"/>
    <w:rsid w:val="00385979"/>
    <w:rsid w:val="0038629E"/>
    <w:rsid w:val="00386343"/>
    <w:rsid w:val="0038661A"/>
    <w:rsid w:val="00386691"/>
    <w:rsid w:val="00386720"/>
    <w:rsid w:val="003869CA"/>
    <w:rsid w:val="003877EC"/>
    <w:rsid w:val="00387EBA"/>
    <w:rsid w:val="003902C0"/>
    <w:rsid w:val="00390786"/>
    <w:rsid w:val="00390806"/>
    <w:rsid w:val="003908D9"/>
    <w:rsid w:val="00390A0E"/>
    <w:rsid w:val="00391FDD"/>
    <w:rsid w:val="00392679"/>
    <w:rsid w:val="00392781"/>
    <w:rsid w:val="0039283F"/>
    <w:rsid w:val="00392C2B"/>
    <w:rsid w:val="003938D0"/>
    <w:rsid w:val="00393AD5"/>
    <w:rsid w:val="00393C4C"/>
    <w:rsid w:val="00393E0F"/>
    <w:rsid w:val="0039409D"/>
    <w:rsid w:val="003947D7"/>
    <w:rsid w:val="003949B8"/>
    <w:rsid w:val="00394A7D"/>
    <w:rsid w:val="00394FAD"/>
    <w:rsid w:val="00395016"/>
    <w:rsid w:val="00395AA4"/>
    <w:rsid w:val="00395C25"/>
    <w:rsid w:val="00395CAE"/>
    <w:rsid w:val="00395DE6"/>
    <w:rsid w:val="00395DF3"/>
    <w:rsid w:val="003967F5"/>
    <w:rsid w:val="00396874"/>
    <w:rsid w:val="00397299"/>
    <w:rsid w:val="0039729A"/>
    <w:rsid w:val="003973C0"/>
    <w:rsid w:val="00397984"/>
    <w:rsid w:val="003979F6"/>
    <w:rsid w:val="00397BBC"/>
    <w:rsid w:val="00397CB7"/>
    <w:rsid w:val="003A01F7"/>
    <w:rsid w:val="003A0F2B"/>
    <w:rsid w:val="003A124B"/>
    <w:rsid w:val="003A12F9"/>
    <w:rsid w:val="003A142F"/>
    <w:rsid w:val="003A1E23"/>
    <w:rsid w:val="003A1FBA"/>
    <w:rsid w:val="003A2741"/>
    <w:rsid w:val="003A37BF"/>
    <w:rsid w:val="003A38AD"/>
    <w:rsid w:val="003A38C7"/>
    <w:rsid w:val="003A4327"/>
    <w:rsid w:val="003A446E"/>
    <w:rsid w:val="003A4BA9"/>
    <w:rsid w:val="003A5ABA"/>
    <w:rsid w:val="003A5FD7"/>
    <w:rsid w:val="003A6999"/>
    <w:rsid w:val="003A69E3"/>
    <w:rsid w:val="003A6B09"/>
    <w:rsid w:val="003A6D6C"/>
    <w:rsid w:val="003A7304"/>
    <w:rsid w:val="003A7394"/>
    <w:rsid w:val="003A78D7"/>
    <w:rsid w:val="003A78E4"/>
    <w:rsid w:val="003A7B87"/>
    <w:rsid w:val="003B0798"/>
    <w:rsid w:val="003B0F66"/>
    <w:rsid w:val="003B1072"/>
    <w:rsid w:val="003B1993"/>
    <w:rsid w:val="003B243A"/>
    <w:rsid w:val="003B24E0"/>
    <w:rsid w:val="003B2554"/>
    <w:rsid w:val="003B259D"/>
    <w:rsid w:val="003B2733"/>
    <w:rsid w:val="003B2CC6"/>
    <w:rsid w:val="003B3214"/>
    <w:rsid w:val="003B4114"/>
    <w:rsid w:val="003B416B"/>
    <w:rsid w:val="003B42D5"/>
    <w:rsid w:val="003B433E"/>
    <w:rsid w:val="003B4897"/>
    <w:rsid w:val="003B48C6"/>
    <w:rsid w:val="003B4FC1"/>
    <w:rsid w:val="003B582A"/>
    <w:rsid w:val="003B5AE6"/>
    <w:rsid w:val="003B5AF2"/>
    <w:rsid w:val="003B5F20"/>
    <w:rsid w:val="003B64DD"/>
    <w:rsid w:val="003B6620"/>
    <w:rsid w:val="003B68A2"/>
    <w:rsid w:val="003B7216"/>
    <w:rsid w:val="003C00A8"/>
    <w:rsid w:val="003C02D5"/>
    <w:rsid w:val="003C1934"/>
    <w:rsid w:val="003C1EA9"/>
    <w:rsid w:val="003C1FFB"/>
    <w:rsid w:val="003C22F7"/>
    <w:rsid w:val="003C365D"/>
    <w:rsid w:val="003C39C6"/>
    <w:rsid w:val="003C3DE3"/>
    <w:rsid w:val="003C3EA2"/>
    <w:rsid w:val="003C4335"/>
    <w:rsid w:val="003C4DCC"/>
    <w:rsid w:val="003C51BC"/>
    <w:rsid w:val="003C52DE"/>
    <w:rsid w:val="003C53B0"/>
    <w:rsid w:val="003C5D9E"/>
    <w:rsid w:val="003C6661"/>
    <w:rsid w:val="003C6CDA"/>
    <w:rsid w:val="003C6F72"/>
    <w:rsid w:val="003C7856"/>
    <w:rsid w:val="003C7B71"/>
    <w:rsid w:val="003D0C21"/>
    <w:rsid w:val="003D0FFA"/>
    <w:rsid w:val="003D1011"/>
    <w:rsid w:val="003D12CE"/>
    <w:rsid w:val="003D233B"/>
    <w:rsid w:val="003D2C2D"/>
    <w:rsid w:val="003D3048"/>
    <w:rsid w:val="003D31E4"/>
    <w:rsid w:val="003D36B9"/>
    <w:rsid w:val="003D400B"/>
    <w:rsid w:val="003D4106"/>
    <w:rsid w:val="003D41DF"/>
    <w:rsid w:val="003D420D"/>
    <w:rsid w:val="003D444A"/>
    <w:rsid w:val="003D5353"/>
    <w:rsid w:val="003D5535"/>
    <w:rsid w:val="003D556A"/>
    <w:rsid w:val="003D573B"/>
    <w:rsid w:val="003D5775"/>
    <w:rsid w:val="003D5F08"/>
    <w:rsid w:val="003D6133"/>
    <w:rsid w:val="003D6497"/>
    <w:rsid w:val="003D65C4"/>
    <w:rsid w:val="003D6661"/>
    <w:rsid w:val="003D66FC"/>
    <w:rsid w:val="003D69C6"/>
    <w:rsid w:val="003D726B"/>
    <w:rsid w:val="003D78B3"/>
    <w:rsid w:val="003D7E8F"/>
    <w:rsid w:val="003E00FD"/>
    <w:rsid w:val="003E05F5"/>
    <w:rsid w:val="003E0672"/>
    <w:rsid w:val="003E0D21"/>
    <w:rsid w:val="003E2099"/>
    <w:rsid w:val="003E2671"/>
    <w:rsid w:val="003E27ED"/>
    <w:rsid w:val="003E3460"/>
    <w:rsid w:val="003E3C9F"/>
    <w:rsid w:val="003E44DC"/>
    <w:rsid w:val="003E4807"/>
    <w:rsid w:val="003E4AC8"/>
    <w:rsid w:val="003E4C8E"/>
    <w:rsid w:val="003E518B"/>
    <w:rsid w:val="003E5561"/>
    <w:rsid w:val="003E55F2"/>
    <w:rsid w:val="003E60B3"/>
    <w:rsid w:val="003E62CC"/>
    <w:rsid w:val="003E62F7"/>
    <w:rsid w:val="003E6676"/>
    <w:rsid w:val="003E6E0B"/>
    <w:rsid w:val="003E6E74"/>
    <w:rsid w:val="003E6FF0"/>
    <w:rsid w:val="003E706D"/>
    <w:rsid w:val="003E71E4"/>
    <w:rsid w:val="003E75FD"/>
    <w:rsid w:val="003E7A7F"/>
    <w:rsid w:val="003F096A"/>
    <w:rsid w:val="003F1973"/>
    <w:rsid w:val="003F1D1C"/>
    <w:rsid w:val="003F1DB4"/>
    <w:rsid w:val="003F257C"/>
    <w:rsid w:val="003F2FB8"/>
    <w:rsid w:val="003F32BE"/>
    <w:rsid w:val="003F36CC"/>
    <w:rsid w:val="003F3926"/>
    <w:rsid w:val="003F4485"/>
    <w:rsid w:val="003F46FF"/>
    <w:rsid w:val="003F470F"/>
    <w:rsid w:val="003F4960"/>
    <w:rsid w:val="003F4E85"/>
    <w:rsid w:val="003F50BE"/>
    <w:rsid w:val="003F52D2"/>
    <w:rsid w:val="003F5EB2"/>
    <w:rsid w:val="003F600F"/>
    <w:rsid w:val="003F6AD7"/>
    <w:rsid w:val="003F6DB2"/>
    <w:rsid w:val="003F71DB"/>
    <w:rsid w:val="003F72CD"/>
    <w:rsid w:val="003F73EE"/>
    <w:rsid w:val="003F7623"/>
    <w:rsid w:val="004004B7"/>
    <w:rsid w:val="0040084E"/>
    <w:rsid w:val="004009D3"/>
    <w:rsid w:val="00400A09"/>
    <w:rsid w:val="00400A7A"/>
    <w:rsid w:val="00400CC1"/>
    <w:rsid w:val="00400E42"/>
    <w:rsid w:val="004013ED"/>
    <w:rsid w:val="00401568"/>
    <w:rsid w:val="00401930"/>
    <w:rsid w:val="0040196C"/>
    <w:rsid w:val="00401F3A"/>
    <w:rsid w:val="0040205C"/>
    <w:rsid w:val="0040231F"/>
    <w:rsid w:val="004028C0"/>
    <w:rsid w:val="004031CC"/>
    <w:rsid w:val="00403381"/>
    <w:rsid w:val="00403419"/>
    <w:rsid w:val="004036E5"/>
    <w:rsid w:val="004036FE"/>
    <w:rsid w:val="00403DCF"/>
    <w:rsid w:val="00403E33"/>
    <w:rsid w:val="00404119"/>
    <w:rsid w:val="00404195"/>
    <w:rsid w:val="004043C7"/>
    <w:rsid w:val="004044CE"/>
    <w:rsid w:val="0040553E"/>
    <w:rsid w:val="004055BC"/>
    <w:rsid w:val="00405A5C"/>
    <w:rsid w:val="00405E65"/>
    <w:rsid w:val="004060ED"/>
    <w:rsid w:val="00406534"/>
    <w:rsid w:val="00406642"/>
    <w:rsid w:val="00406CC3"/>
    <w:rsid w:val="00406E38"/>
    <w:rsid w:val="004078D7"/>
    <w:rsid w:val="00407909"/>
    <w:rsid w:val="004100D9"/>
    <w:rsid w:val="0041034A"/>
    <w:rsid w:val="0041072E"/>
    <w:rsid w:val="0041092E"/>
    <w:rsid w:val="00410B1F"/>
    <w:rsid w:val="00411195"/>
    <w:rsid w:val="004113C7"/>
    <w:rsid w:val="0041149F"/>
    <w:rsid w:val="00411883"/>
    <w:rsid w:val="00411A49"/>
    <w:rsid w:val="00411EA7"/>
    <w:rsid w:val="00412067"/>
    <w:rsid w:val="00412356"/>
    <w:rsid w:val="00412691"/>
    <w:rsid w:val="00412D20"/>
    <w:rsid w:val="00412E1F"/>
    <w:rsid w:val="0041323F"/>
    <w:rsid w:val="00413485"/>
    <w:rsid w:val="004137EA"/>
    <w:rsid w:val="00413B79"/>
    <w:rsid w:val="0041434A"/>
    <w:rsid w:val="004147CA"/>
    <w:rsid w:val="004148AF"/>
    <w:rsid w:val="00414F05"/>
    <w:rsid w:val="004151CA"/>
    <w:rsid w:val="0041540C"/>
    <w:rsid w:val="00415BBF"/>
    <w:rsid w:val="00416622"/>
    <w:rsid w:val="00416BD5"/>
    <w:rsid w:val="00416F96"/>
    <w:rsid w:val="00417072"/>
    <w:rsid w:val="00417117"/>
    <w:rsid w:val="00417259"/>
    <w:rsid w:val="00417786"/>
    <w:rsid w:val="00417AFF"/>
    <w:rsid w:val="00417BAC"/>
    <w:rsid w:val="00417C89"/>
    <w:rsid w:val="00417F73"/>
    <w:rsid w:val="00417F9C"/>
    <w:rsid w:val="004201ED"/>
    <w:rsid w:val="004205AC"/>
    <w:rsid w:val="00420937"/>
    <w:rsid w:val="00421249"/>
    <w:rsid w:val="004216B5"/>
    <w:rsid w:val="00421762"/>
    <w:rsid w:val="00421B47"/>
    <w:rsid w:val="00421FA8"/>
    <w:rsid w:val="004223FE"/>
    <w:rsid w:val="004225B7"/>
    <w:rsid w:val="00422C07"/>
    <w:rsid w:val="00422C2E"/>
    <w:rsid w:val="00422DFC"/>
    <w:rsid w:val="00422F16"/>
    <w:rsid w:val="004232E5"/>
    <w:rsid w:val="004235C1"/>
    <w:rsid w:val="004237B8"/>
    <w:rsid w:val="00423D6B"/>
    <w:rsid w:val="00423F45"/>
    <w:rsid w:val="00423F87"/>
    <w:rsid w:val="0042487F"/>
    <w:rsid w:val="0042514B"/>
    <w:rsid w:val="004252FA"/>
    <w:rsid w:val="00425455"/>
    <w:rsid w:val="0042555A"/>
    <w:rsid w:val="004257EB"/>
    <w:rsid w:val="004263F3"/>
    <w:rsid w:val="004264B9"/>
    <w:rsid w:val="0042651A"/>
    <w:rsid w:val="00426D34"/>
    <w:rsid w:val="0042735B"/>
    <w:rsid w:val="004276BB"/>
    <w:rsid w:val="00427990"/>
    <w:rsid w:val="00430063"/>
    <w:rsid w:val="004300F7"/>
    <w:rsid w:val="0043013E"/>
    <w:rsid w:val="004303F6"/>
    <w:rsid w:val="00430954"/>
    <w:rsid w:val="00430BDD"/>
    <w:rsid w:val="00430FF2"/>
    <w:rsid w:val="00431033"/>
    <w:rsid w:val="00431163"/>
    <w:rsid w:val="004315A0"/>
    <w:rsid w:val="004316E3"/>
    <w:rsid w:val="004318AB"/>
    <w:rsid w:val="00431A17"/>
    <w:rsid w:val="00431C53"/>
    <w:rsid w:val="00431DFA"/>
    <w:rsid w:val="004322F3"/>
    <w:rsid w:val="0043265F"/>
    <w:rsid w:val="00432B57"/>
    <w:rsid w:val="00433166"/>
    <w:rsid w:val="0043340C"/>
    <w:rsid w:val="004335D2"/>
    <w:rsid w:val="00433631"/>
    <w:rsid w:val="00433710"/>
    <w:rsid w:val="00433881"/>
    <w:rsid w:val="00433CAB"/>
    <w:rsid w:val="00433FC3"/>
    <w:rsid w:val="0043461A"/>
    <w:rsid w:val="0043484D"/>
    <w:rsid w:val="00434BE0"/>
    <w:rsid w:val="00434C8D"/>
    <w:rsid w:val="00434D43"/>
    <w:rsid w:val="00434E7D"/>
    <w:rsid w:val="00435188"/>
    <w:rsid w:val="00435D3B"/>
    <w:rsid w:val="0043604F"/>
    <w:rsid w:val="0043631D"/>
    <w:rsid w:val="00436464"/>
    <w:rsid w:val="00436A4E"/>
    <w:rsid w:val="00437148"/>
    <w:rsid w:val="00437436"/>
    <w:rsid w:val="00437469"/>
    <w:rsid w:val="004375FA"/>
    <w:rsid w:val="00437759"/>
    <w:rsid w:val="0043783E"/>
    <w:rsid w:val="0043792D"/>
    <w:rsid w:val="00437DD4"/>
    <w:rsid w:val="00440769"/>
    <w:rsid w:val="004407C6"/>
    <w:rsid w:val="00440FD7"/>
    <w:rsid w:val="0044106D"/>
    <w:rsid w:val="004413C4"/>
    <w:rsid w:val="00441917"/>
    <w:rsid w:val="0044195B"/>
    <w:rsid w:val="00441F33"/>
    <w:rsid w:val="004426B5"/>
    <w:rsid w:val="00442AB5"/>
    <w:rsid w:val="00442E09"/>
    <w:rsid w:val="004430D5"/>
    <w:rsid w:val="00443C3A"/>
    <w:rsid w:val="00443FE4"/>
    <w:rsid w:val="00444386"/>
    <w:rsid w:val="004444E0"/>
    <w:rsid w:val="0044451E"/>
    <w:rsid w:val="00444BAA"/>
    <w:rsid w:val="004450A1"/>
    <w:rsid w:val="004450F5"/>
    <w:rsid w:val="00445237"/>
    <w:rsid w:val="004456F8"/>
    <w:rsid w:val="0044679F"/>
    <w:rsid w:val="00446805"/>
    <w:rsid w:val="004468D5"/>
    <w:rsid w:val="00446D37"/>
    <w:rsid w:val="00446F08"/>
    <w:rsid w:val="004470C1"/>
    <w:rsid w:val="0044736C"/>
    <w:rsid w:val="0044749F"/>
    <w:rsid w:val="004475E6"/>
    <w:rsid w:val="004476B7"/>
    <w:rsid w:val="00447725"/>
    <w:rsid w:val="00447B94"/>
    <w:rsid w:val="00450388"/>
    <w:rsid w:val="0045075A"/>
    <w:rsid w:val="00450C0E"/>
    <w:rsid w:val="00450E3A"/>
    <w:rsid w:val="00450FDC"/>
    <w:rsid w:val="0045114D"/>
    <w:rsid w:val="00451282"/>
    <w:rsid w:val="0045132D"/>
    <w:rsid w:val="00451B57"/>
    <w:rsid w:val="00451D17"/>
    <w:rsid w:val="00452521"/>
    <w:rsid w:val="0045292B"/>
    <w:rsid w:val="00452D4A"/>
    <w:rsid w:val="00452F4E"/>
    <w:rsid w:val="00453135"/>
    <w:rsid w:val="004535E6"/>
    <w:rsid w:val="00453BAB"/>
    <w:rsid w:val="0045596B"/>
    <w:rsid w:val="00455B0E"/>
    <w:rsid w:val="00455CD5"/>
    <w:rsid w:val="00455F98"/>
    <w:rsid w:val="0045656A"/>
    <w:rsid w:val="004569AF"/>
    <w:rsid w:val="00456C73"/>
    <w:rsid w:val="00456EA6"/>
    <w:rsid w:val="004578AF"/>
    <w:rsid w:val="00457B7D"/>
    <w:rsid w:val="00457C0F"/>
    <w:rsid w:val="00457C5A"/>
    <w:rsid w:val="00457FF8"/>
    <w:rsid w:val="00460315"/>
    <w:rsid w:val="00460893"/>
    <w:rsid w:val="00460C77"/>
    <w:rsid w:val="00460C8E"/>
    <w:rsid w:val="00460FB2"/>
    <w:rsid w:val="0046164A"/>
    <w:rsid w:val="00461B01"/>
    <w:rsid w:val="00462374"/>
    <w:rsid w:val="004623D6"/>
    <w:rsid w:val="00462532"/>
    <w:rsid w:val="00462D32"/>
    <w:rsid w:val="00462D4F"/>
    <w:rsid w:val="00462DEF"/>
    <w:rsid w:val="00462FD1"/>
    <w:rsid w:val="0046377D"/>
    <w:rsid w:val="004639A7"/>
    <w:rsid w:val="00463F00"/>
    <w:rsid w:val="0046443B"/>
    <w:rsid w:val="0046444D"/>
    <w:rsid w:val="0046462F"/>
    <w:rsid w:val="004649E8"/>
    <w:rsid w:val="00465322"/>
    <w:rsid w:val="0046541D"/>
    <w:rsid w:val="00465657"/>
    <w:rsid w:val="0046583B"/>
    <w:rsid w:val="00465A84"/>
    <w:rsid w:val="00465EEE"/>
    <w:rsid w:val="004664BA"/>
    <w:rsid w:val="0046668B"/>
    <w:rsid w:val="0046680B"/>
    <w:rsid w:val="00466820"/>
    <w:rsid w:val="00467199"/>
    <w:rsid w:val="00467360"/>
    <w:rsid w:val="00467589"/>
    <w:rsid w:val="00467996"/>
    <w:rsid w:val="00467B12"/>
    <w:rsid w:val="00467D7C"/>
    <w:rsid w:val="00470347"/>
    <w:rsid w:val="00470BDD"/>
    <w:rsid w:val="00470D08"/>
    <w:rsid w:val="00470E0B"/>
    <w:rsid w:val="00470E66"/>
    <w:rsid w:val="00470FA0"/>
    <w:rsid w:val="004711BC"/>
    <w:rsid w:val="00471243"/>
    <w:rsid w:val="00471812"/>
    <w:rsid w:val="0047193D"/>
    <w:rsid w:val="00471A1B"/>
    <w:rsid w:val="00472540"/>
    <w:rsid w:val="00472D88"/>
    <w:rsid w:val="0047396B"/>
    <w:rsid w:val="00473D48"/>
    <w:rsid w:val="00474B44"/>
    <w:rsid w:val="00474B98"/>
    <w:rsid w:val="00474D99"/>
    <w:rsid w:val="00474F89"/>
    <w:rsid w:val="00475279"/>
    <w:rsid w:val="004765BD"/>
    <w:rsid w:val="00476970"/>
    <w:rsid w:val="0047743C"/>
    <w:rsid w:val="00477886"/>
    <w:rsid w:val="004778BD"/>
    <w:rsid w:val="004800AE"/>
    <w:rsid w:val="004802D1"/>
    <w:rsid w:val="004803BF"/>
    <w:rsid w:val="0048053E"/>
    <w:rsid w:val="0048086F"/>
    <w:rsid w:val="00480C81"/>
    <w:rsid w:val="00480DCE"/>
    <w:rsid w:val="00481171"/>
    <w:rsid w:val="00481812"/>
    <w:rsid w:val="00481D35"/>
    <w:rsid w:val="00482479"/>
    <w:rsid w:val="00482DE7"/>
    <w:rsid w:val="004831E8"/>
    <w:rsid w:val="0048329B"/>
    <w:rsid w:val="004833EB"/>
    <w:rsid w:val="0048359E"/>
    <w:rsid w:val="004838A5"/>
    <w:rsid w:val="00483AFA"/>
    <w:rsid w:val="00484137"/>
    <w:rsid w:val="0048448F"/>
    <w:rsid w:val="004844FC"/>
    <w:rsid w:val="004845CA"/>
    <w:rsid w:val="00484B77"/>
    <w:rsid w:val="00484EB2"/>
    <w:rsid w:val="00485021"/>
    <w:rsid w:val="0048529A"/>
    <w:rsid w:val="004857B2"/>
    <w:rsid w:val="0048585E"/>
    <w:rsid w:val="00485F2F"/>
    <w:rsid w:val="0048680C"/>
    <w:rsid w:val="00486AFA"/>
    <w:rsid w:val="00486ECC"/>
    <w:rsid w:val="00486FF4"/>
    <w:rsid w:val="00487F42"/>
    <w:rsid w:val="00487FEC"/>
    <w:rsid w:val="004902EB"/>
    <w:rsid w:val="00490BAC"/>
    <w:rsid w:val="00490D47"/>
    <w:rsid w:val="00490F71"/>
    <w:rsid w:val="004918C8"/>
    <w:rsid w:val="00491A78"/>
    <w:rsid w:val="00491BCA"/>
    <w:rsid w:val="0049246D"/>
    <w:rsid w:val="00492572"/>
    <w:rsid w:val="004926AB"/>
    <w:rsid w:val="00492B03"/>
    <w:rsid w:val="00492DDF"/>
    <w:rsid w:val="00492F89"/>
    <w:rsid w:val="004930C6"/>
    <w:rsid w:val="00493107"/>
    <w:rsid w:val="00493305"/>
    <w:rsid w:val="00493447"/>
    <w:rsid w:val="00493525"/>
    <w:rsid w:val="004935D2"/>
    <w:rsid w:val="00493966"/>
    <w:rsid w:val="00493A9D"/>
    <w:rsid w:val="00493FA6"/>
    <w:rsid w:val="0049480D"/>
    <w:rsid w:val="00495205"/>
    <w:rsid w:val="00495607"/>
    <w:rsid w:val="00495A31"/>
    <w:rsid w:val="00495AF1"/>
    <w:rsid w:val="00495C00"/>
    <w:rsid w:val="00495DC4"/>
    <w:rsid w:val="00496374"/>
    <w:rsid w:val="004963ED"/>
    <w:rsid w:val="00497074"/>
    <w:rsid w:val="004972F4"/>
    <w:rsid w:val="0049751F"/>
    <w:rsid w:val="004975A3"/>
    <w:rsid w:val="00497917"/>
    <w:rsid w:val="00497AED"/>
    <w:rsid w:val="004A006F"/>
    <w:rsid w:val="004A0093"/>
    <w:rsid w:val="004A0165"/>
    <w:rsid w:val="004A06B4"/>
    <w:rsid w:val="004A06CC"/>
    <w:rsid w:val="004A0789"/>
    <w:rsid w:val="004A0FAB"/>
    <w:rsid w:val="004A1376"/>
    <w:rsid w:val="004A1982"/>
    <w:rsid w:val="004A1B9A"/>
    <w:rsid w:val="004A1DB6"/>
    <w:rsid w:val="004A2297"/>
    <w:rsid w:val="004A2958"/>
    <w:rsid w:val="004A32A6"/>
    <w:rsid w:val="004A37E0"/>
    <w:rsid w:val="004A4105"/>
    <w:rsid w:val="004A4A29"/>
    <w:rsid w:val="004A4C9F"/>
    <w:rsid w:val="004A4CCB"/>
    <w:rsid w:val="004A51B3"/>
    <w:rsid w:val="004A59DD"/>
    <w:rsid w:val="004A60D0"/>
    <w:rsid w:val="004A6D0E"/>
    <w:rsid w:val="004A6EFC"/>
    <w:rsid w:val="004A715B"/>
    <w:rsid w:val="004A799E"/>
    <w:rsid w:val="004A7A16"/>
    <w:rsid w:val="004A7B99"/>
    <w:rsid w:val="004B0354"/>
    <w:rsid w:val="004B0E33"/>
    <w:rsid w:val="004B0E7A"/>
    <w:rsid w:val="004B16A2"/>
    <w:rsid w:val="004B19C9"/>
    <w:rsid w:val="004B1A1C"/>
    <w:rsid w:val="004B1B6A"/>
    <w:rsid w:val="004B1FA2"/>
    <w:rsid w:val="004B25A5"/>
    <w:rsid w:val="004B26B2"/>
    <w:rsid w:val="004B2AB4"/>
    <w:rsid w:val="004B3596"/>
    <w:rsid w:val="004B37A9"/>
    <w:rsid w:val="004B39B0"/>
    <w:rsid w:val="004B3F00"/>
    <w:rsid w:val="004B42D0"/>
    <w:rsid w:val="004B44FB"/>
    <w:rsid w:val="004B4555"/>
    <w:rsid w:val="004B4CBE"/>
    <w:rsid w:val="004B509D"/>
    <w:rsid w:val="004B50E7"/>
    <w:rsid w:val="004B53DC"/>
    <w:rsid w:val="004B5488"/>
    <w:rsid w:val="004B5651"/>
    <w:rsid w:val="004B58A8"/>
    <w:rsid w:val="004B63D1"/>
    <w:rsid w:val="004B6A2A"/>
    <w:rsid w:val="004B6F5A"/>
    <w:rsid w:val="004B71D9"/>
    <w:rsid w:val="004B770B"/>
    <w:rsid w:val="004B7A4C"/>
    <w:rsid w:val="004B7E6F"/>
    <w:rsid w:val="004C0227"/>
    <w:rsid w:val="004C085D"/>
    <w:rsid w:val="004C1479"/>
    <w:rsid w:val="004C19E7"/>
    <w:rsid w:val="004C23C3"/>
    <w:rsid w:val="004C2D03"/>
    <w:rsid w:val="004C2FD5"/>
    <w:rsid w:val="004C3A08"/>
    <w:rsid w:val="004C3E5B"/>
    <w:rsid w:val="004C3E97"/>
    <w:rsid w:val="004C4E8D"/>
    <w:rsid w:val="004C4EC2"/>
    <w:rsid w:val="004C4FC4"/>
    <w:rsid w:val="004C550F"/>
    <w:rsid w:val="004C59E5"/>
    <w:rsid w:val="004C5F0A"/>
    <w:rsid w:val="004C6220"/>
    <w:rsid w:val="004C642F"/>
    <w:rsid w:val="004C681F"/>
    <w:rsid w:val="004C6AEE"/>
    <w:rsid w:val="004C7A37"/>
    <w:rsid w:val="004C7BF4"/>
    <w:rsid w:val="004C7D6C"/>
    <w:rsid w:val="004C7DF5"/>
    <w:rsid w:val="004D070C"/>
    <w:rsid w:val="004D14CD"/>
    <w:rsid w:val="004D1620"/>
    <w:rsid w:val="004D1742"/>
    <w:rsid w:val="004D23BB"/>
    <w:rsid w:val="004D279E"/>
    <w:rsid w:val="004D2C1B"/>
    <w:rsid w:val="004D32D6"/>
    <w:rsid w:val="004D3667"/>
    <w:rsid w:val="004D3915"/>
    <w:rsid w:val="004D3B10"/>
    <w:rsid w:val="004D4099"/>
    <w:rsid w:val="004D4257"/>
    <w:rsid w:val="004D4375"/>
    <w:rsid w:val="004D44D8"/>
    <w:rsid w:val="004D4657"/>
    <w:rsid w:val="004D483A"/>
    <w:rsid w:val="004D5064"/>
    <w:rsid w:val="004D5114"/>
    <w:rsid w:val="004D55E0"/>
    <w:rsid w:val="004D5721"/>
    <w:rsid w:val="004D57B2"/>
    <w:rsid w:val="004D6517"/>
    <w:rsid w:val="004D7175"/>
    <w:rsid w:val="004D73B9"/>
    <w:rsid w:val="004D7472"/>
    <w:rsid w:val="004D7590"/>
    <w:rsid w:val="004D7C8F"/>
    <w:rsid w:val="004D7F18"/>
    <w:rsid w:val="004E03E4"/>
    <w:rsid w:val="004E0696"/>
    <w:rsid w:val="004E094C"/>
    <w:rsid w:val="004E14DA"/>
    <w:rsid w:val="004E1C17"/>
    <w:rsid w:val="004E1DA0"/>
    <w:rsid w:val="004E227A"/>
    <w:rsid w:val="004E2927"/>
    <w:rsid w:val="004E2B56"/>
    <w:rsid w:val="004E2D78"/>
    <w:rsid w:val="004E33BC"/>
    <w:rsid w:val="004E39B5"/>
    <w:rsid w:val="004E3A3D"/>
    <w:rsid w:val="004E4930"/>
    <w:rsid w:val="004E5542"/>
    <w:rsid w:val="004E584A"/>
    <w:rsid w:val="004E63C6"/>
    <w:rsid w:val="004E6B30"/>
    <w:rsid w:val="004E6E96"/>
    <w:rsid w:val="004E72BB"/>
    <w:rsid w:val="004E7B2F"/>
    <w:rsid w:val="004F08C4"/>
    <w:rsid w:val="004F0C5C"/>
    <w:rsid w:val="004F11AA"/>
    <w:rsid w:val="004F18A0"/>
    <w:rsid w:val="004F190B"/>
    <w:rsid w:val="004F21FD"/>
    <w:rsid w:val="004F26AF"/>
    <w:rsid w:val="004F2ADE"/>
    <w:rsid w:val="004F2D47"/>
    <w:rsid w:val="004F34F1"/>
    <w:rsid w:val="004F3B7A"/>
    <w:rsid w:val="004F3DA6"/>
    <w:rsid w:val="004F5184"/>
    <w:rsid w:val="004F5305"/>
    <w:rsid w:val="004F548D"/>
    <w:rsid w:val="004F58B5"/>
    <w:rsid w:val="004F5D8B"/>
    <w:rsid w:val="004F5D96"/>
    <w:rsid w:val="00500098"/>
    <w:rsid w:val="00500200"/>
    <w:rsid w:val="0050030E"/>
    <w:rsid w:val="00500545"/>
    <w:rsid w:val="0050056D"/>
    <w:rsid w:val="00500605"/>
    <w:rsid w:val="00500685"/>
    <w:rsid w:val="00500900"/>
    <w:rsid w:val="00500B12"/>
    <w:rsid w:val="00500B6B"/>
    <w:rsid w:val="00500E94"/>
    <w:rsid w:val="00500F0E"/>
    <w:rsid w:val="005010C9"/>
    <w:rsid w:val="0050131E"/>
    <w:rsid w:val="00501531"/>
    <w:rsid w:val="00501674"/>
    <w:rsid w:val="0050197D"/>
    <w:rsid w:val="005019B1"/>
    <w:rsid w:val="00501E57"/>
    <w:rsid w:val="00502A31"/>
    <w:rsid w:val="0050355B"/>
    <w:rsid w:val="00503776"/>
    <w:rsid w:val="005038ED"/>
    <w:rsid w:val="0050397C"/>
    <w:rsid w:val="00505A47"/>
    <w:rsid w:val="005064B5"/>
    <w:rsid w:val="005068A3"/>
    <w:rsid w:val="00506A39"/>
    <w:rsid w:val="00506F44"/>
    <w:rsid w:val="0050783A"/>
    <w:rsid w:val="00507A5F"/>
    <w:rsid w:val="00507DCB"/>
    <w:rsid w:val="00507E05"/>
    <w:rsid w:val="005106A4"/>
    <w:rsid w:val="00510C06"/>
    <w:rsid w:val="00510D90"/>
    <w:rsid w:val="00510ED7"/>
    <w:rsid w:val="00510EDC"/>
    <w:rsid w:val="0051161B"/>
    <w:rsid w:val="00511622"/>
    <w:rsid w:val="0051193B"/>
    <w:rsid w:val="00511F5B"/>
    <w:rsid w:val="005125FE"/>
    <w:rsid w:val="005128AF"/>
    <w:rsid w:val="005130A0"/>
    <w:rsid w:val="00513484"/>
    <w:rsid w:val="00513680"/>
    <w:rsid w:val="005136B6"/>
    <w:rsid w:val="00513C83"/>
    <w:rsid w:val="00513C98"/>
    <w:rsid w:val="00514CD9"/>
    <w:rsid w:val="00514CE2"/>
    <w:rsid w:val="00514F95"/>
    <w:rsid w:val="005150A2"/>
    <w:rsid w:val="0051518F"/>
    <w:rsid w:val="00515239"/>
    <w:rsid w:val="00515F45"/>
    <w:rsid w:val="00516113"/>
    <w:rsid w:val="005166FC"/>
    <w:rsid w:val="005167E1"/>
    <w:rsid w:val="0051747C"/>
    <w:rsid w:val="0051756B"/>
    <w:rsid w:val="005179CC"/>
    <w:rsid w:val="00517E65"/>
    <w:rsid w:val="005206F8"/>
    <w:rsid w:val="00521C92"/>
    <w:rsid w:val="00521EA0"/>
    <w:rsid w:val="005222EF"/>
    <w:rsid w:val="00522966"/>
    <w:rsid w:val="00523133"/>
    <w:rsid w:val="0052347D"/>
    <w:rsid w:val="005235B5"/>
    <w:rsid w:val="005237D3"/>
    <w:rsid w:val="00523A65"/>
    <w:rsid w:val="005245D9"/>
    <w:rsid w:val="00524E1F"/>
    <w:rsid w:val="00524F37"/>
    <w:rsid w:val="005255BB"/>
    <w:rsid w:val="005255D0"/>
    <w:rsid w:val="00525F49"/>
    <w:rsid w:val="00526153"/>
    <w:rsid w:val="005261E5"/>
    <w:rsid w:val="005266F4"/>
    <w:rsid w:val="00526DC1"/>
    <w:rsid w:val="00526FA3"/>
    <w:rsid w:val="00526FEA"/>
    <w:rsid w:val="0052702D"/>
    <w:rsid w:val="005277C4"/>
    <w:rsid w:val="00527ADE"/>
    <w:rsid w:val="00527CBF"/>
    <w:rsid w:val="00530723"/>
    <w:rsid w:val="0053111A"/>
    <w:rsid w:val="005311CE"/>
    <w:rsid w:val="0053155D"/>
    <w:rsid w:val="00531767"/>
    <w:rsid w:val="005319E0"/>
    <w:rsid w:val="00531CCD"/>
    <w:rsid w:val="0053209A"/>
    <w:rsid w:val="005322D8"/>
    <w:rsid w:val="00532B69"/>
    <w:rsid w:val="0053377C"/>
    <w:rsid w:val="00533B9B"/>
    <w:rsid w:val="00533D4E"/>
    <w:rsid w:val="00534001"/>
    <w:rsid w:val="005341AD"/>
    <w:rsid w:val="00534F17"/>
    <w:rsid w:val="00535213"/>
    <w:rsid w:val="005358EA"/>
    <w:rsid w:val="00535BB1"/>
    <w:rsid w:val="00536064"/>
    <w:rsid w:val="005366FD"/>
    <w:rsid w:val="00536850"/>
    <w:rsid w:val="00536B30"/>
    <w:rsid w:val="0053738B"/>
    <w:rsid w:val="005405F6"/>
    <w:rsid w:val="0054064A"/>
    <w:rsid w:val="005407C6"/>
    <w:rsid w:val="00540890"/>
    <w:rsid w:val="00540E9A"/>
    <w:rsid w:val="00541169"/>
    <w:rsid w:val="00541989"/>
    <w:rsid w:val="005419B2"/>
    <w:rsid w:val="00541A70"/>
    <w:rsid w:val="00541DEF"/>
    <w:rsid w:val="00541E96"/>
    <w:rsid w:val="005424A4"/>
    <w:rsid w:val="005425DE"/>
    <w:rsid w:val="00542A13"/>
    <w:rsid w:val="005430F5"/>
    <w:rsid w:val="00543775"/>
    <w:rsid w:val="005438BE"/>
    <w:rsid w:val="005439CB"/>
    <w:rsid w:val="005439D8"/>
    <w:rsid w:val="00543D39"/>
    <w:rsid w:val="00544201"/>
    <w:rsid w:val="005444AF"/>
    <w:rsid w:val="00544D58"/>
    <w:rsid w:val="00545152"/>
    <w:rsid w:val="00545E51"/>
    <w:rsid w:val="00545EE7"/>
    <w:rsid w:val="005462D3"/>
    <w:rsid w:val="00546E9E"/>
    <w:rsid w:val="00547376"/>
    <w:rsid w:val="00547551"/>
    <w:rsid w:val="00547C36"/>
    <w:rsid w:val="00550075"/>
    <w:rsid w:val="0055018B"/>
    <w:rsid w:val="0055032B"/>
    <w:rsid w:val="0055048C"/>
    <w:rsid w:val="00550F9C"/>
    <w:rsid w:val="0055142B"/>
    <w:rsid w:val="0055147C"/>
    <w:rsid w:val="00551563"/>
    <w:rsid w:val="00551720"/>
    <w:rsid w:val="00551CE9"/>
    <w:rsid w:val="00552136"/>
    <w:rsid w:val="0055235C"/>
    <w:rsid w:val="005529E6"/>
    <w:rsid w:val="00553664"/>
    <w:rsid w:val="00553783"/>
    <w:rsid w:val="005537D4"/>
    <w:rsid w:val="00553EC7"/>
    <w:rsid w:val="00554249"/>
    <w:rsid w:val="00554320"/>
    <w:rsid w:val="005548A3"/>
    <w:rsid w:val="00554D96"/>
    <w:rsid w:val="00554E52"/>
    <w:rsid w:val="00554E5E"/>
    <w:rsid w:val="0055586F"/>
    <w:rsid w:val="00555BD7"/>
    <w:rsid w:val="00556465"/>
    <w:rsid w:val="005564C0"/>
    <w:rsid w:val="005567E6"/>
    <w:rsid w:val="00556886"/>
    <w:rsid w:val="00556951"/>
    <w:rsid w:val="00556E2C"/>
    <w:rsid w:val="00557181"/>
    <w:rsid w:val="005572ED"/>
    <w:rsid w:val="005573CE"/>
    <w:rsid w:val="00557C98"/>
    <w:rsid w:val="00560020"/>
    <w:rsid w:val="00560083"/>
    <w:rsid w:val="0056103B"/>
    <w:rsid w:val="005613C4"/>
    <w:rsid w:val="005614FE"/>
    <w:rsid w:val="00561515"/>
    <w:rsid w:val="00562103"/>
    <w:rsid w:val="00562A2E"/>
    <w:rsid w:val="00562AF1"/>
    <w:rsid w:val="00562B1E"/>
    <w:rsid w:val="00562B71"/>
    <w:rsid w:val="00562B82"/>
    <w:rsid w:val="00562BEC"/>
    <w:rsid w:val="00563420"/>
    <w:rsid w:val="00563636"/>
    <w:rsid w:val="005641A9"/>
    <w:rsid w:val="005644BF"/>
    <w:rsid w:val="00564611"/>
    <w:rsid w:val="0056482B"/>
    <w:rsid w:val="005649DD"/>
    <w:rsid w:val="0056547E"/>
    <w:rsid w:val="0056554F"/>
    <w:rsid w:val="00566779"/>
    <w:rsid w:val="00567693"/>
    <w:rsid w:val="00567CD5"/>
    <w:rsid w:val="00567CE0"/>
    <w:rsid w:val="00570115"/>
    <w:rsid w:val="00570A2D"/>
    <w:rsid w:val="005713EB"/>
    <w:rsid w:val="00571453"/>
    <w:rsid w:val="00571B55"/>
    <w:rsid w:val="005722F5"/>
    <w:rsid w:val="005733D1"/>
    <w:rsid w:val="0057394A"/>
    <w:rsid w:val="00573CF1"/>
    <w:rsid w:val="00574052"/>
    <w:rsid w:val="005741ED"/>
    <w:rsid w:val="00574648"/>
    <w:rsid w:val="005746DC"/>
    <w:rsid w:val="00575880"/>
    <w:rsid w:val="00575E53"/>
    <w:rsid w:val="00575EB7"/>
    <w:rsid w:val="0057604B"/>
    <w:rsid w:val="0057655E"/>
    <w:rsid w:val="005766A2"/>
    <w:rsid w:val="00576E63"/>
    <w:rsid w:val="0057726A"/>
    <w:rsid w:val="005777A6"/>
    <w:rsid w:val="005777D7"/>
    <w:rsid w:val="00577E34"/>
    <w:rsid w:val="005806C0"/>
    <w:rsid w:val="005806F5"/>
    <w:rsid w:val="00580884"/>
    <w:rsid w:val="00580F5E"/>
    <w:rsid w:val="00581061"/>
    <w:rsid w:val="00581217"/>
    <w:rsid w:val="005819CD"/>
    <w:rsid w:val="00581AB4"/>
    <w:rsid w:val="00581ADF"/>
    <w:rsid w:val="00581B4C"/>
    <w:rsid w:val="005824FB"/>
    <w:rsid w:val="005829F4"/>
    <w:rsid w:val="00582F8E"/>
    <w:rsid w:val="00583477"/>
    <w:rsid w:val="00583655"/>
    <w:rsid w:val="00583697"/>
    <w:rsid w:val="00584207"/>
    <w:rsid w:val="00584257"/>
    <w:rsid w:val="005843A8"/>
    <w:rsid w:val="00584743"/>
    <w:rsid w:val="00584AEF"/>
    <w:rsid w:val="00585138"/>
    <w:rsid w:val="0058523F"/>
    <w:rsid w:val="0058587D"/>
    <w:rsid w:val="0058595C"/>
    <w:rsid w:val="0058598B"/>
    <w:rsid w:val="00585B72"/>
    <w:rsid w:val="00585C89"/>
    <w:rsid w:val="00586378"/>
    <w:rsid w:val="00586913"/>
    <w:rsid w:val="00586B08"/>
    <w:rsid w:val="00586DDA"/>
    <w:rsid w:val="0058714E"/>
    <w:rsid w:val="00587656"/>
    <w:rsid w:val="00590B27"/>
    <w:rsid w:val="00590C4E"/>
    <w:rsid w:val="0059107A"/>
    <w:rsid w:val="00591175"/>
    <w:rsid w:val="0059142B"/>
    <w:rsid w:val="00591B6E"/>
    <w:rsid w:val="00591BDC"/>
    <w:rsid w:val="00591FC9"/>
    <w:rsid w:val="005922D9"/>
    <w:rsid w:val="00592AC4"/>
    <w:rsid w:val="00593215"/>
    <w:rsid w:val="00593EB3"/>
    <w:rsid w:val="00593FF1"/>
    <w:rsid w:val="005949A3"/>
    <w:rsid w:val="00594BA4"/>
    <w:rsid w:val="00594C64"/>
    <w:rsid w:val="00594DE9"/>
    <w:rsid w:val="00595C40"/>
    <w:rsid w:val="00595D72"/>
    <w:rsid w:val="0059622C"/>
    <w:rsid w:val="005963D4"/>
    <w:rsid w:val="0059659F"/>
    <w:rsid w:val="0059669A"/>
    <w:rsid w:val="005967DE"/>
    <w:rsid w:val="00596A12"/>
    <w:rsid w:val="00596CD3"/>
    <w:rsid w:val="005970C4"/>
    <w:rsid w:val="005975F0"/>
    <w:rsid w:val="00597727"/>
    <w:rsid w:val="0059791A"/>
    <w:rsid w:val="005A02E3"/>
    <w:rsid w:val="005A054A"/>
    <w:rsid w:val="005A0825"/>
    <w:rsid w:val="005A0A32"/>
    <w:rsid w:val="005A0B1A"/>
    <w:rsid w:val="005A1777"/>
    <w:rsid w:val="005A188B"/>
    <w:rsid w:val="005A18BE"/>
    <w:rsid w:val="005A253E"/>
    <w:rsid w:val="005A2AB0"/>
    <w:rsid w:val="005A34FE"/>
    <w:rsid w:val="005A354C"/>
    <w:rsid w:val="005A3E84"/>
    <w:rsid w:val="005A3F09"/>
    <w:rsid w:val="005A4AF8"/>
    <w:rsid w:val="005A50E8"/>
    <w:rsid w:val="005A5174"/>
    <w:rsid w:val="005A54F7"/>
    <w:rsid w:val="005A5A4C"/>
    <w:rsid w:val="005A5F0D"/>
    <w:rsid w:val="005A6002"/>
    <w:rsid w:val="005A6641"/>
    <w:rsid w:val="005A6654"/>
    <w:rsid w:val="005A68ED"/>
    <w:rsid w:val="005A6A44"/>
    <w:rsid w:val="005A6AE1"/>
    <w:rsid w:val="005A762A"/>
    <w:rsid w:val="005A7F99"/>
    <w:rsid w:val="005B1140"/>
    <w:rsid w:val="005B143B"/>
    <w:rsid w:val="005B15A0"/>
    <w:rsid w:val="005B18B1"/>
    <w:rsid w:val="005B1B52"/>
    <w:rsid w:val="005B1BD9"/>
    <w:rsid w:val="005B1F25"/>
    <w:rsid w:val="005B25FB"/>
    <w:rsid w:val="005B280F"/>
    <w:rsid w:val="005B298F"/>
    <w:rsid w:val="005B2B28"/>
    <w:rsid w:val="005B3AE8"/>
    <w:rsid w:val="005B42F7"/>
    <w:rsid w:val="005B439F"/>
    <w:rsid w:val="005B48B8"/>
    <w:rsid w:val="005B498D"/>
    <w:rsid w:val="005B4A95"/>
    <w:rsid w:val="005B4AC1"/>
    <w:rsid w:val="005B4EB9"/>
    <w:rsid w:val="005B50EB"/>
    <w:rsid w:val="005B5254"/>
    <w:rsid w:val="005B5507"/>
    <w:rsid w:val="005B556E"/>
    <w:rsid w:val="005B571D"/>
    <w:rsid w:val="005B64F1"/>
    <w:rsid w:val="005B6602"/>
    <w:rsid w:val="005B672C"/>
    <w:rsid w:val="005B6899"/>
    <w:rsid w:val="005B689D"/>
    <w:rsid w:val="005B6EDE"/>
    <w:rsid w:val="005B7135"/>
    <w:rsid w:val="005B7164"/>
    <w:rsid w:val="005B73F0"/>
    <w:rsid w:val="005B7787"/>
    <w:rsid w:val="005B7A31"/>
    <w:rsid w:val="005B7D49"/>
    <w:rsid w:val="005C0534"/>
    <w:rsid w:val="005C0790"/>
    <w:rsid w:val="005C0894"/>
    <w:rsid w:val="005C0ABA"/>
    <w:rsid w:val="005C0DBC"/>
    <w:rsid w:val="005C144D"/>
    <w:rsid w:val="005C1995"/>
    <w:rsid w:val="005C1B1F"/>
    <w:rsid w:val="005C20A4"/>
    <w:rsid w:val="005C2105"/>
    <w:rsid w:val="005C2317"/>
    <w:rsid w:val="005C253D"/>
    <w:rsid w:val="005C2B85"/>
    <w:rsid w:val="005C3326"/>
    <w:rsid w:val="005C3B9C"/>
    <w:rsid w:val="005C404C"/>
    <w:rsid w:val="005C439D"/>
    <w:rsid w:val="005C4F65"/>
    <w:rsid w:val="005C507A"/>
    <w:rsid w:val="005C50EF"/>
    <w:rsid w:val="005C52BD"/>
    <w:rsid w:val="005C54CF"/>
    <w:rsid w:val="005C613E"/>
    <w:rsid w:val="005C710F"/>
    <w:rsid w:val="005C72F8"/>
    <w:rsid w:val="005C73B4"/>
    <w:rsid w:val="005C77B9"/>
    <w:rsid w:val="005C7ABC"/>
    <w:rsid w:val="005C7AE6"/>
    <w:rsid w:val="005C7BAF"/>
    <w:rsid w:val="005C7EF1"/>
    <w:rsid w:val="005D00C0"/>
    <w:rsid w:val="005D040F"/>
    <w:rsid w:val="005D06B8"/>
    <w:rsid w:val="005D0A71"/>
    <w:rsid w:val="005D0B3C"/>
    <w:rsid w:val="005D0E12"/>
    <w:rsid w:val="005D13F2"/>
    <w:rsid w:val="005D140C"/>
    <w:rsid w:val="005D1656"/>
    <w:rsid w:val="005D16F1"/>
    <w:rsid w:val="005D18AD"/>
    <w:rsid w:val="005D1EEC"/>
    <w:rsid w:val="005D2A47"/>
    <w:rsid w:val="005D2B8B"/>
    <w:rsid w:val="005D2E63"/>
    <w:rsid w:val="005D2FC3"/>
    <w:rsid w:val="005D34D2"/>
    <w:rsid w:val="005D3591"/>
    <w:rsid w:val="005D3844"/>
    <w:rsid w:val="005D38E6"/>
    <w:rsid w:val="005D3FF2"/>
    <w:rsid w:val="005D54C5"/>
    <w:rsid w:val="005D5826"/>
    <w:rsid w:val="005D5989"/>
    <w:rsid w:val="005D5A5A"/>
    <w:rsid w:val="005D5B99"/>
    <w:rsid w:val="005D63BE"/>
    <w:rsid w:val="005D6780"/>
    <w:rsid w:val="005D67CE"/>
    <w:rsid w:val="005D68AD"/>
    <w:rsid w:val="005D696B"/>
    <w:rsid w:val="005D7AC8"/>
    <w:rsid w:val="005E06B0"/>
    <w:rsid w:val="005E0C8F"/>
    <w:rsid w:val="005E10A6"/>
    <w:rsid w:val="005E25AB"/>
    <w:rsid w:val="005E29E4"/>
    <w:rsid w:val="005E29F8"/>
    <w:rsid w:val="005E2C55"/>
    <w:rsid w:val="005E38AB"/>
    <w:rsid w:val="005E3BF4"/>
    <w:rsid w:val="005E413F"/>
    <w:rsid w:val="005E453E"/>
    <w:rsid w:val="005E52F5"/>
    <w:rsid w:val="005E5750"/>
    <w:rsid w:val="005E5B63"/>
    <w:rsid w:val="005E5CB0"/>
    <w:rsid w:val="005E6425"/>
    <w:rsid w:val="005E671B"/>
    <w:rsid w:val="005E70A6"/>
    <w:rsid w:val="005E7461"/>
    <w:rsid w:val="005E7901"/>
    <w:rsid w:val="005E7D96"/>
    <w:rsid w:val="005E7E7E"/>
    <w:rsid w:val="005F0155"/>
    <w:rsid w:val="005F0458"/>
    <w:rsid w:val="005F0794"/>
    <w:rsid w:val="005F07BE"/>
    <w:rsid w:val="005F1A93"/>
    <w:rsid w:val="005F1C98"/>
    <w:rsid w:val="005F1D68"/>
    <w:rsid w:val="005F1DA0"/>
    <w:rsid w:val="005F1ECF"/>
    <w:rsid w:val="005F1FCE"/>
    <w:rsid w:val="005F22F2"/>
    <w:rsid w:val="005F2970"/>
    <w:rsid w:val="005F2D1D"/>
    <w:rsid w:val="005F2F4D"/>
    <w:rsid w:val="005F2F54"/>
    <w:rsid w:val="005F38B9"/>
    <w:rsid w:val="005F401D"/>
    <w:rsid w:val="005F4036"/>
    <w:rsid w:val="005F405E"/>
    <w:rsid w:val="005F41C0"/>
    <w:rsid w:val="005F4C0C"/>
    <w:rsid w:val="005F4D3A"/>
    <w:rsid w:val="005F53AD"/>
    <w:rsid w:val="005F5465"/>
    <w:rsid w:val="005F5FFE"/>
    <w:rsid w:val="005F6BB8"/>
    <w:rsid w:val="005F6E59"/>
    <w:rsid w:val="005F733B"/>
    <w:rsid w:val="005F74F1"/>
    <w:rsid w:val="00600293"/>
    <w:rsid w:val="0060069A"/>
    <w:rsid w:val="0060099A"/>
    <w:rsid w:val="00600D64"/>
    <w:rsid w:val="00601475"/>
    <w:rsid w:val="006016B4"/>
    <w:rsid w:val="00601FBB"/>
    <w:rsid w:val="00602323"/>
    <w:rsid w:val="00602FDF"/>
    <w:rsid w:val="0060321F"/>
    <w:rsid w:val="00603C44"/>
    <w:rsid w:val="00603DD3"/>
    <w:rsid w:val="00603E25"/>
    <w:rsid w:val="00603ECB"/>
    <w:rsid w:val="0060403C"/>
    <w:rsid w:val="00604295"/>
    <w:rsid w:val="00604310"/>
    <w:rsid w:val="00605177"/>
    <w:rsid w:val="006054A3"/>
    <w:rsid w:val="0060592E"/>
    <w:rsid w:val="00605C77"/>
    <w:rsid w:val="00605CCD"/>
    <w:rsid w:val="006068FE"/>
    <w:rsid w:val="00606917"/>
    <w:rsid w:val="00606991"/>
    <w:rsid w:val="00606B5E"/>
    <w:rsid w:val="00606BE4"/>
    <w:rsid w:val="00607647"/>
    <w:rsid w:val="00607A25"/>
    <w:rsid w:val="00607DBD"/>
    <w:rsid w:val="006101FB"/>
    <w:rsid w:val="00610286"/>
    <w:rsid w:val="00610406"/>
    <w:rsid w:val="006104CC"/>
    <w:rsid w:val="0061257C"/>
    <w:rsid w:val="00612699"/>
    <w:rsid w:val="00612860"/>
    <w:rsid w:val="00612D8E"/>
    <w:rsid w:val="00612E9E"/>
    <w:rsid w:val="006132E2"/>
    <w:rsid w:val="00613B0B"/>
    <w:rsid w:val="0061442F"/>
    <w:rsid w:val="006149E3"/>
    <w:rsid w:val="00614E09"/>
    <w:rsid w:val="006152D4"/>
    <w:rsid w:val="00615368"/>
    <w:rsid w:val="00615E12"/>
    <w:rsid w:val="00615F3C"/>
    <w:rsid w:val="00615F6A"/>
    <w:rsid w:val="00615FD3"/>
    <w:rsid w:val="00616187"/>
    <w:rsid w:val="006164B1"/>
    <w:rsid w:val="0061709C"/>
    <w:rsid w:val="006174D2"/>
    <w:rsid w:val="006175EF"/>
    <w:rsid w:val="00617A56"/>
    <w:rsid w:val="0062007B"/>
    <w:rsid w:val="00620257"/>
    <w:rsid w:val="006208C5"/>
    <w:rsid w:val="00620CEC"/>
    <w:rsid w:val="006210CA"/>
    <w:rsid w:val="00621151"/>
    <w:rsid w:val="006212E9"/>
    <w:rsid w:val="0062132B"/>
    <w:rsid w:val="00621959"/>
    <w:rsid w:val="006219A7"/>
    <w:rsid w:val="00621A79"/>
    <w:rsid w:val="00621E2F"/>
    <w:rsid w:val="00622203"/>
    <w:rsid w:val="006223DB"/>
    <w:rsid w:val="00622588"/>
    <w:rsid w:val="006226D0"/>
    <w:rsid w:val="00622A87"/>
    <w:rsid w:val="00622E10"/>
    <w:rsid w:val="00622E8D"/>
    <w:rsid w:val="0062320F"/>
    <w:rsid w:val="0062371F"/>
    <w:rsid w:val="00623BCF"/>
    <w:rsid w:val="00623C12"/>
    <w:rsid w:val="006240A9"/>
    <w:rsid w:val="006241D5"/>
    <w:rsid w:val="00624325"/>
    <w:rsid w:val="00624411"/>
    <w:rsid w:val="00624601"/>
    <w:rsid w:val="00624866"/>
    <w:rsid w:val="0062491A"/>
    <w:rsid w:val="00624BB1"/>
    <w:rsid w:val="00624C8E"/>
    <w:rsid w:val="00624EBF"/>
    <w:rsid w:val="00625C46"/>
    <w:rsid w:val="00625E7E"/>
    <w:rsid w:val="00626081"/>
    <w:rsid w:val="00626333"/>
    <w:rsid w:val="0062655C"/>
    <w:rsid w:val="006265FC"/>
    <w:rsid w:val="006268E0"/>
    <w:rsid w:val="00626AA5"/>
    <w:rsid w:val="00626F83"/>
    <w:rsid w:val="006270F4"/>
    <w:rsid w:val="006273D3"/>
    <w:rsid w:val="00627848"/>
    <w:rsid w:val="00627856"/>
    <w:rsid w:val="00627A69"/>
    <w:rsid w:val="00627B9A"/>
    <w:rsid w:val="006304E6"/>
    <w:rsid w:val="00630A61"/>
    <w:rsid w:val="00630D6F"/>
    <w:rsid w:val="006310C0"/>
    <w:rsid w:val="0063137B"/>
    <w:rsid w:val="00631DFE"/>
    <w:rsid w:val="00632E18"/>
    <w:rsid w:val="006334F1"/>
    <w:rsid w:val="00633D36"/>
    <w:rsid w:val="0063476C"/>
    <w:rsid w:val="00634FDE"/>
    <w:rsid w:val="006350E0"/>
    <w:rsid w:val="00635306"/>
    <w:rsid w:val="00635A61"/>
    <w:rsid w:val="00635A69"/>
    <w:rsid w:val="00635B26"/>
    <w:rsid w:val="00635B56"/>
    <w:rsid w:val="00635C04"/>
    <w:rsid w:val="00635EF9"/>
    <w:rsid w:val="00635F93"/>
    <w:rsid w:val="00636796"/>
    <w:rsid w:val="006369BF"/>
    <w:rsid w:val="00636BF2"/>
    <w:rsid w:val="006370B7"/>
    <w:rsid w:val="00637152"/>
    <w:rsid w:val="006371A7"/>
    <w:rsid w:val="00637230"/>
    <w:rsid w:val="00637378"/>
    <w:rsid w:val="0064083D"/>
    <w:rsid w:val="0064124B"/>
    <w:rsid w:val="006412C7"/>
    <w:rsid w:val="0064151F"/>
    <w:rsid w:val="0064155E"/>
    <w:rsid w:val="00641D69"/>
    <w:rsid w:val="00641F3B"/>
    <w:rsid w:val="00642062"/>
    <w:rsid w:val="006434B3"/>
    <w:rsid w:val="0064353A"/>
    <w:rsid w:val="006438E8"/>
    <w:rsid w:val="00643AAA"/>
    <w:rsid w:val="006448FC"/>
    <w:rsid w:val="00644961"/>
    <w:rsid w:val="00644AE6"/>
    <w:rsid w:val="00644CB4"/>
    <w:rsid w:val="00644D74"/>
    <w:rsid w:val="00644F17"/>
    <w:rsid w:val="00645326"/>
    <w:rsid w:val="00645A13"/>
    <w:rsid w:val="00645B7B"/>
    <w:rsid w:val="00646721"/>
    <w:rsid w:val="0064674D"/>
    <w:rsid w:val="00646857"/>
    <w:rsid w:val="00646C62"/>
    <w:rsid w:val="00646E8A"/>
    <w:rsid w:val="00647284"/>
    <w:rsid w:val="006474BB"/>
    <w:rsid w:val="00647B69"/>
    <w:rsid w:val="00647C49"/>
    <w:rsid w:val="00650336"/>
    <w:rsid w:val="0065048F"/>
    <w:rsid w:val="0065073A"/>
    <w:rsid w:val="006507F9"/>
    <w:rsid w:val="00650DFA"/>
    <w:rsid w:val="00651114"/>
    <w:rsid w:val="0065112A"/>
    <w:rsid w:val="006514D6"/>
    <w:rsid w:val="00651644"/>
    <w:rsid w:val="00651AB4"/>
    <w:rsid w:val="00651C19"/>
    <w:rsid w:val="00651CF9"/>
    <w:rsid w:val="0065226A"/>
    <w:rsid w:val="006526D3"/>
    <w:rsid w:val="0065276C"/>
    <w:rsid w:val="00653004"/>
    <w:rsid w:val="00653460"/>
    <w:rsid w:val="00653B4A"/>
    <w:rsid w:val="00653B9E"/>
    <w:rsid w:val="00653F36"/>
    <w:rsid w:val="006545DD"/>
    <w:rsid w:val="0065475B"/>
    <w:rsid w:val="006549C8"/>
    <w:rsid w:val="00654B2B"/>
    <w:rsid w:val="00655B84"/>
    <w:rsid w:val="00655D22"/>
    <w:rsid w:val="006560D9"/>
    <w:rsid w:val="006564D3"/>
    <w:rsid w:val="006564EE"/>
    <w:rsid w:val="00656BFE"/>
    <w:rsid w:val="0065702D"/>
    <w:rsid w:val="00657A76"/>
    <w:rsid w:val="00657D97"/>
    <w:rsid w:val="00657F05"/>
    <w:rsid w:val="00657FDE"/>
    <w:rsid w:val="006605EE"/>
    <w:rsid w:val="00660647"/>
    <w:rsid w:val="00660764"/>
    <w:rsid w:val="00660ECE"/>
    <w:rsid w:val="00661380"/>
    <w:rsid w:val="006617C9"/>
    <w:rsid w:val="00661C99"/>
    <w:rsid w:val="0066209C"/>
    <w:rsid w:val="006622F5"/>
    <w:rsid w:val="00662674"/>
    <w:rsid w:val="00662AC5"/>
    <w:rsid w:val="00662E5E"/>
    <w:rsid w:val="00662E7A"/>
    <w:rsid w:val="006633EC"/>
    <w:rsid w:val="006644EB"/>
    <w:rsid w:val="006653C1"/>
    <w:rsid w:val="006657E1"/>
    <w:rsid w:val="0066580C"/>
    <w:rsid w:val="00665A60"/>
    <w:rsid w:val="00665E23"/>
    <w:rsid w:val="00666037"/>
    <w:rsid w:val="0066693A"/>
    <w:rsid w:val="00666F8D"/>
    <w:rsid w:val="00667239"/>
    <w:rsid w:val="006676BD"/>
    <w:rsid w:val="00667E1C"/>
    <w:rsid w:val="0067011F"/>
    <w:rsid w:val="00670665"/>
    <w:rsid w:val="006706A7"/>
    <w:rsid w:val="00670BED"/>
    <w:rsid w:val="00670EA6"/>
    <w:rsid w:val="00671093"/>
    <w:rsid w:val="00671108"/>
    <w:rsid w:val="0067150B"/>
    <w:rsid w:val="00671526"/>
    <w:rsid w:val="0067170F"/>
    <w:rsid w:val="0067171D"/>
    <w:rsid w:val="006729C2"/>
    <w:rsid w:val="00673598"/>
    <w:rsid w:val="006736F6"/>
    <w:rsid w:val="00673C1C"/>
    <w:rsid w:val="00674129"/>
    <w:rsid w:val="0067471D"/>
    <w:rsid w:val="00674B1C"/>
    <w:rsid w:val="00674DCD"/>
    <w:rsid w:val="00675418"/>
    <w:rsid w:val="00675CEF"/>
    <w:rsid w:val="00676913"/>
    <w:rsid w:val="00676A32"/>
    <w:rsid w:val="00676E02"/>
    <w:rsid w:val="00677115"/>
    <w:rsid w:val="00677224"/>
    <w:rsid w:val="0067734A"/>
    <w:rsid w:val="00677478"/>
    <w:rsid w:val="00677902"/>
    <w:rsid w:val="00677A26"/>
    <w:rsid w:val="00677AF8"/>
    <w:rsid w:val="00677B27"/>
    <w:rsid w:val="0068086F"/>
    <w:rsid w:val="00680A1E"/>
    <w:rsid w:val="00680BB9"/>
    <w:rsid w:val="006816A1"/>
    <w:rsid w:val="006816C1"/>
    <w:rsid w:val="00681C39"/>
    <w:rsid w:val="00681CCB"/>
    <w:rsid w:val="00681E42"/>
    <w:rsid w:val="00682218"/>
    <w:rsid w:val="00682844"/>
    <w:rsid w:val="00682A95"/>
    <w:rsid w:val="00682CBF"/>
    <w:rsid w:val="00683343"/>
    <w:rsid w:val="00683532"/>
    <w:rsid w:val="006835B2"/>
    <w:rsid w:val="00683622"/>
    <w:rsid w:val="0068389F"/>
    <w:rsid w:val="006845C7"/>
    <w:rsid w:val="00684A96"/>
    <w:rsid w:val="0068538E"/>
    <w:rsid w:val="00685850"/>
    <w:rsid w:val="00685A37"/>
    <w:rsid w:val="00685AF6"/>
    <w:rsid w:val="006861BF"/>
    <w:rsid w:val="006863BE"/>
    <w:rsid w:val="00686794"/>
    <w:rsid w:val="00686BFD"/>
    <w:rsid w:val="00686DA3"/>
    <w:rsid w:val="00686E55"/>
    <w:rsid w:val="0068775F"/>
    <w:rsid w:val="006903AE"/>
    <w:rsid w:val="006906C3"/>
    <w:rsid w:val="00690A83"/>
    <w:rsid w:val="00690D75"/>
    <w:rsid w:val="00690EE1"/>
    <w:rsid w:val="006916BA"/>
    <w:rsid w:val="006918B1"/>
    <w:rsid w:val="00692121"/>
    <w:rsid w:val="006923FF"/>
    <w:rsid w:val="00692A3C"/>
    <w:rsid w:val="00692B06"/>
    <w:rsid w:val="00692C3F"/>
    <w:rsid w:val="00692D0E"/>
    <w:rsid w:val="006932B5"/>
    <w:rsid w:val="006936A7"/>
    <w:rsid w:val="006936E7"/>
    <w:rsid w:val="006937BF"/>
    <w:rsid w:val="006947B3"/>
    <w:rsid w:val="00695772"/>
    <w:rsid w:val="0069650B"/>
    <w:rsid w:val="0069668D"/>
    <w:rsid w:val="00696774"/>
    <w:rsid w:val="00696B8F"/>
    <w:rsid w:val="00696DB1"/>
    <w:rsid w:val="00697677"/>
    <w:rsid w:val="00697DED"/>
    <w:rsid w:val="006A0405"/>
    <w:rsid w:val="006A04C7"/>
    <w:rsid w:val="006A0EC2"/>
    <w:rsid w:val="006A1684"/>
    <w:rsid w:val="006A18E1"/>
    <w:rsid w:val="006A1920"/>
    <w:rsid w:val="006A2171"/>
    <w:rsid w:val="006A2493"/>
    <w:rsid w:val="006A2B6D"/>
    <w:rsid w:val="006A2BDC"/>
    <w:rsid w:val="006A2E8F"/>
    <w:rsid w:val="006A32CE"/>
    <w:rsid w:val="006A34FD"/>
    <w:rsid w:val="006A3703"/>
    <w:rsid w:val="006A383F"/>
    <w:rsid w:val="006A3D5D"/>
    <w:rsid w:val="006A4153"/>
    <w:rsid w:val="006A4463"/>
    <w:rsid w:val="006A466B"/>
    <w:rsid w:val="006A46E0"/>
    <w:rsid w:val="006A489E"/>
    <w:rsid w:val="006A48D7"/>
    <w:rsid w:val="006A491F"/>
    <w:rsid w:val="006A4C4C"/>
    <w:rsid w:val="006A4E64"/>
    <w:rsid w:val="006A4F1E"/>
    <w:rsid w:val="006A54DD"/>
    <w:rsid w:val="006A5A39"/>
    <w:rsid w:val="006A5FEE"/>
    <w:rsid w:val="006A6880"/>
    <w:rsid w:val="006A7247"/>
    <w:rsid w:val="006A79DA"/>
    <w:rsid w:val="006A7CA4"/>
    <w:rsid w:val="006B001E"/>
    <w:rsid w:val="006B0226"/>
    <w:rsid w:val="006B04B6"/>
    <w:rsid w:val="006B09AE"/>
    <w:rsid w:val="006B0B75"/>
    <w:rsid w:val="006B1A35"/>
    <w:rsid w:val="006B1A69"/>
    <w:rsid w:val="006B21D0"/>
    <w:rsid w:val="006B21FD"/>
    <w:rsid w:val="006B22B9"/>
    <w:rsid w:val="006B2BB6"/>
    <w:rsid w:val="006B3149"/>
    <w:rsid w:val="006B3A99"/>
    <w:rsid w:val="006B3F1C"/>
    <w:rsid w:val="006B645A"/>
    <w:rsid w:val="006B68C6"/>
    <w:rsid w:val="006B6959"/>
    <w:rsid w:val="006B6C95"/>
    <w:rsid w:val="006B6F84"/>
    <w:rsid w:val="006B6FF3"/>
    <w:rsid w:val="006B725A"/>
    <w:rsid w:val="006B7427"/>
    <w:rsid w:val="006B7491"/>
    <w:rsid w:val="006B7776"/>
    <w:rsid w:val="006B7905"/>
    <w:rsid w:val="006C0224"/>
    <w:rsid w:val="006C0B41"/>
    <w:rsid w:val="006C0D1C"/>
    <w:rsid w:val="006C1045"/>
    <w:rsid w:val="006C104F"/>
    <w:rsid w:val="006C1575"/>
    <w:rsid w:val="006C172C"/>
    <w:rsid w:val="006C19F0"/>
    <w:rsid w:val="006C1A48"/>
    <w:rsid w:val="006C2018"/>
    <w:rsid w:val="006C2057"/>
    <w:rsid w:val="006C2ACA"/>
    <w:rsid w:val="006C38F7"/>
    <w:rsid w:val="006C58F8"/>
    <w:rsid w:val="006C5A86"/>
    <w:rsid w:val="006C5F2A"/>
    <w:rsid w:val="006C6116"/>
    <w:rsid w:val="006C710E"/>
    <w:rsid w:val="006C730C"/>
    <w:rsid w:val="006C7BD8"/>
    <w:rsid w:val="006D004A"/>
    <w:rsid w:val="006D00C1"/>
    <w:rsid w:val="006D070B"/>
    <w:rsid w:val="006D0A88"/>
    <w:rsid w:val="006D0B76"/>
    <w:rsid w:val="006D0D73"/>
    <w:rsid w:val="006D0DED"/>
    <w:rsid w:val="006D0E2E"/>
    <w:rsid w:val="006D10D2"/>
    <w:rsid w:val="006D10EE"/>
    <w:rsid w:val="006D120D"/>
    <w:rsid w:val="006D15F6"/>
    <w:rsid w:val="006D16E7"/>
    <w:rsid w:val="006D216E"/>
    <w:rsid w:val="006D22FC"/>
    <w:rsid w:val="006D249B"/>
    <w:rsid w:val="006D27D4"/>
    <w:rsid w:val="006D2BAE"/>
    <w:rsid w:val="006D30D2"/>
    <w:rsid w:val="006D329A"/>
    <w:rsid w:val="006D36B9"/>
    <w:rsid w:val="006D3C43"/>
    <w:rsid w:val="006D3C64"/>
    <w:rsid w:val="006D431D"/>
    <w:rsid w:val="006D47C0"/>
    <w:rsid w:val="006D47FD"/>
    <w:rsid w:val="006D4BA5"/>
    <w:rsid w:val="006D5988"/>
    <w:rsid w:val="006D59D5"/>
    <w:rsid w:val="006D6556"/>
    <w:rsid w:val="006D6B53"/>
    <w:rsid w:val="006D7791"/>
    <w:rsid w:val="006D78E5"/>
    <w:rsid w:val="006E042E"/>
    <w:rsid w:val="006E0564"/>
    <w:rsid w:val="006E080A"/>
    <w:rsid w:val="006E0DFD"/>
    <w:rsid w:val="006E119B"/>
    <w:rsid w:val="006E13C6"/>
    <w:rsid w:val="006E151E"/>
    <w:rsid w:val="006E168C"/>
    <w:rsid w:val="006E1968"/>
    <w:rsid w:val="006E1BD9"/>
    <w:rsid w:val="006E1C67"/>
    <w:rsid w:val="006E1CD8"/>
    <w:rsid w:val="006E21B6"/>
    <w:rsid w:val="006E22EA"/>
    <w:rsid w:val="006E282C"/>
    <w:rsid w:val="006E3752"/>
    <w:rsid w:val="006E422D"/>
    <w:rsid w:val="006E43CA"/>
    <w:rsid w:val="006E4B7A"/>
    <w:rsid w:val="006E4D71"/>
    <w:rsid w:val="006E5054"/>
    <w:rsid w:val="006E56BE"/>
    <w:rsid w:val="006E5CB7"/>
    <w:rsid w:val="006E5E3A"/>
    <w:rsid w:val="006E5F1E"/>
    <w:rsid w:val="006E6250"/>
    <w:rsid w:val="006E6970"/>
    <w:rsid w:val="006E6A57"/>
    <w:rsid w:val="006E6F9B"/>
    <w:rsid w:val="006E7008"/>
    <w:rsid w:val="006E70FB"/>
    <w:rsid w:val="006E780F"/>
    <w:rsid w:val="006E7911"/>
    <w:rsid w:val="006E7C92"/>
    <w:rsid w:val="006F0038"/>
    <w:rsid w:val="006F024F"/>
    <w:rsid w:val="006F0450"/>
    <w:rsid w:val="006F0E27"/>
    <w:rsid w:val="006F12E0"/>
    <w:rsid w:val="006F1403"/>
    <w:rsid w:val="006F1443"/>
    <w:rsid w:val="006F1F47"/>
    <w:rsid w:val="006F284E"/>
    <w:rsid w:val="006F346A"/>
    <w:rsid w:val="006F3CE2"/>
    <w:rsid w:val="006F40A7"/>
    <w:rsid w:val="006F4492"/>
    <w:rsid w:val="006F4996"/>
    <w:rsid w:val="006F5A43"/>
    <w:rsid w:val="006F5D1E"/>
    <w:rsid w:val="006F5E65"/>
    <w:rsid w:val="006F5EA2"/>
    <w:rsid w:val="006F6391"/>
    <w:rsid w:val="006F694D"/>
    <w:rsid w:val="006F6C4D"/>
    <w:rsid w:val="006F736D"/>
    <w:rsid w:val="006F76BF"/>
    <w:rsid w:val="006F76C5"/>
    <w:rsid w:val="006F79BE"/>
    <w:rsid w:val="006F7B2B"/>
    <w:rsid w:val="006F7BB7"/>
    <w:rsid w:val="006F7D85"/>
    <w:rsid w:val="00700850"/>
    <w:rsid w:val="00700A63"/>
    <w:rsid w:val="00700B45"/>
    <w:rsid w:val="00700B98"/>
    <w:rsid w:val="00700CA5"/>
    <w:rsid w:val="00701444"/>
    <w:rsid w:val="00701B0E"/>
    <w:rsid w:val="00701C39"/>
    <w:rsid w:val="00701EFB"/>
    <w:rsid w:val="00702317"/>
    <w:rsid w:val="0070255E"/>
    <w:rsid w:val="00702674"/>
    <w:rsid w:val="0070292E"/>
    <w:rsid w:val="00702CA1"/>
    <w:rsid w:val="00702D08"/>
    <w:rsid w:val="00703127"/>
    <w:rsid w:val="007031E2"/>
    <w:rsid w:val="0070357A"/>
    <w:rsid w:val="0070375F"/>
    <w:rsid w:val="00703A0D"/>
    <w:rsid w:val="0070422F"/>
    <w:rsid w:val="00704316"/>
    <w:rsid w:val="0070461B"/>
    <w:rsid w:val="00704AD4"/>
    <w:rsid w:val="007056E1"/>
    <w:rsid w:val="0070590B"/>
    <w:rsid w:val="00705E83"/>
    <w:rsid w:val="00705FFB"/>
    <w:rsid w:val="00706911"/>
    <w:rsid w:val="0070783D"/>
    <w:rsid w:val="00707B3F"/>
    <w:rsid w:val="00707C10"/>
    <w:rsid w:val="00707CEC"/>
    <w:rsid w:val="00707E96"/>
    <w:rsid w:val="00710175"/>
    <w:rsid w:val="007106B5"/>
    <w:rsid w:val="00710711"/>
    <w:rsid w:val="00710EE6"/>
    <w:rsid w:val="00711497"/>
    <w:rsid w:val="00712202"/>
    <w:rsid w:val="007122CB"/>
    <w:rsid w:val="00712B16"/>
    <w:rsid w:val="00712D60"/>
    <w:rsid w:val="0071334B"/>
    <w:rsid w:val="00713450"/>
    <w:rsid w:val="00713843"/>
    <w:rsid w:val="00713D88"/>
    <w:rsid w:val="00713EC1"/>
    <w:rsid w:val="00713EE4"/>
    <w:rsid w:val="007140A9"/>
    <w:rsid w:val="007144A7"/>
    <w:rsid w:val="00714636"/>
    <w:rsid w:val="007148CE"/>
    <w:rsid w:val="00714BBA"/>
    <w:rsid w:val="0071588F"/>
    <w:rsid w:val="00715BA8"/>
    <w:rsid w:val="00715CDF"/>
    <w:rsid w:val="00716780"/>
    <w:rsid w:val="00716E6F"/>
    <w:rsid w:val="00716F79"/>
    <w:rsid w:val="00717122"/>
    <w:rsid w:val="007171B6"/>
    <w:rsid w:val="007173B8"/>
    <w:rsid w:val="007175D6"/>
    <w:rsid w:val="0071790C"/>
    <w:rsid w:val="00717AC5"/>
    <w:rsid w:val="00717C8A"/>
    <w:rsid w:val="00717D7E"/>
    <w:rsid w:val="0072099D"/>
    <w:rsid w:val="00721941"/>
    <w:rsid w:val="00721C3B"/>
    <w:rsid w:val="00721ED8"/>
    <w:rsid w:val="00722140"/>
    <w:rsid w:val="0072267F"/>
    <w:rsid w:val="00722B1D"/>
    <w:rsid w:val="00722E98"/>
    <w:rsid w:val="00724061"/>
    <w:rsid w:val="007245C3"/>
    <w:rsid w:val="00724A41"/>
    <w:rsid w:val="00724AED"/>
    <w:rsid w:val="00724C92"/>
    <w:rsid w:val="00724DE9"/>
    <w:rsid w:val="00724F21"/>
    <w:rsid w:val="00724F22"/>
    <w:rsid w:val="00725734"/>
    <w:rsid w:val="0072573F"/>
    <w:rsid w:val="00725EA6"/>
    <w:rsid w:val="00725EC9"/>
    <w:rsid w:val="00726F0E"/>
    <w:rsid w:val="00727452"/>
    <w:rsid w:val="007279B3"/>
    <w:rsid w:val="00727CF4"/>
    <w:rsid w:val="007300E7"/>
    <w:rsid w:val="00730148"/>
    <w:rsid w:val="0073016E"/>
    <w:rsid w:val="00730413"/>
    <w:rsid w:val="007317F8"/>
    <w:rsid w:val="00731B97"/>
    <w:rsid w:val="00732037"/>
    <w:rsid w:val="007324C3"/>
    <w:rsid w:val="007328C5"/>
    <w:rsid w:val="00732E1E"/>
    <w:rsid w:val="007336DF"/>
    <w:rsid w:val="007340F4"/>
    <w:rsid w:val="0073417F"/>
    <w:rsid w:val="00734733"/>
    <w:rsid w:val="00734B2D"/>
    <w:rsid w:val="0073514D"/>
    <w:rsid w:val="0073522A"/>
    <w:rsid w:val="007352B7"/>
    <w:rsid w:val="0073585F"/>
    <w:rsid w:val="007359BB"/>
    <w:rsid w:val="00735A9F"/>
    <w:rsid w:val="00735C51"/>
    <w:rsid w:val="00735CFA"/>
    <w:rsid w:val="007365DA"/>
    <w:rsid w:val="00736666"/>
    <w:rsid w:val="00736772"/>
    <w:rsid w:val="0073699E"/>
    <w:rsid w:val="007401E6"/>
    <w:rsid w:val="00740600"/>
    <w:rsid w:val="007407A5"/>
    <w:rsid w:val="007408BE"/>
    <w:rsid w:val="00740F58"/>
    <w:rsid w:val="00740F95"/>
    <w:rsid w:val="007410DB"/>
    <w:rsid w:val="00741157"/>
    <w:rsid w:val="007413D7"/>
    <w:rsid w:val="00741424"/>
    <w:rsid w:val="007414C4"/>
    <w:rsid w:val="00741709"/>
    <w:rsid w:val="00741836"/>
    <w:rsid w:val="00741BD8"/>
    <w:rsid w:val="007423FA"/>
    <w:rsid w:val="00742828"/>
    <w:rsid w:val="0074297B"/>
    <w:rsid w:val="00743C82"/>
    <w:rsid w:val="00743F0F"/>
    <w:rsid w:val="00744C56"/>
    <w:rsid w:val="00745CE5"/>
    <w:rsid w:val="00745EB6"/>
    <w:rsid w:val="00746133"/>
    <w:rsid w:val="00746676"/>
    <w:rsid w:val="00746A9E"/>
    <w:rsid w:val="00746CF3"/>
    <w:rsid w:val="0074768E"/>
    <w:rsid w:val="00747970"/>
    <w:rsid w:val="007479CB"/>
    <w:rsid w:val="00747AD5"/>
    <w:rsid w:val="00747DD6"/>
    <w:rsid w:val="00747E97"/>
    <w:rsid w:val="00747EAA"/>
    <w:rsid w:val="00750292"/>
    <w:rsid w:val="007504E4"/>
    <w:rsid w:val="0075058E"/>
    <w:rsid w:val="00750DB7"/>
    <w:rsid w:val="00751795"/>
    <w:rsid w:val="00751B4F"/>
    <w:rsid w:val="00751E12"/>
    <w:rsid w:val="00751F0B"/>
    <w:rsid w:val="00752C61"/>
    <w:rsid w:val="00752E8A"/>
    <w:rsid w:val="00754174"/>
    <w:rsid w:val="0075431D"/>
    <w:rsid w:val="00754578"/>
    <w:rsid w:val="00754B7A"/>
    <w:rsid w:val="007556D9"/>
    <w:rsid w:val="0075593F"/>
    <w:rsid w:val="0075615A"/>
    <w:rsid w:val="00756223"/>
    <w:rsid w:val="00756B13"/>
    <w:rsid w:val="00756D23"/>
    <w:rsid w:val="00756E9D"/>
    <w:rsid w:val="00757494"/>
    <w:rsid w:val="007579C2"/>
    <w:rsid w:val="00757A73"/>
    <w:rsid w:val="00757ED0"/>
    <w:rsid w:val="00760684"/>
    <w:rsid w:val="007610A1"/>
    <w:rsid w:val="00762723"/>
    <w:rsid w:val="00762811"/>
    <w:rsid w:val="00762A78"/>
    <w:rsid w:val="00762D37"/>
    <w:rsid w:val="007630D5"/>
    <w:rsid w:val="007633C5"/>
    <w:rsid w:val="007641F2"/>
    <w:rsid w:val="00764799"/>
    <w:rsid w:val="00765011"/>
    <w:rsid w:val="00765033"/>
    <w:rsid w:val="00765366"/>
    <w:rsid w:val="00765367"/>
    <w:rsid w:val="007657C3"/>
    <w:rsid w:val="00766772"/>
    <w:rsid w:val="007672EA"/>
    <w:rsid w:val="007672F6"/>
    <w:rsid w:val="0076740E"/>
    <w:rsid w:val="00767CE2"/>
    <w:rsid w:val="00770EEC"/>
    <w:rsid w:val="00771418"/>
    <w:rsid w:val="00771DF6"/>
    <w:rsid w:val="00772BD4"/>
    <w:rsid w:val="007735E5"/>
    <w:rsid w:val="007739E9"/>
    <w:rsid w:val="00773A27"/>
    <w:rsid w:val="00773C35"/>
    <w:rsid w:val="00773E88"/>
    <w:rsid w:val="00773E97"/>
    <w:rsid w:val="00773FA7"/>
    <w:rsid w:val="00774159"/>
    <w:rsid w:val="0077498C"/>
    <w:rsid w:val="00774D3A"/>
    <w:rsid w:val="0077516C"/>
    <w:rsid w:val="007756E3"/>
    <w:rsid w:val="007759C1"/>
    <w:rsid w:val="00776042"/>
    <w:rsid w:val="00776160"/>
    <w:rsid w:val="00776335"/>
    <w:rsid w:val="00776817"/>
    <w:rsid w:val="007775BD"/>
    <w:rsid w:val="00777781"/>
    <w:rsid w:val="0077780C"/>
    <w:rsid w:val="00777B05"/>
    <w:rsid w:val="00777BF5"/>
    <w:rsid w:val="00777D9B"/>
    <w:rsid w:val="00778254"/>
    <w:rsid w:val="00779490"/>
    <w:rsid w:val="007804A0"/>
    <w:rsid w:val="007804CF"/>
    <w:rsid w:val="00780815"/>
    <w:rsid w:val="007808D2"/>
    <w:rsid w:val="00780B46"/>
    <w:rsid w:val="00780C40"/>
    <w:rsid w:val="00780D2B"/>
    <w:rsid w:val="00780EB0"/>
    <w:rsid w:val="00780FC0"/>
    <w:rsid w:val="00781094"/>
    <w:rsid w:val="007813A4"/>
    <w:rsid w:val="00781527"/>
    <w:rsid w:val="00781869"/>
    <w:rsid w:val="00781B94"/>
    <w:rsid w:val="00781C94"/>
    <w:rsid w:val="00781D27"/>
    <w:rsid w:val="00781EEF"/>
    <w:rsid w:val="00781F19"/>
    <w:rsid w:val="00782B3A"/>
    <w:rsid w:val="00782C96"/>
    <w:rsid w:val="00782DAC"/>
    <w:rsid w:val="007830B3"/>
    <w:rsid w:val="007832CE"/>
    <w:rsid w:val="0078383D"/>
    <w:rsid w:val="0078389E"/>
    <w:rsid w:val="00783915"/>
    <w:rsid w:val="00783B3B"/>
    <w:rsid w:val="00783B44"/>
    <w:rsid w:val="00783F45"/>
    <w:rsid w:val="00783F93"/>
    <w:rsid w:val="00783F99"/>
    <w:rsid w:val="00784383"/>
    <w:rsid w:val="007843BC"/>
    <w:rsid w:val="0078517E"/>
    <w:rsid w:val="0078589E"/>
    <w:rsid w:val="0078592A"/>
    <w:rsid w:val="00786648"/>
    <w:rsid w:val="00787216"/>
    <w:rsid w:val="007874F3"/>
    <w:rsid w:val="007874F5"/>
    <w:rsid w:val="007875E9"/>
    <w:rsid w:val="00790587"/>
    <w:rsid w:val="00791032"/>
    <w:rsid w:val="00791536"/>
    <w:rsid w:val="00791ACF"/>
    <w:rsid w:val="00791BA6"/>
    <w:rsid w:val="00791C02"/>
    <w:rsid w:val="00791C78"/>
    <w:rsid w:val="00791CF2"/>
    <w:rsid w:val="00791D8F"/>
    <w:rsid w:val="0079254A"/>
    <w:rsid w:val="00792EC3"/>
    <w:rsid w:val="007933E9"/>
    <w:rsid w:val="00793520"/>
    <w:rsid w:val="00793BF9"/>
    <w:rsid w:val="00794A98"/>
    <w:rsid w:val="00794E6E"/>
    <w:rsid w:val="0079515F"/>
    <w:rsid w:val="00795F35"/>
    <w:rsid w:val="007960AA"/>
    <w:rsid w:val="00796924"/>
    <w:rsid w:val="00796EEA"/>
    <w:rsid w:val="007977ED"/>
    <w:rsid w:val="0079788B"/>
    <w:rsid w:val="00797AFD"/>
    <w:rsid w:val="00797FB1"/>
    <w:rsid w:val="007A003D"/>
    <w:rsid w:val="007A013C"/>
    <w:rsid w:val="007A03FE"/>
    <w:rsid w:val="007A0C0B"/>
    <w:rsid w:val="007A0F3B"/>
    <w:rsid w:val="007A16F9"/>
    <w:rsid w:val="007A174A"/>
    <w:rsid w:val="007A2621"/>
    <w:rsid w:val="007A2967"/>
    <w:rsid w:val="007A33EA"/>
    <w:rsid w:val="007A3A4D"/>
    <w:rsid w:val="007A3CBB"/>
    <w:rsid w:val="007A3E62"/>
    <w:rsid w:val="007A3F35"/>
    <w:rsid w:val="007A3FC2"/>
    <w:rsid w:val="007A5C38"/>
    <w:rsid w:val="007A5E90"/>
    <w:rsid w:val="007A6379"/>
    <w:rsid w:val="007A63D8"/>
    <w:rsid w:val="007A69B6"/>
    <w:rsid w:val="007A711E"/>
    <w:rsid w:val="007A7663"/>
    <w:rsid w:val="007A7829"/>
    <w:rsid w:val="007A7A0C"/>
    <w:rsid w:val="007A7C0B"/>
    <w:rsid w:val="007B0B88"/>
    <w:rsid w:val="007B0D14"/>
    <w:rsid w:val="007B1478"/>
    <w:rsid w:val="007B1698"/>
    <w:rsid w:val="007B1750"/>
    <w:rsid w:val="007B1A71"/>
    <w:rsid w:val="007B1ECD"/>
    <w:rsid w:val="007B2115"/>
    <w:rsid w:val="007B27F8"/>
    <w:rsid w:val="007B3112"/>
    <w:rsid w:val="007B3408"/>
    <w:rsid w:val="007B368C"/>
    <w:rsid w:val="007B397F"/>
    <w:rsid w:val="007B39F4"/>
    <w:rsid w:val="007B3B57"/>
    <w:rsid w:val="007B4C5F"/>
    <w:rsid w:val="007B4E15"/>
    <w:rsid w:val="007B4F21"/>
    <w:rsid w:val="007B501F"/>
    <w:rsid w:val="007B50E6"/>
    <w:rsid w:val="007B5356"/>
    <w:rsid w:val="007B562A"/>
    <w:rsid w:val="007B56E9"/>
    <w:rsid w:val="007B5990"/>
    <w:rsid w:val="007B5C19"/>
    <w:rsid w:val="007B6384"/>
    <w:rsid w:val="007B68C3"/>
    <w:rsid w:val="007B6A0A"/>
    <w:rsid w:val="007B6C86"/>
    <w:rsid w:val="007B7120"/>
    <w:rsid w:val="007B7478"/>
    <w:rsid w:val="007B784B"/>
    <w:rsid w:val="007C010A"/>
    <w:rsid w:val="007C02A1"/>
    <w:rsid w:val="007C0360"/>
    <w:rsid w:val="007C08F2"/>
    <w:rsid w:val="007C0BF1"/>
    <w:rsid w:val="007C1112"/>
    <w:rsid w:val="007C1862"/>
    <w:rsid w:val="007C1B27"/>
    <w:rsid w:val="007C1D84"/>
    <w:rsid w:val="007C2848"/>
    <w:rsid w:val="007C2DC3"/>
    <w:rsid w:val="007C3108"/>
    <w:rsid w:val="007C3704"/>
    <w:rsid w:val="007C3A55"/>
    <w:rsid w:val="007C4055"/>
    <w:rsid w:val="007C425A"/>
    <w:rsid w:val="007C449C"/>
    <w:rsid w:val="007C473D"/>
    <w:rsid w:val="007C4F5A"/>
    <w:rsid w:val="007C5018"/>
    <w:rsid w:val="007C54FF"/>
    <w:rsid w:val="007C60CA"/>
    <w:rsid w:val="007C632E"/>
    <w:rsid w:val="007C6AB6"/>
    <w:rsid w:val="007C7CE1"/>
    <w:rsid w:val="007C7DA8"/>
    <w:rsid w:val="007D00F9"/>
    <w:rsid w:val="007D0159"/>
    <w:rsid w:val="007D0536"/>
    <w:rsid w:val="007D1665"/>
    <w:rsid w:val="007D197D"/>
    <w:rsid w:val="007D1C2F"/>
    <w:rsid w:val="007D1C42"/>
    <w:rsid w:val="007D1F95"/>
    <w:rsid w:val="007D2527"/>
    <w:rsid w:val="007D2C6D"/>
    <w:rsid w:val="007D3722"/>
    <w:rsid w:val="007D3D84"/>
    <w:rsid w:val="007D3D85"/>
    <w:rsid w:val="007D4688"/>
    <w:rsid w:val="007D4711"/>
    <w:rsid w:val="007D490C"/>
    <w:rsid w:val="007D4FB9"/>
    <w:rsid w:val="007D5367"/>
    <w:rsid w:val="007D5E3C"/>
    <w:rsid w:val="007D6078"/>
    <w:rsid w:val="007D6236"/>
    <w:rsid w:val="007D6297"/>
    <w:rsid w:val="007D6D2C"/>
    <w:rsid w:val="007D6E0B"/>
    <w:rsid w:val="007D6E0F"/>
    <w:rsid w:val="007D7CD3"/>
    <w:rsid w:val="007E0974"/>
    <w:rsid w:val="007E09DF"/>
    <w:rsid w:val="007E14D3"/>
    <w:rsid w:val="007E1ADE"/>
    <w:rsid w:val="007E2924"/>
    <w:rsid w:val="007E2DB4"/>
    <w:rsid w:val="007E309C"/>
    <w:rsid w:val="007E30EC"/>
    <w:rsid w:val="007E31A2"/>
    <w:rsid w:val="007E331E"/>
    <w:rsid w:val="007E354E"/>
    <w:rsid w:val="007E393B"/>
    <w:rsid w:val="007E428D"/>
    <w:rsid w:val="007E4369"/>
    <w:rsid w:val="007E460E"/>
    <w:rsid w:val="007E4751"/>
    <w:rsid w:val="007E4B59"/>
    <w:rsid w:val="007E57C7"/>
    <w:rsid w:val="007E5BC8"/>
    <w:rsid w:val="007E5E98"/>
    <w:rsid w:val="007E63CA"/>
    <w:rsid w:val="007E646F"/>
    <w:rsid w:val="007E7116"/>
    <w:rsid w:val="007E718A"/>
    <w:rsid w:val="007E7447"/>
    <w:rsid w:val="007E7A04"/>
    <w:rsid w:val="007F1046"/>
    <w:rsid w:val="007F10EC"/>
    <w:rsid w:val="007F11F4"/>
    <w:rsid w:val="007F1DE5"/>
    <w:rsid w:val="007F1DE7"/>
    <w:rsid w:val="007F2997"/>
    <w:rsid w:val="007F31AD"/>
    <w:rsid w:val="007F3236"/>
    <w:rsid w:val="007F3632"/>
    <w:rsid w:val="007F4009"/>
    <w:rsid w:val="007F40AE"/>
    <w:rsid w:val="007F4CE7"/>
    <w:rsid w:val="007F4E94"/>
    <w:rsid w:val="007F53DA"/>
    <w:rsid w:val="007F558D"/>
    <w:rsid w:val="007F560C"/>
    <w:rsid w:val="007F5629"/>
    <w:rsid w:val="007F5FF2"/>
    <w:rsid w:val="007F607C"/>
    <w:rsid w:val="007F69C7"/>
    <w:rsid w:val="007F758A"/>
    <w:rsid w:val="007F78DE"/>
    <w:rsid w:val="007F7A35"/>
    <w:rsid w:val="007F7B06"/>
    <w:rsid w:val="007F7D3F"/>
    <w:rsid w:val="00800133"/>
    <w:rsid w:val="008002E0"/>
    <w:rsid w:val="008006E3"/>
    <w:rsid w:val="00801081"/>
    <w:rsid w:val="008010A6"/>
    <w:rsid w:val="00801509"/>
    <w:rsid w:val="00801989"/>
    <w:rsid w:val="008019DC"/>
    <w:rsid w:val="00801A27"/>
    <w:rsid w:val="00801B6A"/>
    <w:rsid w:val="00801C50"/>
    <w:rsid w:val="00801D4F"/>
    <w:rsid w:val="008023D7"/>
    <w:rsid w:val="008027A0"/>
    <w:rsid w:val="0080299D"/>
    <w:rsid w:val="00802C89"/>
    <w:rsid w:val="008030E0"/>
    <w:rsid w:val="00803131"/>
    <w:rsid w:val="00803194"/>
    <w:rsid w:val="00803609"/>
    <w:rsid w:val="008037A4"/>
    <w:rsid w:val="00803D56"/>
    <w:rsid w:val="00803FB8"/>
    <w:rsid w:val="00804012"/>
    <w:rsid w:val="00804056"/>
    <w:rsid w:val="0080488E"/>
    <w:rsid w:val="008052D9"/>
    <w:rsid w:val="0080589A"/>
    <w:rsid w:val="00805A5E"/>
    <w:rsid w:val="008061AA"/>
    <w:rsid w:val="00806312"/>
    <w:rsid w:val="00806818"/>
    <w:rsid w:val="0080697E"/>
    <w:rsid w:val="00807525"/>
    <w:rsid w:val="0080781B"/>
    <w:rsid w:val="00807E09"/>
    <w:rsid w:val="008100CC"/>
    <w:rsid w:val="008104DA"/>
    <w:rsid w:val="00810A5B"/>
    <w:rsid w:val="00811064"/>
    <w:rsid w:val="00811C3F"/>
    <w:rsid w:val="00811F68"/>
    <w:rsid w:val="008124F0"/>
    <w:rsid w:val="008128D2"/>
    <w:rsid w:val="008128ED"/>
    <w:rsid w:val="00812C46"/>
    <w:rsid w:val="00812DC7"/>
    <w:rsid w:val="00813F4E"/>
    <w:rsid w:val="008142C4"/>
    <w:rsid w:val="008145A6"/>
    <w:rsid w:val="0081480F"/>
    <w:rsid w:val="00814982"/>
    <w:rsid w:val="00814AC1"/>
    <w:rsid w:val="00814D90"/>
    <w:rsid w:val="008150C4"/>
    <w:rsid w:val="0081520F"/>
    <w:rsid w:val="0081536C"/>
    <w:rsid w:val="00815482"/>
    <w:rsid w:val="00815567"/>
    <w:rsid w:val="00815868"/>
    <w:rsid w:val="008158E3"/>
    <w:rsid w:val="008164B8"/>
    <w:rsid w:val="00816B51"/>
    <w:rsid w:val="00816D13"/>
    <w:rsid w:val="00817A31"/>
    <w:rsid w:val="00817C01"/>
    <w:rsid w:val="00817D51"/>
    <w:rsid w:val="00817DD8"/>
    <w:rsid w:val="00817F46"/>
    <w:rsid w:val="00817FB5"/>
    <w:rsid w:val="00820224"/>
    <w:rsid w:val="00820398"/>
    <w:rsid w:val="00820478"/>
    <w:rsid w:val="00820AA6"/>
    <w:rsid w:val="00820B08"/>
    <w:rsid w:val="00820B0D"/>
    <w:rsid w:val="00820CCD"/>
    <w:rsid w:val="00820D43"/>
    <w:rsid w:val="0082127A"/>
    <w:rsid w:val="00821937"/>
    <w:rsid w:val="008221B0"/>
    <w:rsid w:val="008223FA"/>
    <w:rsid w:val="0082265B"/>
    <w:rsid w:val="00822698"/>
    <w:rsid w:val="00822C1A"/>
    <w:rsid w:val="008231C9"/>
    <w:rsid w:val="00824097"/>
    <w:rsid w:val="00824441"/>
    <w:rsid w:val="008247F0"/>
    <w:rsid w:val="00824872"/>
    <w:rsid w:val="00824984"/>
    <w:rsid w:val="00825301"/>
    <w:rsid w:val="00825407"/>
    <w:rsid w:val="008258FD"/>
    <w:rsid w:val="008260C2"/>
    <w:rsid w:val="008260D8"/>
    <w:rsid w:val="00826538"/>
    <w:rsid w:val="00827411"/>
    <w:rsid w:val="00827544"/>
    <w:rsid w:val="008275DC"/>
    <w:rsid w:val="008277D4"/>
    <w:rsid w:val="0083015D"/>
    <w:rsid w:val="0083035E"/>
    <w:rsid w:val="008309F9"/>
    <w:rsid w:val="00830AC5"/>
    <w:rsid w:val="00831970"/>
    <w:rsid w:val="00831A26"/>
    <w:rsid w:val="0083208A"/>
    <w:rsid w:val="00832836"/>
    <w:rsid w:val="0083290C"/>
    <w:rsid w:val="00832B07"/>
    <w:rsid w:val="00832F3E"/>
    <w:rsid w:val="008334FC"/>
    <w:rsid w:val="00833D88"/>
    <w:rsid w:val="00833FF6"/>
    <w:rsid w:val="008341CC"/>
    <w:rsid w:val="0083483B"/>
    <w:rsid w:val="008348CE"/>
    <w:rsid w:val="008349EB"/>
    <w:rsid w:val="008351E7"/>
    <w:rsid w:val="008352A7"/>
    <w:rsid w:val="008359F6"/>
    <w:rsid w:val="00835AEA"/>
    <w:rsid w:val="00835B86"/>
    <w:rsid w:val="00835D50"/>
    <w:rsid w:val="0083641A"/>
    <w:rsid w:val="00836C8D"/>
    <w:rsid w:val="00837B64"/>
    <w:rsid w:val="00837E8E"/>
    <w:rsid w:val="008405D1"/>
    <w:rsid w:val="00840A64"/>
    <w:rsid w:val="0084119A"/>
    <w:rsid w:val="008412A4"/>
    <w:rsid w:val="008415C5"/>
    <w:rsid w:val="00842053"/>
    <w:rsid w:val="0084206E"/>
    <w:rsid w:val="008421C1"/>
    <w:rsid w:val="008421EA"/>
    <w:rsid w:val="008428C2"/>
    <w:rsid w:val="00842B64"/>
    <w:rsid w:val="00842B9B"/>
    <w:rsid w:val="00843259"/>
    <w:rsid w:val="00843357"/>
    <w:rsid w:val="008433F2"/>
    <w:rsid w:val="0084418E"/>
    <w:rsid w:val="0084429B"/>
    <w:rsid w:val="0084494D"/>
    <w:rsid w:val="00844C6D"/>
    <w:rsid w:val="00844DF0"/>
    <w:rsid w:val="00844EAD"/>
    <w:rsid w:val="00845B4F"/>
    <w:rsid w:val="00846759"/>
    <w:rsid w:val="00846881"/>
    <w:rsid w:val="00846CFC"/>
    <w:rsid w:val="008474D4"/>
    <w:rsid w:val="0084766B"/>
    <w:rsid w:val="00847943"/>
    <w:rsid w:val="00847F20"/>
    <w:rsid w:val="008508D9"/>
    <w:rsid w:val="00850F3A"/>
    <w:rsid w:val="008512BF"/>
    <w:rsid w:val="00851879"/>
    <w:rsid w:val="00851949"/>
    <w:rsid w:val="008522D6"/>
    <w:rsid w:val="00852357"/>
    <w:rsid w:val="00852588"/>
    <w:rsid w:val="00852654"/>
    <w:rsid w:val="00852CB7"/>
    <w:rsid w:val="00853025"/>
    <w:rsid w:val="00853810"/>
    <w:rsid w:val="00853D42"/>
    <w:rsid w:val="0085431C"/>
    <w:rsid w:val="00854335"/>
    <w:rsid w:val="00854ACE"/>
    <w:rsid w:val="00854C94"/>
    <w:rsid w:val="00854F38"/>
    <w:rsid w:val="00855053"/>
    <w:rsid w:val="0085515C"/>
    <w:rsid w:val="00855244"/>
    <w:rsid w:val="008557A9"/>
    <w:rsid w:val="008558A6"/>
    <w:rsid w:val="00855D21"/>
    <w:rsid w:val="00855E9D"/>
    <w:rsid w:val="00856001"/>
    <w:rsid w:val="008575B0"/>
    <w:rsid w:val="00857F4A"/>
    <w:rsid w:val="008602F4"/>
    <w:rsid w:val="00860368"/>
    <w:rsid w:val="00860577"/>
    <w:rsid w:val="008618EB"/>
    <w:rsid w:val="00861B27"/>
    <w:rsid w:val="00861FB0"/>
    <w:rsid w:val="0086216B"/>
    <w:rsid w:val="008626CE"/>
    <w:rsid w:val="008628B5"/>
    <w:rsid w:val="00862E95"/>
    <w:rsid w:val="00863C4E"/>
    <w:rsid w:val="00864478"/>
    <w:rsid w:val="00864756"/>
    <w:rsid w:val="00864912"/>
    <w:rsid w:val="00864B45"/>
    <w:rsid w:val="00864E3A"/>
    <w:rsid w:val="00864EE6"/>
    <w:rsid w:val="00865B25"/>
    <w:rsid w:val="00865E31"/>
    <w:rsid w:val="00865F69"/>
    <w:rsid w:val="008670D2"/>
    <w:rsid w:val="0086728C"/>
    <w:rsid w:val="00867FC2"/>
    <w:rsid w:val="008702B9"/>
    <w:rsid w:val="0087053B"/>
    <w:rsid w:val="008705ED"/>
    <w:rsid w:val="00870646"/>
    <w:rsid w:val="008707FB"/>
    <w:rsid w:val="00870A1C"/>
    <w:rsid w:val="00870CC0"/>
    <w:rsid w:val="00871040"/>
    <w:rsid w:val="00871780"/>
    <w:rsid w:val="008729BB"/>
    <w:rsid w:val="00872FAA"/>
    <w:rsid w:val="008731D4"/>
    <w:rsid w:val="008735BE"/>
    <w:rsid w:val="00873A1E"/>
    <w:rsid w:val="00873B97"/>
    <w:rsid w:val="00873BDA"/>
    <w:rsid w:val="00873DA9"/>
    <w:rsid w:val="00873FCD"/>
    <w:rsid w:val="00874C29"/>
    <w:rsid w:val="008758CE"/>
    <w:rsid w:val="00875A5D"/>
    <w:rsid w:val="0087607E"/>
    <w:rsid w:val="00876198"/>
    <w:rsid w:val="008766E7"/>
    <w:rsid w:val="00876AE4"/>
    <w:rsid w:val="00876CE9"/>
    <w:rsid w:val="00876EC8"/>
    <w:rsid w:val="00876FA9"/>
    <w:rsid w:val="008803D5"/>
    <w:rsid w:val="008807EB"/>
    <w:rsid w:val="0088099D"/>
    <w:rsid w:val="00880C34"/>
    <w:rsid w:val="00880CC8"/>
    <w:rsid w:val="00881271"/>
    <w:rsid w:val="0088152C"/>
    <w:rsid w:val="0088192D"/>
    <w:rsid w:val="00881BCA"/>
    <w:rsid w:val="0088219E"/>
    <w:rsid w:val="008822B2"/>
    <w:rsid w:val="00882EDD"/>
    <w:rsid w:val="00882F40"/>
    <w:rsid w:val="00882F9C"/>
    <w:rsid w:val="008833A9"/>
    <w:rsid w:val="008833EE"/>
    <w:rsid w:val="00883F11"/>
    <w:rsid w:val="00884294"/>
    <w:rsid w:val="0088433B"/>
    <w:rsid w:val="008845BA"/>
    <w:rsid w:val="0088533A"/>
    <w:rsid w:val="00885774"/>
    <w:rsid w:val="00885C5B"/>
    <w:rsid w:val="0088664E"/>
    <w:rsid w:val="00886B32"/>
    <w:rsid w:val="0088756B"/>
    <w:rsid w:val="008877EB"/>
    <w:rsid w:val="00887AB3"/>
    <w:rsid w:val="00887CE7"/>
    <w:rsid w:val="00890A66"/>
    <w:rsid w:val="00890DBB"/>
    <w:rsid w:val="00890E2A"/>
    <w:rsid w:val="0089135C"/>
    <w:rsid w:val="00891676"/>
    <w:rsid w:val="00891C12"/>
    <w:rsid w:val="00891D74"/>
    <w:rsid w:val="0089202B"/>
    <w:rsid w:val="0089224B"/>
    <w:rsid w:val="0089269E"/>
    <w:rsid w:val="00892BAE"/>
    <w:rsid w:val="00892E3D"/>
    <w:rsid w:val="008934F9"/>
    <w:rsid w:val="0089433E"/>
    <w:rsid w:val="00894375"/>
    <w:rsid w:val="0089449A"/>
    <w:rsid w:val="008953E9"/>
    <w:rsid w:val="008955AF"/>
    <w:rsid w:val="008956CA"/>
    <w:rsid w:val="008957F9"/>
    <w:rsid w:val="008959B0"/>
    <w:rsid w:val="00895B1A"/>
    <w:rsid w:val="008960FF"/>
    <w:rsid w:val="008962D8"/>
    <w:rsid w:val="00896D65"/>
    <w:rsid w:val="00897755"/>
    <w:rsid w:val="0089786E"/>
    <w:rsid w:val="00897E8B"/>
    <w:rsid w:val="008A0311"/>
    <w:rsid w:val="008A0409"/>
    <w:rsid w:val="008A0413"/>
    <w:rsid w:val="008A0714"/>
    <w:rsid w:val="008A1A4B"/>
    <w:rsid w:val="008A1AA3"/>
    <w:rsid w:val="008A204B"/>
    <w:rsid w:val="008A3321"/>
    <w:rsid w:val="008A344E"/>
    <w:rsid w:val="008A34BB"/>
    <w:rsid w:val="008A395D"/>
    <w:rsid w:val="008A4C11"/>
    <w:rsid w:val="008A4CB4"/>
    <w:rsid w:val="008A4D2B"/>
    <w:rsid w:val="008A51EC"/>
    <w:rsid w:val="008A53A2"/>
    <w:rsid w:val="008A53EF"/>
    <w:rsid w:val="008A559B"/>
    <w:rsid w:val="008A5E7C"/>
    <w:rsid w:val="008A6398"/>
    <w:rsid w:val="008A6A77"/>
    <w:rsid w:val="008A6EC5"/>
    <w:rsid w:val="008A7089"/>
    <w:rsid w:val="008A74DD"/>
    <w:rsid w:val="008A7BC8"/>
    <w:rsid w:val="008A7E4F"/>
    <w:rsid w:val="008B02B1"/>
    <w:rsid w:val="008B049E"/>
    <w:rsid w:val="008B0CE2"/>
    <w:rsid w:val="008B1A5B"/>
    <w:rsid w:val="008B2270"/>
    <w:rsid w:val="008B247D"/>
    <w:rsid w:val="008B2835"/>
    <w:rsid w:val="008B2991"/>
    <w:rsid w:val="008B2993"/>
    <w:rsid w:val="008B2C10"/>
    <w:rsid w:val="008B320F"/>
    <w:rsid w:val="008B3513"/>
    <w:rsid w:val="008B353E"/>
    <w:rsid w:val="008B3DCE"/>
    <w:rsid w:val="008B40BF"/>
    <w:rsid w:val="008B4146"/>
    <w:rsid w:val="008B4822"/>
    <w:rsid w:val="008B4AA8"/>
    <w:rsid w:val="008B5432"/>
    <w:rsid w:val="008B601D"/>
    <w:rsid w:val="008B60DC"/>
    <w:rsid w:val="008B6557"/>
    <w:rsid w:val="008B6675"/>
    <w:rsid w:val="008B68D4"/>
    <w:rsid w:val="008B6931"/>
    <w:rsid w:val="008B770D"/>
    <w:rsid w:val="008C05BA"/>
    <w:rsid w:val="008C10D7"/>
    <w:rsid w:val="008C17AE"/>
    <w:rsid w:val="008C1AF9"/>
    <w:rsid w:val="008C1C3E"/>
    <w:rsid w:val="008C1D60"/>
    <w:rsid w:val="008C2AF2"/>
    <w:rsid w:val="008C3360"/>
    <w:rsid w:val="008C3421"/>
    <w:rsid w:val="008C3471"/>
    <w:rsid w:val="008C3537"/>
    <w:rsid w:val="008C437B"/>
    <w:rsid w:val="008C4A6A"/>
    <w:rsid w:val="008C4CCD"/>
    <w:rsid w:val="008C4D2F"/>
    <w:rsid w:val="008C5939"/>
    <w:rsid w:val="008C5F06"/>
    <w:rsid w:val="008C603D"/>
    <w:rsid w:val="008C6917"/>
    <w:rsid w:val="008C6B7D"/>
    <w:rsid w:val="008C751F"/>
    <w:rsid w:val="008C78B5"/>
    <w:rsid w:val="008C7C04"/>
    <w:rsid w:val="008C7DC5"/>
    <w:rsid w:val="008D0FC4"/>
    <w:rsid w:val="008D16DA"/>
    <w:rsid w:val="008D1974"/>
    <w:rsid w:val="008D1A0F"/>
    <w:rsid w:val="008D1E77"/>
    <w:rsid w:val="008D2195"/>
    <w:rsid w:val="008D24AF"/>
    <w:rsid w:val="008D28E7"/>
    <w:rsid w:val="008D30DF"/>
    <w:rsid w:val="008D3835"/>
    <w:rsid w:val="008D3F87"/>
    <w:rsid w:val="008D47F2"/>
    <w:rsid w:val="008D48C5"/>
    <w:rsid w:val="008D4B8C"/>
    <w:rsid w:val="008D52CD"/>
    <w:rsid w:val="008D576C"/>
    <w:rsid w:val="008D593C"/>
    <w:rsid w:val="008D68DE"/>
    <w:rsid w:val="008D6975"/>
    <w:rsid w:val="008D7157"/>
    <w:rsid w:val="008D7960"/>
    <w:rsid w:val="008D7DB3"/>
    <w:rsid w:val="008D7EA5"/>
    <w:rsid w:val="008E02B5"/>
    <w:rsid w:val="008E0743"/>
    <w:rsid w:val="008E08A2"/>
    <w:rsid w:val="008E11D8"/>
    <w:rsid w:val="008E13DE"/>
    <w:rsid w:val="008E1825"/>
    <w:rsid w:val="008E1E4D"/>
    <w:rsid w:val="008E217D"/>
    <w:rsid w:val="008E2350"/>
    <w:rsid w:val="008E2361"/>
    <w:rsid w:val="008E2E43"/>
    <w:rsid w:val="008E2E63"/>
    <w:rsid w:val="008E310E"/>
    <w:rsid w:val="008E320F"/>
    <w:rsid w:val="008E3234"/>
    <w:rsid w:val="008E32D4"/>
    <w:rsid w:val="008E3359"/>
    <w:rsid w:val="008E3470"/>
    <w:rsid w:val="008E37C6"/>
    <w:rsid w:val="008E37EA"/>
    <w:rsid w:val="008E3E62"/>
    <w:rsid w:val="008E4793"/>
    <w:rsid w:val="008E4AB9"/>
    <w:rsid w:val="008E5185"/>
    <w:rsid w:val="008E534F"/>
    <w:rsid w:val="008E68EF"/>
    <w:rsid w:val="008E6A5B"/>
    <w:rsid w:val="008E6B95"/>
    <w:rsid w:val="008E7162"/>
    <w:rsid w:val="008E7D17"/>
    <w:rsid w:val="008F051D"/>
    <w:rsid w:val="008F0F0F"/>
    <w:rsid w:val="008F1603"/>
    <w:rsid w:val="008F25DE"/>
    <w:rsid w:val="008F25E2"/>
    <w:rsid w:val="008F3DA0"/>
    <w:rsid w:val="008F3EDD"/>
    <w:rsid w:val="008F40C0"/>
    <w:rsid w:val="008F40F9"/>
    <w:rsid w:val="008F433C"/>
    <w:rsid w:val="008F45C7"/>
    <w:rsid w:val="008F4920"/>
    <w:rsid w:val="008F4CAC"/>
    <w:rsid w:val="008F4CE7"/>
    <w:rsid w:val="008F4EC6"/>
    <w:rsid w:val="008F4EEB"/>
    <w:rsid w:val="008F591D"/>
    <w:rsid w:val="008F5A63"/>
    <w:rsid w:val="008F5D4F"/>
    <w:rsid w:val="008F62AC"/>
    <w:rsid w:val="008F67F3"/>
    <w:rsid w:val="008F6D5B"/>
    <w:rsid w:val="008F6F7B"/>
    <w:rsid w:val="008F709A"/>
    <w:rsid w:val="008F70A3"/>
    <w:rsid w:val="008F70C0"/>
    <w:rsid w:val="008F72F4"/>
    <w:rsid w:val="008F7D67"/>
    <w:rsid w:val="009005CF"/>
    <w:rsid w:val="00900E30"/>
    <w:rsid w:val="00901C3F"/>
    <w:rsid w:val="00901C54"/>
    <w:rsid w:val="009020EE"/>
    <w:rsid w:val="00902483"/>
    <w:rsid w:val="00902A54"/>
    <w:rsid w:val="00902E12"/>
    <w:rsid w:val="00902F2F"/>
    <w:rsid w:val="0090304D"/>
    <w:rsid w:val="0090357C"/>
    <w:rsid w:val="009038A0"/>
    <w:rsid w:val="00904466"/>
    <w:rsid w:val="00904791"/>
    <w:rsid w:val="009047EF"/>
    <w:rsid w:val="00904C14"/>
    <w:rsid w:val="0090514E"/>
    <w:rsid w:val="009052C4"/>
    <w:rsid w:val="00907151"/>
    <w:rsid w:val="009109C8"/>
    <w:rsid w:val="00910A40"/>
    <w:rsid w:val="00910E80"/>
    <w:rsid w:val="00911474"/>
    <w:rsid w:val="00911A29"/>
    <w:rsid w:val="009121D6"/>
    <w:rsid w:val="0091221C"/>
    <w:rsid w:val="009122F6"/>
    <w:rsid w:val="009123B7"/>
    <w:rsid w:val="00912765"/>
    <w:rsid w:val="0091290D"/>
    <w:rsid w:val="0091291B"/>
    <w:rsid w:val="009129B8"/>
    <w:rsid w:val="00912C19"/>
    <w:rsid w:val="00912D3E"/>
    <w:rsid w:val="0091319E"/>
    <w:rsid w:val="009134D4"/>
    <w:rsid w:val="009137D7"/>
    <w:rsid w:val="00914335"/>
    <w:rsid w:val="0091458F"/>
    <w:rsid w:val="009145D6"/>
    <w:rsid w:val="00915462"/>
    <w:rsid w:val="009155AB"/>
    <w:rsid w:val="00915838"/>
    <w:rsid w:val="00915F6A"/>
    <w:rsid w:val="0091620F"/>
    <w:rsid w:val="00916BFE"/>
    <w:rsid w:val="00916E97"/>
    <w:rsid w:val="00916F83"/>
    <w:rsid w:val="00917246"/>
    <w:rsid w:val="00917F9B"/>
    <w:rsid w:val="009204B8"/>
    <w:rsid w:val="00920C15"/>
    <w:rsid w:val="00920C55"/>
    <w:rsid w:val="009212F6"/>
    <w:rsid w:val="00921627"/>
    <w:rsid w:val="009216F5"/>
    <w:rsid w:val="0092219C"/>
    <w:rsid w:val="009222DF"/>
    <w:rsid w:val="0092247F"/>
    <w:rsid w:val="00922762"/>
    <w:rsid w:val="00922AE4"/>
    <w:rsid w:val="00923B45"/>
    <w:rsid w:val="009248A6"/>
    <w:rsid w:val="009248FE"/>
    <w:rsid w:val="00924BA5"/>
    <w:rsid w:val="00924D6B"/>
    <w:rsid w:val="00925CA3"/>
    <w:rsid w:val="009261BF"/>
    <w:rsid w:val="009266D8"/>
    <w:rsid w:val="00926C2B"/>
    <w:rsid w:val="00926EB8"/>
    <w:rsid w:val="00926FF8"/>
    <w:rsid w:val="009272F7"/>
    <w:rsid w:val="009272FA"/>
    <w:rsid w:val="00927580"/>
    <w:rsid w:val="0093004A"/>
    <w:rsid w:val="00930308"/>
    <w:rsid w:val="00930394"/>
    <w:rsid w:val="00930505"/>
    <w:rsid w:val="009307DC"/>
    <w:rsid w:val="009307FF"/>
    <w:rsid w:val="009308AE"/>
    <w:rsid w:val="00931231"/>
    <w:rsid w:val="00931480"/>
    <w:rsid w:val="009315F3"/>
    <w:rsid w:val="00931B25"/>
    <w:rsid w:val="00932112"/>
    <w:rsid w:val="00932311"/>
    <w:rsid w:val="00932500"/>
    <w:rsid w:val="00932621"/>
    <w:rsid w:val="00932C24"/>
    <w:rsid w:val="00933D52"/>
    <w:rsid w:val="00933E6A"/>
    <w:rsid w:val="0093427C"/>
    <w:rsid w:val="00934431"/>
    <w:rsid w:val="009347C6"/>
    <w:rsid w:val="00934919"/>
    <w:rsid w:val="00934E95"/>
    <w:rsid w:val="0093537D"/>
    <w:rsid w:val="00935674"/>
    <w:rsid w:val="00935963"/>
    <w:rsid w:val="00935C1B"/>
    <w:rsid w:val="00935DEE"/>
    <w:rsid w:val="00935F43"/>
    <w:rsid w:val="0093649A"/>
    <w:rsid w:val="009366D5"/>
    <w:rsid w:val="00936FEA"/>
    <w:rsid w:val="0093785B"/>
    <w:rsid w:val="00937A92"/>
    <w:rsid w:val="00937C21"/>
    <w:rsid w:val="00937D77"/>
    <w:rsid w:val="009403DF"/>
    <w:rsid w:val="0094060C"/>
    <w:rsid w:val="009406E0"/>
    <w:rsid w:val="00941869"/>
    <w:rsid w:val="009418B0"/>
    <w:rsid w:val="00941A7F"/>
    <w:rsid w:val="00941CAC"/>
    <w:rsid w:val="00942CD7"/>
    <w:rsid w:val="00942DBA"/>
    <w:rsid w:val="00943A78"/>
    <w:rsid w:val="00943D0A"/>
    <w:rsid w:val="00943D30"/>
    <w:rsid w:val="009441CC"/>
    <w:rsid w:val="009444BD"/>
    <w:rsid w:val="00944BFC"/>
    <w:rsid w:val="009450D4"/>
    <w:rsid w:val="00945740"/>
    <w:rsid w:val="009457DA"/>
    <w:rsid w:val="00945888"/>
    <w:rsid w:val="0094591A"/>
    <w:rsid w:val="00945A70"/>
    <w:rsid w:val="00945D6F"/>
    <w:rsid w:val="00945DA3"/>
    <w:rsid w:val="0094603E"/>
    <w:rsid w:val="00946360"/>
    <w:rsid w:val="009464B2"/>
    <w:rsid w:val="00946F3B"/>
    <w:rsid w:val="009471B5"/>
    <w:rsid w:val="009471D3"/>
    <w:rsid w:val="009471FA"/>
    <w:rsid w:val="009473E1"/>
    <w:rsid w:val="0094769B"/>
    <w:rsid w:val="00947B5E"/>
    <w:rsid w:val="00947EC1"/>
    <w:rsid w:val="00950BF3"/>
    <w:rsid w:val="00951144"/>
    <w:rsid w:val="009516C0"/>
    <w:rsid w:val="00951A11"/>
    <w:rsid w:val="00951BBE"/>
    <w:rsid w:val="00952110"/>
    <w:rsid w:val="009526E0"/>
    <w:rsid w:val="009527DB"/>
    <w:rsid w:val="00952CF9"/>
    <w:rsid w:val="00952E36"/>
    <w:rsid w:val="00953C96"/>
    <w:rsid w:val="00953CDC"/>
    <w:rsid w:val="00953F00"/>
    <w:rsid w:val="009540D7"/>
    <w:rsid w:val="0095415A"/>
    <w:rsid w:val="009549FD"/>
    <w:rsid w:val="00954B31"/>
    <w:rsid w:val="00954D15"/>
    <w:rsid w:val="00955C56"/>
    <w:rsid w:val="00955DFE"/>
    <w:rsid w:val="00955F0D"/>
    <w:rsid w:val="00957F42"/>
    <w:rsid w:val="0096030F"/>
    <w:rsid w:val="00960657"/>
    <w:rsid w:val="00961170"/>
    <w:rsid w:val="0096143C"/>
    <w:rsid w:val="00961A29"/>
    <w:rsid w:val="00961A2E"/>
    <w:rsid w:val="009622EE"/>
    <w:rsid w:val="009626B8"/>
    <w:rsid w:val="00962BB9"/>
    <w:rsid w:val="00962BE6"/>
    <w:rsid w:val="009632DB"/>
    <w:rsid w:val="00963A44"/>
    <w:rsid w:val="00963E13"/>
    <w:rsid w:val="00963F55"/>
    <w:rsid w:val="009642F3"/>
    <w:rsid w:val="00964404"/>
    <w:rsid w:val="0096441A"/>
    <w:rsid w:val="0096478C"/>
    <w:rsid w:val="009647D3"/>
    <w:rsid w:val="00964AD7"/>
    <w:rsid w:val="00964DA2"/>
    <w:rsid w:val="0096527F"/>
    <w:rsid w:val="0096570D"/>
    <w:rsid w:val="00966168"/>
    <w:rsid w:val="00966DF9"/>
    <w:rsid w:val="00966EFC"/>
    <w:rsid w:val="00967B37"/>
    <w:rsid w:val="00970127"/>
    <w:rsid w:val="009709FD"/>
    <w:rsid w:val="00970FCE"/>
    <w:rsid w:val="009711A9"/>
    <w:rsid w:val="009715E4"/>
    <w:rsid w:val="009718C2"/>
    <w:rsid w:val="00971BE4"/>
    <w:rsid w:val="00971C2F"/>
    <w:rsid w:val="00971E88"/>
    <w:rsid w:val="00971EA8"/>
    <w:rsid w:val="00971F4B"/>
    <w:rsid w:val="009726E0"/>
    <w:rsid w:val="00972BB5"/>
    <w:rsid w:val="00972EE5"/>
    <w:rsid w:val="009733CE"/>
    <w:rsid w:val="0097388D"/>
    <w:rsid w:val="00973CBE"/>
    <w:rsid w:val="00974087"/>
    <w:rsid w:val="009743E2"/>
    <w:rsid w:val="00974B88"/>
    <w:rsid w:val="00975B05"/>
    <w:rsid w:val="00975BE0"/>
    <w:rsid w:val="009760B2"/>
    <w:rsid w:val="00976250"/>
    <w:rsid w:val="0097662C"/>
    <w:rsid w:val="00976A45"/>
    <w:rsid w:val="0097748D"/>
    <w:rsid w:val="0097767D"/>
    <w:rsid w:val="00977806"/>
    <w:rsid w:val="00977BDD"/>
    <w:rsid w:val="00977C48"/>
    <w:rsid w:val="00977E3E"/>
    <w:rsid w:val="009800A7"/>
    <w:rsid w:val="009812F1"/>
    <w:rsid w:val="0098232F"/>
    <w:rsid w:val="00983156"/>
    <w:rsid w:val="0098437B"/>
    <w:rsid w:val="00984772"/>
    <w:rsid w:val="00984854"/>
    <w:rsid w:val="009848CC"/>
    <w:rsid w:val="00984BF5"/>
    <w:rsid w:val="00985124"/>
    <w:rsid w:val="00985362"/>
    <w:rsid w:val="00985B0A"/>
    <w:rsid w:val="00985B67"/>
    <w:rsid w:val="00985DE7"/>
    <w:rsid w:val="00985E3A"/>
    <w:rsid w:val="009866E5"/>
    <w:rsid w:val="009869D1"/>
    <w:rsid w:val="00986C87"/>
    <w:rsid w:val="00986D40"/>
    <w:rsid w:val="00987A4B"/>
    <w:rsid w:val="00987CAE"/>
    <w:rsid w:val="00987CFD"/>
    <w:rsid w:val="00987D5A"/>
    <w:rsid w:val="00987E97"/>
    <w:rsid w:val="00990281"/>
    <w:rsid w:val="009907D7"/>
    <w:rsid w:val="00990A54"/>
    <w:rsid w:val="00990AC2"/>
    <w:rsid w:val="00990BFA"/>
    <w:rsid w:val="00991A73"/>
    <w:rsid w:val="00992637"/>
    <w:rsid w:val="00992E2E"/>
    <w:rsid w:val="00993439"/>
    <w:rsid w:val="0099347E"/>
    <w:rsid w:val="00993495"/>
    <w:rsid w:val="009941E8"/>
    <w:rsid w:val="009943BD"/>
    <w:rsid w:val="00994896"/>
    <w:rsid w:val="00995001"/>
    <w:rsid w:val="00995206"/>
    <w:rsid w:val="00995619"/>
    <w:rsid w:val="00995667"/>
    <w:rsid w:val="00995A8C"/>
    <w:rsid w:val="009961E4"/>
    <w:rsid w:val="00996365"/>
    <w:rsid w:val="009964E1"/>
    <w:rsid w:val="00996918"/>
    <w:rsid w:val="00996E22"/>
    <w:rsid w:val="009970FA"/>
    <w:rsid w:val="009A097A"/>
    <w:rsid w:val="009A10D9"/>
    <w:rsid w:val="009A19B9"/>
    <w:rsid w:val="009A1C68"/>
    <w:rsid w:val="009A1FE6"/>
    <w:rsid w:val="009A22AB"/>
    <w:rsid w:val="009A25AC"/>
    <w:rsid w:val="009A299D"/>
    <w:rsid w:val="009A30BA"/>
    <w:rsid w:val="009A3780"/>
    <w:rsid w:val="009A3C41"/>
    <w:rsid w:val="009A3EF3"/>
    <w:rsid w:val="009A424C"/>
    <w:rsid w:val="009A4325"/>
    <w:rsid w:val="009A4738"/>
    <w:rsid w:val="009A495C"/>
    <w:rsid w:val="009A4A14"/>
    <w:rsid w:val="009A50A5"/>
    <w:rsid w:val="009A518C"/>
    <w:rsid w:val="009A5B78"/>
    <w:rsid w:val="009A5F3C"/>
    <w:rsid w:val="009A62B0"/>
    <w:rsid w:val="009A6B35"/>
    <w:rsid w:val="009A72E7"/>
    <w:rsid w:val="009A75BD"/>
    <w:rsid w:val="009A75E6"/>
    <w:rsid w:val="009A7FBF"/>
    <w:rsid w:val="009B0210"/>
    <w:rsid w:val="009B0617"/>
    <w:rsid w:val="009B0C1D"/>
    <w:rsid w:val="009B0E9F"/>
    <w:rsid w:val="009B12E9"/>
    <w:rsid w:val="009B134D"/>
    <w:rsid w:val="009B1A6A"/>
    <w:rsid w:val="009B2725"/>
    <w:rsid w:val="009B28BD"/>
    <w:rsid w:val="009B292C"/>
    <w:rsid w:val="009B3155"/>
    <w:rsid w:val="009B3203"/>
    <w:rsid w:val="009B35D6"/>
    <w:rsid w:val="009B3654"/>
    <w:rsid w:val="009B38AC"/>
    <w:rsid w:val="009B49EF"/>
    <w:rsid w:val="009B4D68"/>
    <w:rsid w:val="009B54EE"/>
    <w:rsid w:val="009B6359"/>
    <w:rsid w:val="009B67EA"/>
    <w:rsid w:val="009B6835"/>
    <w:rsid w:val="009B732D"/>
    <w:rsid w:val="009B796D"/>
    <w:rsid w:val="009B7A28"/>
    <w:rsid w:val="009C00D3"/>
    <w:rsid w:val="009C01D1"/>
    <w:rsid w:val="009C0762"/>
    <w:rsid w:val="009C0CE3"/>
    <w:rsid w:val="009C0DB9"/>
    <w:rsid w:val="009C0DED"/>
    <w:rsid w:val="009C0F1C"/>
    <w:rsid w:val="009C1558"/>
    <w:rsid w:val="009C20AB"/>
    <w:rsid w:val="009C2135"/>
    <w:rsid w:val="009C216E"/>
    <w:rsid w:val="009C2589"/>
    <w:rsid w:val="009C34A5"/>
    <w:rsid w:val="009C3726"/>
    <w:rsid w:val="009C39E7"/>
    <w:rsid w:val="009C4001"/>
    <w:rsid w:val="009C41CB"/>
    <w:rsid w:val="009C4AE5"/>
    <w:rsid w:val="009C50FA"/>
    <w:rsid w:val="009C5364"/>
    <w:rsid w:val="009C5546"/>
    <w:rsid w:val="009C58CC"/>
    <w:rsid w:val="009C59F4"/>
    <w:rsid w:val="009C5B59"/>
    <w:rsid w:val="009C6208"/>
    <w:rsid w:val="009C621E"/>
    <w:rsid w:val="009C64C3"/>
    <w:rsid w:val="009C7037"/>
    <w:rsid w:val="009C764F"/>
    <w:rsid w:val="009C7BD9"/>
    <w:rsid w:val="009C7EE8"/>
    <w:rsid w:val="009D07CA"/>
    <w:rsid w:val="009D1271"/>
    <w:rsid w:val="009D1901"/>
    <w:rsid w:val="009D2243"/>
    <w:rsid w:val="009D2265"/>
    <w:rsid w:val="009D24B9"/>
    <w:rsid w:val="009D2750"/>
    <w:rsid w:val="009D277C"/>
    <w:rsid w:val="009D2893"/>
    <w:rsid w:val="009D3269"/>
    <w:rsid w:val="009D33F8"/>
    <w:rsid w:val="009D38F0"/>
    <w:rsid w:val="009D3E50"/>
    <w:rsid w:val="009D43B8"/>
    <w:rsid w:val="009D5909"/>
    <w:rsid w:val="009D596F"/>
    <w:rsid w:val="009D5A44"/>
    <w:rsid w:val="009D5CC9"/>
    <w:rsid w:val="009D5FD1"/>
    <w:rsid w:val="009D6227"/>
    <w:rsid w:val="009D6CFB"/>
    <w:rsid w:val="009D7543"/>
    <w:rsid w:val="009D7555"/>
    <w:rsid w:val="009D75AE"/>
    <w:rsid w:val="009D75D1"/>
    <w:rsid w:val="009D7C3F"/>
    <w:rsid w:val="009D7CE0"/>
    <w:rsid w:val="009D7DE5"/>
    <w:rsid w:val="009E023C"/>
    <w:rsid w:val="009E02C4"/>
    <w:rsid w:val="009E0DD3"/>
    <w:rsid w:val="009E17BD"/>
    <w:rsid w:val="009E22FD"/>
    <w:rsid w:val="009E277E"/>
    <w:rsid w:val="009E282B"/>
    <w:rsid w:val="009E298A"/>
    <w:rsid w:val="009E2A01"/>
    <w:rsid w:val="009E2AE1"/>
    <w:rsid w:val="009E2F15"/>
    <w:rsid w:val="009E3164"/>
    <w:rsid w:val="009E31FD"/>
    <w:rsid w:val="009E3A04"/>
    <w:rsid w:val="009E3A9D"/>
    <w:rsid w:val="009E44AB"/>
    <w:rsid w:val="009E4A63"/>
    <w:rsid w:val="009E4AEF"/>
    <w:rsid w:val="009E50D4"/>
    <w:rsid w:val="009E53BA"/>
    <w:rsid w:val="009E55D0"/>
    <w:rsid w:val="009E58BD"/>
    <w:rsid w:val="009E5953"/>
    <w:rsid w:val="009E61F5"/>
    <w:rsid w:val="009E6792"/>
    <w:rsid w:val="009E67A4"/>
    <w:rsid w:val="009E685F"/>
    <w:rsid w:val="009E712B"/>
    <w:rsid w:val="009E75A3"/>
    <w:rsid w:val="009E7E16"/>
    <w:rsid w:val="009F0086"/>
    <w:rsid w:val="009F00FA"/>
    <w:rsid w:val="009F03CF"/>
    <w:rsid w:val="009F0DDD"/>
    <w:rsid w:val="009F1E82"/>
    <w:rsid w:val="009F2332"/>
    <w:rsid w:val="009F234A"/>
    <w:rsid w:val="009F23F1"/>
    <w:rsid w:val="009F2B8B"/>
    <w:rsid w:val="009F3421"/>
    <w:rsid w:val="009F34B6"/>
    <w:rsid w:val="009F4BB1"/>
    <w:rsid w:val="009F4CD2"/>
    <w:rsid w:val="009F50F8"/>
    <w:rsid w:val="009F59C5"/>
    <w:rsid w:val="009F5B42"/>
    <w:rsid w:val="009F6ACD"/>
    <w:rsid w:val="009F6B94"/>
    <w:rsid w:val="009F759A"/>
    <w:rsid w:val="009F7C18"/>
    <w:rsid w:val="00A00D3D"/>
    <w:rsid w:val="00A012E3"/>
    <w:rsid w:val="00A017B8"/>
    <w:rsid w:val="00A01825"/>
    <w:rsid w:val="00A01A54"/>
    <w:rsid w:val="00A01F93"/>
    <w:rsid w:val="00A0211D"/>
    <w:rsid w:val="00A022DE"/>
    <w:rsid w:val="00A026C9"/>
    <w:rsid w:val="00A0352C"/>
    <w:rsid w:val="00A037A8"/>
    <w:rsid w:val="00A039F3"/>
    <w:rsid w:val="00A03EBA"/>
    <w:rsid w:val="00A03EC4"/>
    <w:rsid w:val="00A03FDF"/>
    <w:rsid w:val="00A04232"/>
    <w:rsid w:val="00A04EAC"/>
    <w:rsid w:val="00A057CC"/>
    <w:rsid w:val="00A05ACF"/>
    <w:rsid w:val="00A060CD"/>
    <w:rsid w:val="00A061E2"/>
    <w:rsid w:val="00A06B86"/>
    <w:rsid w:val="00A06E15"/>
    <w:rsid w:val="00A072B1"/>
    <w:rsid w:val="00A07336"/>
    <w:rsid w:val="00A076A8"/>
    <w:rsid w:val="00A07714"/>
    <w:rsid w:val="00A078BC"/>
    <w:rsid w:val="00A07BAA"/>
    <w:rsid w:val="00A07BD4"/>
    <w:rsid w:val="00A07F52"/>
    <w:rsid w:val="00A07FDD"/>
    <w:rsid w:val="00A10193"/>
    <w:rsid w:val="00A10904"/>
    <w:rsid w:val="00A10B78"/>
    <w:rsid w:val="00A10F5B"/>
    <w:rsid w:val="00A11421"/>
    <w:rsid w:val="00A1145C"/>
    <w:rsid w:val="00A1183C"/>
    <w:rsid w:val="00A118A9"/>
    <w:rsid w:val="00A11BA9"/>
    <w:rsid w:val="00A11CFE"/>
    <w:rsid w:val="00A11E5C"/>
    <w:rsid w:val="00A1211C"/>
    <w:rsid w:val="00A121C9"/>
    <w:rsid w:val="00A1225D"/>
    <w:rsid w:val="00A12386"/>
    <w:rsid w:val="00A12CD9"/>
    <w:rsid w:val="00A1310F"/>
    <w:rsid w:val="00A13451"/>
    <w:rsid w:val="00A13837"/>
    <w:rsid w:val="00A13AB8"/>
    <w:rsid w:val="00A13AE2"/>
    <w:rsid w:val="00A14B7D"/>
    <w:rsid w:val="00A14FA4"/>
    <w:rsid w:val="00A14FEB"/>
    <w:rsid w:val="00A15492"/>
    <w:rsid w:val="00A15E5A"/>
    <w:rsid w:val="00A17B0C"/>
    <w:rsid w:val="00A20893"/>
    <w:rsid w:val="00A20906"/>
    <w:rsid w:val="00A20A55"/>
    <w:rsid w:val="00A2143B"/>
    <w:rsid w:val="00A21771"/>
    <w:rsid w:val="00A21B94"/>
    <w:rsid w:val="00A21BCB"/>
    <w:rsid w:val="00A21D64"/>
    <w:rsid w:val="00A22027"/>
    <w:rsid w:val="00A22AF8"/>
    <w:rsid w:val="00A22CEE"/>
    <w:rsid w:val="00A22CFD"/>
    <w:rsid w:val="00A22D18"/>
    <w:rsid w:val="00A22E02"/>
    <w:rsid w:val="00A22E48"/>
    <w:rsid w:val="00A2303A"/>
    <w:rsid w:val="00A23388"/>
    <w:rsid w:val="00A23D72"/>
    <w:rsid w:val="00A23E63"/>
    <w:rsid w:val="00A23FF0"/>
    <w:rsid w:val="00A2406A"/>
    <w:rsid w:val="00A2437F"/>
    <w:rsid w:val="00A251E0"/>
    <w:rsid w:val="00A254A1"/>
    <w:rsid w:val="00A25542"/>
    <w:rsid w:val="00A255BF"/>
    <w:rsid w:val="00A25AE9"/>
    <w:rsid w:val="00A25D8A"/>
    <w:rsid w:val="00A25F00"/>
    <w:rsid w:val="00A26254"/>
    <w:rsid w:val="00A26454"/>
    <w:rsid w:val="00A27338"/>
    <w:rsid w:val="00A2766A"/>
    <w:rsid w:val="00A27CEA"/>
    <w:rsid w:val="00A3080C"/>
    <w:rsid w:val="00A30C17"/>
    <w:rsid w:val="00A30D93"/>
    <w:rsid w:val="00A312EC"/>
    <w:rsid w:val="00A31604"/>
    <w:rsid w:val="00A31893"/>
    <w:rsid w:val="00A31C0D"/>
    <w:rsid w:val="00A31D6F"/>
    <w:rsid w:val="00A323ED"/>
    <w:rsid w:val="00A324A3"/>
    <w:rsid w:val="00A326BD"/>
    <w:rsid w:val="00A338B2"/>
    <w:rsid w:val="00A338E2"/>
    <w:rsid w:val="00A33AA2"/>
    <w:rsid w:val="00A33EB5"/>
    <w:rsid w:val="00A342EF"/>
    <w:rsid w:val="00A348C1"/>
    <w:rsid w:val="00A34959"/>
    <w:rsid w:val="00A357E8"/>
    <w:rsid w:val="00A35DF3"/>
    <w:rsid w:val="00A35F0E"/>
    <w:rsid w:val="00A364DF"/>
    <w:rsid w:val="00A36969"/>
    <w:rsid w:val="00A3704A"/>
    <w:rsid w:val="00A400B0"/>
    <w:rsid w:val="00A405A2"/>
    <w:rsid w:val="00A40627"/>
    <w:rsid w:val="00A40890"/>
    <w:rsid w:val="00A40A68"/>
    <w:rsid w:val="00A40A94"/>
    <w:rsid w:val="00A40BFF"/>
    <w:rsid w:val="00A40C69"/>
    <w:rsid w:val="00A40DFF"/>
    <w:rsid w:val="00A415C6"/>
    <w:rsid w:val="00A419F1"/>
    <w:rsid w:val="00A41D6A"/>
    <w:rsid w:val="00A423AD"/>
    <w:rsid w:val="00A42E87"/>
    <w:rsid w:val="00A432D1"/>
    <w:rsid w:val="00A43824"/>
    <w:rsid w:val="00A43F9B"/>
    <w:rsid w:val="00A441F6"/>
    <w:rsid w:val="00A4428E"/>
    <w:rsid w:val="00A443E6"/>
    <w:rsid w:val="00A444BD"/>
    <w:rsid w:val="00A453D9"/>
    <w:rsid w:val="00A45F07"/>
    <w:rsid w:val="00A466B2"/>
    <w:rsid w:val="00A46F3E"/>
    <w:rsid w:val="00A473C3"/>
    <w:rsid w:val="00A4759C"/>
    <w:rsid w:val="00A4785E"/>
    <w:rsid w:val="00A478F4"/>
    <w:rsid w:val="00A47CD2"/>
    <w:rsid w:val="00A47F43"/>
    <w:rsid w:val="00A500D0"/>
    <w:rsid w:val="00A50395"/>
    <w:rsid w:val="00A5086F"/>
    <w:rsid w:val="00A50AC7"/>
    <w:rsid w:val="00A50AD8"/>
    <w:rsid w:val="00A51177"/>
    <w:rsid w:val="00A5136F"/>
    <w:rsid w:val="00A5238F"/>
    <w:rsid w:val="00A524F5"/>
    <w:rsid w:val="00A52928"/>
    <w:rsid w:val="00A5348D"/>
    <w:rsid w:val="00A534ED"/>
    <w:rsid w:val="00A538C7"/>
    <w:rsid w:val="00A53D59"/>
    <w:rsid w:val="00A5403D"/>
    <w:rsid w:val="00A5445A"/>
    <w:rsid w:val="00A5445C"/>
    <w:rsid w:val="00A5478B"/>
    <w:rsid w:val="00A54822"/>
    <w:rsid w:val="00A54900"/>
    <w:rsid w:val="00A54965"/>
    <w:rsid w:val="00A561CB"/>
    <w:rsid w:val="00A5654B"/>
    <w:rsid w:val="00A5698E"/>
    <w:rsid w:val="00A56C31"/>
    <w:rsid w:val="00A5726E"/>
    <w:rsid w:val="00A5780C"/>
    <w:rsid w:val="00A579A0"/>
    <w:rsid w:val="00A57A50"/>
    <w:rsid w:val="00A57C48"/>
    <w:rsid w:val="00A57D32"/>
    <w:rsid w:val="00A610A2"/>
    <w:rsid w:val="00A610AA"/>
    <w:rsid w:val="00A61151"/>
    <w:rsid w:val="00A61706"/>
    <w:rsid w:val="00A622AB"/>
    <w:rsid w:val="00A6232B"/>
    <w:rsid w:val="00A625CA"/>
    <w:rsid w:val="00A62715"/>
    <w:rsid w:val="00A629E2"/>
    <w:rsid w:val="00A62DEB"/>
    <w:rsid w:val="00A63097"/>
    <w:rsid w:val="00A63258"/>
    <w:rsid w:val="00A63627"/>
    <w:rsid w:val="00A63AC9"/>
    <w:rsid w:val="00A63CBE"/>
    <w:rsid w:val="00A641F4"/>
    <w:rsid w:val="00A64946"/>
    <w:rsid w:val="00A64D82"/>
    <w:rsid w:val="00A65052"/>
    <w:rsid w:val="00A65111"/>
    <w:rsid w:val="00A65287"/>
    <w:rsid w:val="00A65629"/>
    <w:rsid w:val="00A65A6A"/>
    <w:rsid w:val="00A65D6A"/>
    <w:rsid w:val="00A65EE4"/>
    <w:rsid w:val="00A65EE9"/>
    <w:rsid w:val="00A65F1A"/>
    <w:rsid w:val="00A65F71"/>
    <w:rsid w:val="00A66A56"/>
    <w:rsid w:val="00A66BAD"/>
    <w:rsid w:val="00A66ED6"/>
    <w:rsid w:val="00A6774F"/>
    <w:rsid w:val="00A677C1"/>
    <w:rsid w:val="00A67AED"/>
    <w:rsid w:val="00A7009A"/>
    <w:rsid w:val="00A700C8"/>
    <w:rsid w:val="00A701EC"/>
    <w:rsid w:val="00A70EF7"/>
    <w:rsid w:val="00A70F90"/>
    <w:rsid w:val="00A710DF"/>
    <w:rsid w:val="00A71157"/>
    <w:rsid w:val="00A71722"/>
    <w:rsid w:val="00A71999"/>
    <w:rsid w:val="00A71C4E"/>
    <w:rsid w:val="00A7203C"/>
    <w:rsid w:val="00A722A2"/>
    <w:rsid w:val="00A7261B"/>
    <w:rsid w:val="00A72F5D"/>
    <w:rsid w:val="00A73269"/>
    <w:rsid w:val="00A7334E"/>
    <w:rsid w:val="00A73465"/>
    <w:rsid w:val="00A7383C"/>
    <w:rsid w:val="00A73EE5"/>
    <w:rsid w:val="00A7427C"/>
    <w:rsid w:val="00A74302"/>
    <w:rsid w:val="00A74600"/>
    <w:rsid w:val="00A74747"/>
    <w:rsid w:val="00A7495E"/>
    <w:rsid w:val="00A75516"/>
    <w:rsid w:val="00A75CD1"/>
    <w:rsid w:val="00A763F1"/>
    <w:rsid w:val="00A7737B"/>
    <w:rsid w:val="00A774F5"/>
    <w:rsid w:val="00A77578"/>
    <w:rsid w:val="00A779A0"/>
    <w:rsid w:val="00A77CDE"/>
    <w:rsid w:val="00A800E0"/>
    <w:rsid w:val="00A802E8"/>
    <w:rsid w:val="00A80402"/>
    <w:rsid w:val="00A80687"/>
    <w:rsid w:val="00A8087D"/>
    <w:rsid w:val="00A814A9"/>
    <w:rsid w:val="00A816CC"/>
    <w:rsid w:val="00A81C0C"/>
    <w:rsid w:val="00A81D8D"/>
    <w:rsid w:val="00A81E2F"/>
    <w:rsid w:val="00A8207A"/>
    <w:rsid w:val="00A822B3"/>
    <w:rsid w:val="00A8244E"/>
    <w:rsid w:val="00A82643"/>
    <w:rsid w:val="00A827BD"/>
    <w:rsid w:val="00A82B9B"/>
    <w:rsid w:val="00A82D07"/>
    <w:rsid w:val="00A83087"/>
    <w:rsid w:val="00A83690"/>
    <w:rsid w:val="00A83F0C"/>
    <w:rsid w:val="00A83F58"/>
    <w:rsid w:val="00A83FD3"/>
    <w:rsid w:val="00A847A3"/>
    <w:rsid w:val="00A84986"/>
    <w:rsid w:val="00A849A7"/>
    <w:rsid w:val="00A84BBE"/>
    <w:rsid w:val="00A850A4"/>
    <w:rsid w:val="00A85727"/>
    <w:rsid w:val="00A85E45"/>
    <w:rsid w:val="00A85EFB"/>
    <w:rsid w:val="00A8680B"/>
    <w:rsid w:val="00A86D5C"/>
    <w:rsid w:val="00A87287"/>
    <w:rsid w:val="00A877FB"/>
    <w:rsid w:val="00A87A12"/>
    <w:rsid w:val="00A87CF6"/>
    <w:rsid w:val="00A87D71"/>
    <w:rsid w:val="00A90027"/>
    <w:rsid w:val="00A9027E"/>
    <w:rsid w:val="00A91720"/>
    <w:rsid w:val="00A91A16"/>
    <w:rsid w:val="00A91AAD"/>
    <w:rsid w:val="00A91B16"/>
    <w:rsid w:val="00A91BCA"/>
    <w:rsid w:val="00A91EB8"/>
    <w:rsid w:val="00A92392"/>
    <w:rsid w:val="00A92FBF"/>
    <w:rsid w:val="00A93B18"/>
    <w:rsid w:val="00A93FFB"/>
    <w:rsid w:val="00A940E4"/>
    <w:rsid w:val="00A940EE"/>
    <w:rsid w:val="00A9421F"/>
    <w:rsid w:val="00A9454E"/>
    <w:rsid w:val="00A94658"/>
    <w:rsid w:val="00A94709"/>
    <w:rsid w:val="00A94A52"/>
    <w:rsid w:val="00A95036"/>
    <w:rsid w:val="00A9573A"/>
    <w:rsid w:val="00A95C4C"/>
    <w:rsid w:val="00A95C91"/>
    <w:rsid w:val="00A95FEA"/>
    <w:rsid w:val="00A96066"/>
    <w:rsid w:val="00A9612A"/>
    <w:rsid w:val="00A96ADD"/>
    <w:rsid w:val="00A96DA1"/>
    <w:rsid w:val="00A97B3D"/>
    <w:rsid w:val="00AA04FF"/>
    <w:rsid w:val="00AA0526"/>
    <w:rsid w:val="00AA063A"/>
    <w:rsid w:val="00AA0C29"/>
    <w:rsid w:val="00AA17AB"/>
    <w:rsid w:val="00AA1CCF"/>
    <w:rsid w:val="00AA1DEB"/>
    <w:rsid w:val="00AA27DF"/>
    <w:rsid w:val="00AA3428"/>
    <w:rsid w:val="00AA360E"/>
    <w:rsid w:val="00AA37AF"/>
    <w:rsid w:val="00AA41FC"/>
    <w:rsid w:val="00AA484B"/>
    <w:rsid w:val="00AA581C"/>
    <w:rsid w:val="00AA597C"/>
    <w:rsid w:val="00AA64F7"/>
    <w:rsid w:val="00AA6518"/>
    <w:rsid w:val="00AA655A"/>
    <w:rsid w:val="00AA6581"/>
    <w:rsid w:val="00AA6CD6"/>
    <w:rsid w:val="00AA6D7F"/>
    <w:rsid w:val="00AB000B"/>
    <w:rsid w:val="00AB0092"/>
    <w:rsid w:val="00AB0857"/>
    <w:rsid w:val="00AB0C9A"/>
    <w:rsid w:val="00AB105C"/>
    <w:rsid w:val="00AB15AC"/>
    <w:rsid w:val="00AB1BE0"/>
    <w:rsid w:val="00AB2C41"/>
    <w:rsid w:val="00AB2F7D"/>
    <w:rsid w:val="00AB3CCA"/>
    <w:rsid w:val="00AB3CEC"/>
    <w:rsid w:val="00AB3DED"/>
    <w:rsid w:val="00AB44E9"/>
    <w:rsid w:val="00AB49FA"/>
    <w:rsid w:val="00AB4ECC"/>
    <w:rsid w:val="00AB556F"/>
    <w:rsid w:val="00AB5A14"/>
    <w:rsid w:val="00AB5D1A"/>
    <w:rsid w:val="00AB60DC"/>
    <w:rsid w:val="00AB6482"/>
    <w:rsid w:val="00AB6968"/>
    <w:rsid w:val="00AB6B69"/>
    <w:rsid w:val="00AB746C"/>
    <w:rsid w:val="00AB7A8F"/>
    <w:rsid w:val="00AC002B"/>
    <w:rsid w:val="00AC011B"/>
    <w:rsid w:val="00AC03D0"/>
    <w:rsid w:val="00AC0731"/>
    <w:rsid w:val="00AC0CE1"/>
    <w:rsid w:val="00AC0E2A"/>
    <w:rsid w:val="00AC14A7"/>
    <w:rsid w:val="00AC14CD"/>
    <w:rsid w:val="00AC1532"/>
    <w:rsid w:val="00AC17FF"/>
    <w:rsid w:val="00AC1D2E"/>
    <w:rsid w:val="00AC2B70"/>
    <w:rsid w:val="00AC2EE3"/>
    <w:rsid w:val="00AC305D"/>
    <w:rsid w:val="00AC32A9"/>
    <w:rsid w:val="00AC400E"/>
    <w:rsid w:val="00AC4341"/>
    <w:rsid w:val="00AC46F5"/>
    <w:rsid w:val="00AC52A4"/>
    <w:rsid w:val="00AC592A"/>
    <w:rsid w:val="00AC5B4B"/>
    <w:rsid w:val="00AC61E0"/>
    <w:rsid w:val="00AC6278"/>
    <w:rsid w:val="00AC6602"/>
    <w:rsid w:val="00AC6728"/>
    <w:rsid w:val="00AC6C3F"/>
    <w:rsid w:val="00AC71E4"/>
    <w:rsid w:val="00AC746F"/>
    <w:rsid w:val="00AC7C6D"/>
    <w:rsid w:val="00AC7DF0"/>
    <w:rsid w:val="00AC7F0D"/>
    <w:rsid w:val="00AD00F6"/>
    <w:rsid w:val="00AD027F"/>
    <w:rsid w:val="00AD0605"/>
    <w:rsid w:val="00AD06AD"/>
    <w:rsid w:val="00AD06D7"/>
    <w:rsid w:val="00AD0A44"/>
    <w:rsid w:val="00AD0C91"/>
    <w:rsid w:val="00AD0EBA"/>
    <w:rsid w:val="00AD13F8"/>
    <w:rsid w:val="00AD1406"/>
    <w:rsid w:val="00AD1878"/>
    <w:rsid w:val="00AD1936"/>
    <w:rsid w:val="00AD194D"/>
    <w:rsid w:val="00AD198E"/>
    <w:rsid w:val="00AD1F20"/>
    <w:rsid w:val="00AD209F"/>
    <w:rsid w:val="00AD28FE"/>
    <w:rsid w:val="00AD2EF4"/>
    <w:rsid w:val="00AD377F"/>
    <w:rsid w:val="00AD390D"/>
    <w:rsid w:val="00AD3A7C"/>
    <w:rsid w:val="00AD3D48"/>
    <w:rsid w:val="00AD44A4"/>
    <w:rsid w:val="00AD463A"/>
    <w:rsid w:val="00AD48EB"/>
    <w:rsid w:val="00AD4ACA"/>
    <w:rsid w:val="00AD4AFE"/>
    <w:rsid w:val="00AD4EA1"/>
    <w:rsid w:val="00AD4F8A"/>
    <w:rsid w:val="00AD53D0"/>
    <w:rsid w:val="00AD5E42"/>
    <w:rsid w:val="00AD5F3D"/>
    <w:rsid w:val="00AD6108"/>
    <w:rsid w:val="00AD65A2"/>
    <w:rsid w:val="00AD6C51"/>
    <w:rsid w:val="00AD6C94"/>
    <w:rsid w:val="00AD733C"/>
    <w:rsid w:val="00AD77A6"/>
    <w:rsid w:val="00AE06DD"/>
    <w:rsid w:val="00AE094D"/>
    <w:rsid w:val="00AE0A04"/>
    <w:rsid w:val="00AE0AF8"/>
    <w:rsid w:val="00AE0B25"/>
    <w:rsid w:val="00AE1403"/>
    <w:rsid w:val="00AE1C94"/>
    <w:rsid w:val="00AE201E"/>
    <w:rsid w:val="00AE20E1"/>
    <w:rsid w:val="00AE239B"/>
    <w:rsid w:val="00AE259C"/>
    <w:rsid w:val="00AE286E"/>
    <w:rsid w:val="00AE2F6F"/>
    <w:rsid w:val="00AE3205"/>
    <w:rsid w:val="00AE3F3D"/>
    <w:rsid w:val="00AE41D3"/>
    <w:rsid w:val="00AE4451"/>
    <w:rsid w:val="00AE463A"/>
    <w:rsid w:val="00AE4D05"/>
    <w:rsid w:val="00AE5086"/>
    <w:rsid w:val="00AE57D5"/>
    <w:rsid w:val="00AE5B82"/>
    <w:rsid w:val="00AE612D"/>
    <w:rsid w:val="00AE6174"/>
    <w:rsid w:val="00AE63F7"/>
    <w:rsid w:val="00AE65C0"/>
    <w:rsid w:val="00AE6A51"/>
    <w:rsid w:val="00AE6B7B"/>
    <w:rsid w:val="00AE7146"/>
    <w:rsid w:val="00AE7316"/>
    <w:rsid w:val="00AE7AD2"/>
    <w:rsid w:val="00AE7E4E"/>
    <w:rsid w:val="00AF07CE"/>
    <w:rsid w:val="00AF088F"/>
    <w:rsid w:val="00AF0D96"/>
    <w:rsid w:val="00AF110E"/>
    <w:rsid w:val="00AF13D5"/>
    <w:rsid w:val="00AF13EA"/>
    <w:rsid w:val="00AF18DA"/>
    <w:rsid w:val="00AF20EF"/>
    <w:rsid w:val="00AF2241"/>
    <w:rsid w:val="00AF31C6"/>
    <w:rsid w:val="00AF3200"/>
    <w:rsid w:val="00AF3C0F"/>
    <w:rsid w:val="00AF3C14"/>
    <w:rsid w:val="00AF3C3D"/>
    <w:rsid w:val="00AF3EB4"/>
    <w:rsid w:val="00AF405E"/>
    <w:rsid w:val="00AF4161"/>
    <w:rsid w:val="00AF4723"/>
    <w:rsid w:val="00AF4FBF"/>
    <w:rsid w:val="00AF510B"/>
    <w:rsid w:val="00AF58A4"/>
    <w:rsid w:val="00AF5E45"/>
    <w:rsid w:val="00AF6B56"/>
    <w:rsid w:val="00AF6BA9"/>
    <w:rsid w:val="00AF6DC7"/>
    <w:rsid w:val="00AF6FA3"/>
    <w:rsid w:val="00AF73AF"/>
    <w:rsid w:val="00AF7559"/>
    <w:rsid w:val="00AF77D3"/>
    <w:rsid w:val="00AF77E1"/>
    <w:rsid w:val="00AF7960"/>
    <w:rsid w:val="00B00376"/>
    <w:rsid w:val="00B00485"/>
    <w:rsid w:val="00B005BD"/>
    <w:rsid w:val="00B005CA"/>
    <w:rsid w:val="00B00F17"/>
    <w:rsid w:val="00B00FE2"/>
    <w:rsid w:val="00B017AF"/>
    <w:rsid w:val="00B02D51"/>
    <w:rsid w:val="00B02E16"/>
    <w:rsid w:val="00B02E97"/>
    <w:rsid w:val="00B03236"/>
    <w:rsid w:val="00B03D69"/>
    <w:rsid w:val="00B03EB6"/>
    <w:rsid w:val="00B04117"/>
    <w:rsid w:val="00B04532"/>
    <w:rsid w:val="00B04AD8"/>
    <w:rsid w:val="00B04C1D"/>
    <w:rsid w:val="00B04E87"/>
    <w:rsid w:val="00B04ED1"/>
    <w:rsid w:val="00B0583C"/>
    <w:rsid w:val="00B06778"/>
    <w:rsid w:val="00B06C12"/>
    <w:rsid w:val="00B06F7D"/>
    <w:rsid w:val="00B072CF"/>
    <w:rsid w:val="00B07322"/>
    <w:rsid w:val="00B0772C"/>
    <w:rsid w:val="00B07A6E"/>
    <w:rsid w:val="00B07CFF"/>
    <w:rsid w:val="00B10795"/>
    <w:rsid w:val="00B10A1D"/>
    <w:rsid w:val="00B10B3A"/>
    <w:rsid w:val="00B11F02"/>
    <w:rsid w:val="00B12447"/>
    <w:rsid w:val="00B128B5"/>
    <w:rsid w:val="00B12C3F"/>
    <w:rsid w:val="00B12F05"/>
    <w:rsid w:val="00B12FEC"/>
    <w:rsid w:val="00B13BA3"/>
    <w:rsid w:val="00B13E4F"/>
    <w:rsid w:val="00B14066"/>
    <w:rsid w:val="00B140C8"/>
    <w:rsid w:val="00B14202"/>
    <w:rsid w:val="00B145CB"/>
    <w:rsid w:val="00B14A21"/>
    <w:rsid w:val="00B14C74"/>
    <w:rsid w:val="00B14F9D"/>
    <w:rsid w:val="00B151D3"/>
    <w:rsid w:val="00B15AAD"/>
    <w:rsid w:val="00B15DCF"/>
    <w:rsid w:val="00B160CF"/>
    <w:rsid w:val="00B1619D"/>
    <w:rsid w:val="00B16A3E"/>
    <w:rsid w:val="00B1726C"/>
    <w:rsid w:val="00B173E3"/>
    <w:rsid w:val="00B17880"/>
    <w:rsid w:val="00B178C3"/>
    <w:rsid w:val="00B17C88"/>
    <w:rsid w:val="00B20257"/>
    <w:rsid w:val="00B206BE"/>
    <w:rsid w:val="00B20828"/>
    <w:rsid w:val="00B20F29"/>
    <w:rsid w:val="00B2199B"/>
    <w:rsid w:val="00B21AAC"/>
    <w:rsid w:val="00B22228"/>
    <w:rsid w:val="00B22346"/>
    <w:rsid w:val="00B22660"/>
    <w:rsid w:val="00B2481A"/>
    <w:rsid w:val="00B24977"/>
    <w:rsid w:val="00B2506D"/>
    <w:rsid w:val="00B25798"/>
    <w:rsid w:val="00B25933"/>
    <w:rsid w:val="00B273A8"/>
    <w:rsid w:val="00B2752A"/>
    <w:rsid w:val="00B27536"/>
    <w:rsid w:val="00B275A2"/>
    <w:rsid w:val="00B306FF"/>
    <w:rsid w:val="00B30B81"/>
    <w:rsid w:val="00B31676"/>
    <w:rsid w:val="00B31BA2"/>
    <w:rsid w:val="00B31E36"/>
    <w:rsid w:val="00B31E59"/>
    <w:rsid w:val="00B32471"/>
    <w:rsid w:val="00B32AC5"/>
    <w:rsid w:val="00B32B6B"/>
    <w:rsid w:val="00B32CEC"/>
    <w:rsid w:val="00B32EA5"/>
    <w:rsid w:val="00B33196"/>
    <w:rsid w:val="00B33211"/>
    <w:rsid w:val="00B33323"/>
    <w:rsid w:val="00B3359F"/>
    <w:rsid w:val="00B339E9"/>
    <w:rsid w:val="00B33A9A"/>
    <w:rsid w:val="00B33ADB"/>
    <w:rsid w:val="00B33C8F"/>
    <w:rsid w:val="00B33F59"/>
    <w:rsid w:val="00B33F8A"/>
    <w:rsid w:val="00B33FFA"/>
    <w:rsid w:val="00B348AF"/>
    <w:rsid w:val="00B34FCD"/>
    <w:rsid w:val="00B3557D"/>
    <w:rsid w:val="00B35779"/>
    <w:rsid w:val="00B35AF8"/>
    <w:rsid w:val="00B35EC0"/>
    <w:rsid w:val="00B36B44"/>
    <w:rsid w:val="00B3724D"/>
    <w:rsid w:val="00B376EF"/>
    <w:rsid w:val="00B3777B"/>
    <w:rsid w:val="00B37D7C"/>
    <w:rsid w:val="00B40A09"/>
    <w:rsid w:val="00B40C40"/>
    <w:rsid w:val="00B4133C"/>
    <w:rsid w:val="00B42006"/>
    <w:rsid w:val="00B42748"/>
    <w:rsid w:val="00B42771"/>
    <w:rsid w:val="00B428F3"/>
    <w:rsid w:val="00B42C62"/>
    <w:rsid w:val="00B43402"/>
    <w:rsid w:val="00B4349C"/>
    <w:rsid w:val="00B43939"/>
    <w:rsid w:val="00B43BC4"/>
    <w:rsid w:val="00B44186"/>
    <w:rsid w:val="00B44485"/>
    <w:rsid w:val="00B4469F"/>
    <w:rsid w:val="00B448ED"/>
    <w:rsid w:val="00B4493E"/>
    <w:rsid w:val="00B44AFC"/>
    <w:rsid w:val="00B44CFC"/>
    <w:rsid w:val="00B453DB"/>
    <w:rsid w:val="00B45BE1"/>
    <w:rsid w:val="00B46620"/>
    <w:rsid w:val="00B46A16"/>
    <w:rsid w:val="00B46CD3"/>
    <w:rsid w:val="00B470F9"/>
    <w:rsid w:val="00B471B1"/>
    <w:rsid w:val="00B4736F"/>
    <w:rsid w:val="00B47662"/>
    <w:rsid w:val="00B47984"/>
    <w:rsid w:val="00B501E5"/>
    <w:rsid w:val="00B50421"/>
    <w:rsid w:val="00B506AC"/>
    <w:rsid w:val="00B516D9"/>
    <w:rsid w:val="00B51C31"/>
    <w:rsid w:val="00B51EAC"/>
    <w:rsid w:val="00B51ED3"/>
    <w:rsid w:val="00B52260"/>
    <w:rsid w:val="00B522EC"/>
    <w:rsid w:val="00B52BF4"/>
    <w:rsid w:val="00B53064"/>
    <w:rsid w:val="00B5343B"/>
    <w:rsid w:val="00B53F52"/>
    <w:rsid w:val="00B53F97"/>
    <w:rsid w:val="00B54923"/>
    <w:rsid w:val="00B55244"/>
    <w:rsid w:val="00B5543C"/>
    <w:rsid w:val="00B55780"/>
    <w:rsid w:val="00B55A4F"/>
    <w:rsid w:val="00B55ACF"/>
    <w:rsid w:val="00B55FDB"/>
    <w:rsid w:val="00B56140"/>
    <w:rsid w:val="00B5643C"/>
    <w:rsid w:val="00B56609"/>
    <w:rsid w:val="00B56A86"/>
    <w:rsid w:val="00B56CB3"/>
    <w:rsid w:val="00B570D6"/>
    <w:rsid w:val="00B6032B"/>
    <w:rsid w:val="00B60E12"/>
    <w:rsid w:val="00B611BF"/>
    <w:rsid w:val="00B61329"/>
    <w:rsid w:val="00B61A12"/>
    <w:rsid w:val="00B61FE6"/>
    <w:rsid w:val="00B62F7D"/>
    <w:rsid w:val="00B63169"/>
    <w:rsid w:val="00B633F4"/>
    <w:rsid w:val="00B63660"/>
    <w:rsid w:val="00B63920"/>
    <w:rsid w:val="00B63E6A"/>
    <w:rsid w:val="00B647E2"/>
    <w:rsid w:val="00B64926"/>
    <w:rsid w:val="00B64929"/>
    <w:rsid w:val="00B64B24"/>
    <w:rsid w:val="00B64F22"/>
    <w:rsid w:val="00B6536C"/>
    <w:rsid w:val="00B65A7A"/>
    <w:rsid w:val="00B66022"/>
    <w:rsid w:val="00B66613"/>
    <w:rsid w:val="00B66624"/>
    <w:rsid w:val="00B6695F"/>
    <w:rsid w:val="00B66D09"/>
    <w:rsid w:val="00B6712B"/>
    <w:rsid w:val="00B67174"/>
    <w:rsid w:val="00B6763A"/>
    <w:rsid w:val="00B679E9"/>
    <w:rsid w:val="00B67B5F"/>
    <w:rsid w:val="00B67CAA"/>
    <w:rsid w:val="00B70205"/>
    <w:rsid w:val="00B70D4C"/>
    <w:rsid w:val="00B7103E"/>
    <w:rsid w:val="00B714FF"/>
    <w:rsid w:val="00B715CC"/>
    <w:rsid w:val="00B719F0"/>
    <w:rsid w:val="00B721BF"/>
    <w:rsid w:val="00B7255A"/>
    <w:rsid w:val="00B729A3"/>
    <w:rsid w:val="00B72AA3"/>
    <w:rsid w:val="00B736E2"/>
    <w:rsid w:val="00B73AE9"/>
    <w:rsid w:val="00B7433C"/>
    <w:rsid w:val="00B74754"/>
    <w:rsid w:val="00B7478D"/>
    <w:rsid w:val="00B74876"/>
    <w:rsid w:val="00B75229"/>
    <w:rsid w:val="00B757DF"/>
    <w:rsid w:val="00B76351"/>
    <w:rsid w:val="00B765EC"/>
    <w:rsid w:val="00B7689F"/>
    <w:rsid w:val="00B770BF"/>
    <w:rsid w:val="00B800D9"/>
    <w:rsid w:val="00B80219"/>
    <w:rsid w:val="00B80387"/>
    <w:rsid w:val="00B80CDC"/>
    <w:rsid w:val="00B814CB"/>
    <w:rsid w:val="00B814FA"/>
    <w:rsid w:val="00B815EA"/>
    <w:rsid w:val="00B81810"/>
    <w:rsid w:val="00B81A05"/>
    <w:rsid w:val="00B81EEE"/>
    <w:rsid w:val="00B821C1"/>
    <w:rsid w:val="00B8261D"/>
    <w:rsid w:val="00B82F74"/>
    <w:rsid w:val="00B83022"/>
    <w:rsid w:val="00B83656"/>
    <w:rsid w:val="00B83F99"/>
    <w:rsid w:val="00B845BD"/>
    <w:rsid w:val="00B84605"/>
    <w:rsid w:val="00B848EA"/>
    <w:rsid w:val="00B84BF9"/>
    <w:rsid w:val="00B85617"/>
    <w:rsid w:val="00B86491"/>
    <w:rsid w:val="00B870B4"/>
    <w:rsid w:val="00B8778C"/>
    <w:rsid w:val="00B90536"/>
    <w:rsid w:val="00B9089D"/>
    <w:rsid w:val="00B9091B"/>
    <w:rsid w:val="00B90C44"/>
    <w:rsid w:val="00B9115C"/>
    <w:rsid w:val="00B9161E"/>
    <w:rsid w:val="00B918F7"/>
    <w:rsid w:val="00B91DFB"/>
    <w:rsid w:val="00B9209A"/>
    <w:rsid w:val="00B9210A"/>
    <w:rsid w:val="00B92531"/>
    <w:rsid w:val="00B9253C"/>
    <w:rsid w:val="00B92566"/>
    <w:rsid w:val="00B927A1"/>
    <w:rsid w:val="00B92BDE"/>
    <w:rsid w:val="00B94931"/>
    <w:rsid w:val="00B94A8B"/>
    <w:rsid w:val="00B94B9D"/>
    <w:rsid w:val="00B94D9E"/>
    <w:rsid w:val="00B94F3B"/>
    <w:rsid w:val="00B94F73"/>
    <w:rsid w:val="00B94FCD"/>
    <w:rsid w:val="00B9548C"/>
    <w:rsid w:val="00B954FD"/>
    <w:rsid w:val="00B9555D"/>
    <w:rsid w:val="00B95944"/>
    <w:rsid w:val="00B95DEE"/>
    <w:rsid w:val="00B95F6E"/>
    <w:rsid w:val="00B961C3"/>
    <w:rsid w:val="00B96444"/>
    <w:rsid w:val="00B9662D"/>
    <w:rsid w:val="00B96D92"/>
    <w:rsid w:val="00B96F88"/>
    <w:rsid w:val="00B9799F"/>
    <w:rsid w:val="00B97DD7"/>
    <w:rsid w:val="00BA00B3"/>
    <w:rsid w:val="00BA0999"/>
    <w:rsid w:val="00BA099B"/>
    <w:rsid w:val="00BA0E8F"/>
    <w:rsid w:val="00BA2458"/>
    <w:rsid w:val="00BA279A"/>
    <w:rsid w:val="00BA2991"/>
    <w:rsid w:val="00BA29F9"/>
    <w:rsid w:val="00BA2DB9"/>
    <w:rsid w:val="00BA2DFE"/>
    <w:rsid w:val="00BA31CD"/>
    <w:rsid w:val="00BA37DE"/>
    <w:rsid w:val="00BA39F3"/>
    <w:rsid w:val="00BA3A80"/>
    <w:rsid w:val="00BA3E5B"/>
    <w:rsid w:val="00BA43C2"/>
    <w:rsid w:val="00BA52BB"/>
    <w:rsid w:val="00BA5CD3"/>
    <w:rsid w:val="00BA5DA3"/>
    <w:rsid w:val="00BA5E11"/>
    <w:rsid w:val="00BA600A"/>
    <w:rsid w:val="00BA6135"/>
    <w:rsid w:val="00BA620C"/>
    <w:rsid w:val="00BA64CA"/>
    <w:rsid w:val="00BA65A1"/>
    <w:rsid w:val="00BA69EA"/>
    <w:rsid w:val="00BA7268"/>
    <w:rsid w:val="00BA726C"/>
    <w:rsid w:val="00BA77A9"/>
    <w:rsid w:val="00BA7AE1"/>
    <w:rsid w:val="00BB008E"/>
    <w:rsid w:val="00BB0800"/>
    <w:rsid w:val="00BB1352"/>
    <w:rsid w:val="00BB2487"/>
    <w:rsid w:val="00BB26D3"/>
    <w:rsid w:val="00BB2B34"/>
    <w:rsid w:val="00BB362E"/>
    <w:rsid w:val="00BB378C"/>
    <w:rsid w:val="00BB3C85"/>
    <w:rsid w:val="00BB3EC6"/>
    <w:rsid w:val="00BB48DA"/>
    <w:rsid w:val="00BB5294"/>
    <w:rsid w:val="00BB52F7"/>
    <w:rsid w:val="00BB543C"/>
    <w:rsid w:val="00BB5527"/>
    <w:rsid w:val="00BB59DD"/>
    <w:rsid w:val="00BB5E87"/>
    <w:rsid w:val="00BB5EE9"/>
    <w:rsid w:val="00BB5F11"/>
    <w:rsid w:val="00BB6123"/>
    <w:rsid w:val="00BB614B"/>
    <w:rsid w:val="00BB6504"/>
    <w:rsid w:val="00BB6776"/>
    <w:rsid w:val="00BB6D30"/>
    <w:rsid w:val="00BB7136"/>
    <w:rsid w:val="00BB77AE"/>
    <w:rsid w:val="00BB7DDE"/>
    <w:rsid w:val="00BB7F42"/>
    <w:rsid w:val="00BC127B"/>
    <w:rsid w:val="00BC1840"/>
    <w:rsid w:val="00BC1C92"/>
    <w:rsid w:val="00BC2118"/>
    <w:rsid w:val="00BC22DF"/>
    <w:rsid w:val="00BC2BFC"/>
    <w:rsid w:val="00BC2CA6"/>
    <w:rsid w:val="00BC2FFC"/>
    <w:rsid w:val="00BC3078"/>
    <w:rsid w:val="00BC3437"/>
    <w:rsid w:val="00BC37B2"/>
    <w:rsid w:val="00BC3AD3"/>
    <w:rsid w:val="00BC3B3A"/>
    <w:rsid w:val="00BC41E0"/>
    <w:rsid w:val="00BC42FB"/>
    <w:rsid w:val="00BC4523"/>
    <w:rsid w:val="00BC461F"/>
    <w:rsid w:val="00BC47C0"/>
    <w:rsid w:val="00BC4F5A"/>
    <w:rsid w:val="00BC5A99"/>
    <w:rsid w:val="00BC6229"/>
    <w:rsid w:val="00BC6606"/>
    <w:rsid w:val="00BC6707"/>
    <w:rsid w:val="00BC71C3"/>
    <w:rsid w:val="00BC782D"/>
    <w:rsid w:val="00BD0168"/>
    <w:rsid w:val="00BD065E"/>
    <w:rsid w:val="00BD08F0"/>
    <w:rsid w:val="00BD0BE9"/>
    <w:rsid w:val="00BD11DB"/>
    <w:rsid w:val="00BD1475"/>
    <w:rsid w:val="00BD1BA2"/>
    <w:rsid w:val="00BD1C04"/>
    <w:rsid w:val="00BD1D87"/>
    <w:rsid w:val="00BD256B"/>
    <w:rsid w:val="00BD3344"/>
    <w:rsid w:val="00BD3662"/>
    <w:rsid w:val="00BD3934"/>
    <w:rsid w:val="00BD4442"/>
    <w:rsid w:val="00BD44D6"/>
    <w:rsid w:val="00BD45E5"/>
    <w:rsid w:val="00BD46D3"/>
    <w:rsid w:val="00BD4EA7"/>
    <w:rsid w:val="00BD5283"/>
    <w:rsid w:val="00BD5EBB"/>
    <w:rsid w:val="00BD5FE5"/>
    <w:rsid w:val="00BD6090"/>
    <w:rsid w:val="00BD6277"/>
    <w:rsid w:val="00BD6344"/>
    <w:rsid w:val="00BD6813"/>
    <w:rsid w:val="00BD6B14"/>
    <w:rsid w:val="00BD711E"/>
    <w:rsid w:val="00BD7144"/>
    <w:rsid w:val="00BD7A29"/>
    <w:rsid w:val="00BD7A59"/>
    <w:rsid w:val="00BD7AE6"/>
    <w:rsid w:val="00BD7C07"/>
    <w:rsid w:val="00BD7E23"/>
    <w:rsid w:val="00BD7FB1"/>
    <w:rsid w:val="00BE05B8"/>
    <w:rsid w:val="00BE0727"/>
    <w:rsid w:val="00BE09DB"/>
    <w:rsid w:val="00BE0A11"/>
    <w:rsid w:val="00BE0CB9"/>
    <w:rsid w:val="00BE0F10"/>
    <w:rsid w:val="00BE1238"/>
    <w:rsid w:val="00BE148A"/>
    <w:rsid w:val="00BE1F18"/>
    <w:rsid w:val="00BE2057"/>
    <w:rsid w:val="00BE258E"/>
    <w:rsid w:val="00BE26CB"/>
    <w:rsid w:val="00BE285B"/>
    <w:rsid w:val="00BE2CE9"/>
    <w:rsid w:val="00BE2ECA"/>
    <w:rsid w:val="00BE3152"/>
    <w:rsid w:val="00BE3404"/>
    <w:rsid w:val="00BE3B70"/>
    <w:rsid w:val="00BE3FD6"/>
    <w:rsid w:val="00BE4C31"/>
    <w:rsid w:val="00BE4D09"/>
    <w:rsid w:val="00BE5921"/>
    <w:rsid w:val="00BE6008"/>
    <w:rsid w:val="00BE65DD"/>
    <w:rsid w:val="00BE6F84"/>
    <w:rsid w:val="00BE7592"/>
    <w:rsid w:val="00BE7D24"/>
    <w:rsid w:val="00BF0374"/>
    <w:rsid w:val="00BF0AE6"/>
    <w:rsid w:val="00BF0E1D"/>
    <w:rsid w:val="00BF0F17"/>
    <w:rsid w:val="00BF103D"/>
    <w:rsid w:val="00BF1441"/>
    <w:rsid w:val="00BF1B4A"/>
    <w:rsid w:val="00BF2417"/>
    <w:rsid w:val="00BF2C6A"/>
    <w:rsid w:val="00BF2D82"/>
    <w:rsid w:val="00BF30E9"/>
    <w:rsid w:val="00BF3469"/>
    <w:rsid w:val="00BF3748"/>
    <w:rsid w:val="00BF3A31"/>
    <w:rsid w:val="00BF400D"/>
    <w:rsid w:val="00BF4661"/>
    <w:rsid w:val="00BF4C53"/>
    <w:rsid w:val="00BF4F16"/>
    <w:rsid w:val="00BF56AD"/>
    <w:rsid w:val="00BF5FE9"/>
    <w:rsid w:val="00BF6BFD"/>
    <w:rsid w:val="00BF6F85"/>
    <w:rsid w:val="00BF7223"/>
    <w:rsid w:val="00BF7236"/>
    <w:rsid w:val="00BF7865"/>
    <w:rsid w:val="00BF7C2A"/>
    <w:rsid w:val="00C001E6"/>
    <w:rsid w:val="00C0023F"/>
    <w:rsid w:val="00C0030E"/>
    <w:rsid w:val="00C00358"/>
    <w:rsid w:val="00C00571"/>
    <w:rsid w:val="00C00D03"/>
    <w:rsid w:val="00C00EDE"/>
    <w:rsid w:val="00C016CA"/>
    <w:rsid w:val="00C01975"/>
    <w:rsid w:val="00C019ED"/>
    <w:rsid w:val="00C02674"/>
    <w:rsid w:val="00C02C67"/>
    <w:rsid w:val="00C03779"/>
    <w:rsid w:val="00C03BB6"/>
    <w:rsid w:val="00C04233"/>
    <w:rsid w:val="00C04267"/>
    <w:rsid w:val="00C0455D"/>
    <w:rsid w:val="00C049AF"/>
    <w:rsid w:val="00C04F55"/>
    <w:rsid w:val="00C0509A"/>
    <w:rsid w:val="00C055AC"/>
    <w:rsid w:val="00C0569D"/>
    <w:rsid w:val="00C057CC"/>
    <w:rsid w:val="00C05AB9"/>
    <w:rsid w:val="00C062C9"/>
    <w:rsid w:val="00C06512"/>
    <w:rsid w:val="00C069C9"/>
    <w:rsid w:val="00C06CDE"/>
    <w:rsid w:val="00C06D93"/>
    <w:rsid w:val="00C06FDF"/>
    <w:rsid w:val="00C07450"/>
    <w:rsid w:val="00C07532"/>
    <w:rsid w:val="00C1037A"/>
    <w:rsid w:val="00C1060C"/>
    <w:rsid w:val="00C109CE"/>
    <w:rsid w:val="00C10E7B"/>
    <w:rsid w:val="00C10EFA"/>
    <w:rsid w:val="00C11010"/>
    <w:rsid w:val="00C1172B"/>
    <w:rsid w:val="00C11BE5"/>
    <w:rsid w:val="00C11C68"/>
    <w:rsid w:val="00C11CC0"/>
    <w:rsid w:val="00C129C1"/>
    <w:rsid w:val="00C12AE1"/>
    <w:rsid w:val="00C12E21"/>
    <w:rsid w:val="00C135D3"/>
    <w:rsid w:val="00C13BF9"/>
    <w:rsid w:val="00C13D88"/>
    <w:rsid w:val="00C14A26"/>
    <w:rsid w:val="00C14DF9"/>
    <w:rsid w:val="00C1505B"/>
    <w:rsid w:val="00C154C6"/>
    <w:rsid w:val="00C15559"/>
    <w:rsid w:val="00C1577B"/>
    <w:rsid w:val="00C16588"/>
    <w:rsid w:val="00C165D6"/>
    <w:rsid w:val="00C1768E"/>
    <w:rsid w:val="00C17898"/>
    <w:rsid w:val="00C17A9D"/>
    <w:rsid w:val="00C17BBC"/>
    <w:rsid w:val="00C17CAA"/>
    <w:rsid w:val="00C20C12"/>
    <w:rsid w:val="00C21A7C"/>
    <w:rsid w:val="00C226C2"/>
    <w:rsid w:val="00C22772"/>
    <w:rsid w:val="00C22E2C"/>
    <w:rsid w:val="00C230A0"/>
    <w:rsid w:val="00C2348C"/>
    <w:rsid w:val="00C2370A"/>
    <w:rsid w:val="00C23BCE"/>
    <w:rsid w:val="00C23CAB"/>
    <w:rsid w:val="00C23DFA"/>
    <w:rsid w:val="00C2442C"/>
    <w:rsid w:val="00C2463C"/>
    <w:rsid w:val="00C246C7"/>
    <w:rsid w:val="00C24783"/>
    <w:rsid w:val="00C2480F"/>
    <w:rsid w:val="00C24AC1"/>
    <w:rsid w:val="00C24FF5"/>
    <w:rsid w:val="00C25323"/>
    <w:rsid w:val="00C2558C"/>
    <w:rsid w:val="00C25C28"/>
    <w:rsid w:val="00C25F0F"/>
    <w:rsid w:val="00C26656"/>
    <w:rsid w:val="00C27103"/>
    <w:rsid w:val="00C274F0"/>
    <w:rsid w:val="00C27C82"/>
    <w:rsid w:val="00C27D9D"/>
    <w:rsid w:val="00C27E7F"/>
    <w:rsid w:val="00C30061"/>
    <w:rsid w:val="00C3056D"/>
    <w:rsid w:val="00C30962"/>
    <w:rsid w:val="00C30B29"/>
    <w:rsid w:val="00C3108C"/>
    <w:rsid w:val="00C3128A"/>
    <w:rsid w:val="00C31981"/>
    <w:rsid w:val="00C320E3"/>
    <w:rsid w:val="00C32A95"/>
    <w:rsid w:val="00C32BA3"/>
    <w:rsid w:val="00C32FC2"/>
    <w:rsid w:val="00C3316C"/>
    <w:rsid w:val="00C332DB"/>
    <w:rsid w:val="00C33392"/>
    <w:rsid w:val="00C33698"/>
    <w:rsid w:val="00C34039"/>
    <w:rsid w:val="00C34248"/>
    <w:rsid w:val="00C35887"/>
    <w:rsid w:val="00C36131"/>
    <w:rsid w:val="00C3783C"/>
    <w:rsid w:val="00C3783F"/>
    <w:rsid w:val="00C37855"/>
    <w:rsid w:val="00C379B5"/>
    <w:rsid w:val="00C40276"/>
    <w:rsid w:val="00C4052B"/>
    <w:rsid w:val="00C409CF"/>
    <w:rsid w:val="00C411B4"/>
    <w:rsid w:val="00C412AE"/>
    <w:rsid w:val="00C412B1"/>
    <w:rsid w:val="00C4170C"/>
    <w:rsid w:val="00C42AA5"/>
    <w:rsid w:val="00C42FEB"/>
    <w:rsid w:val="00C43D16"/>
    <w:rsid w:val="00C4438E"/>
    <w:rsid w:val="00C4471D"/>
    <w:rsid w:val="00C44830"/>
    <w:rsid w:val="00C44EE2"/>
    <w:rsid w:val="00C451B7"/>
    <w:rsid w:val="00C452A3"/>
    <w:rsid w:val="00C45330"/>
    <w:rsid w:val="00C45384"/>
    <w:rsid w:val="00C45694"/>
    <w:rsid w:val="00C4581A"/>
    <w:rsid w:val="00C45A12"/>
    <w:rsid w:val="00C45AE8"/>
    <w:rsid w:val="00C45B06"/>
    <w:rsid w:val="00C45CD7"/>
    <w:rsid w:val="00C45E75"/>
    <w:rsid w:val="00C46250"/>
    <w:rsid w:val="00C464E8"/>
    <w:rsid w:val="00C46CC0"/>
    <w:rsid w:val="00C46DD8"/>
    <w:rsid w:val="00C46EA7"/>
    <w:rsid w:val="00C4709E"/>
    <w:rsid w:val="00C478B0"/>
    <w:rsid w:val="00C47ACA"/>
    <w:rsid w:val="00C47B07"/>
    <w:rsid w:val="00C47E66"/>
    <w:rsid w:val="00C5010E"/>
    <w:rsid w:val="00C509F6"/>
    <w:rsid w:val="00C50D6A"/>
    <w:rsid w:val="00C5182D"/>
    <w:rsid w:val="00C51DC6"/>
    <w:rsid w:val="00C51EF6"/>
    <w:rsid w:val="00C52B56"/>
    <w:rsid w:val="00C531F1"/>
    <w:rsid w:val="00C53213"/>
    <w:rsid w:val="00C5345C"/>
    <w:rsid w:val="00C5379B"/>
    <w:rsid w:val="00C538ED"/>
    <w:rsid w:val="00C54268"/>
    <w:rsid w:val="00C5443F"/>
    <w:rsid w:val="00C547FA"/>
    <w:rsid w:val="00C54838"/>
    <w:rsid w:val="00C549F3"/>
    <w:rsid w:val="00C55070"/>
    <w:rsid w:val="00C55374"/>
    <w:rsid w:val="00C55AD1"/>
    <w:rsid w:val="00C56D84"/>
    <w:rsid w:val="00C56D9E"/>
    <w:rsid w:val="00C5755E"/>
    <w:rsid w:val="00C6037F"/>
    <w:rsid w:val="00C605D7"/>
    <w:rsid w:val="00C60EC5"/>
    <w:rsid w:val="00C61011"/>
    <w:rsid w:val="00C61D7E"/>
    <w:rsid w:val="00C61F3E"/>
    <w:rsid w:val="00C62345"/>
    <w:rsid w:val="00C62444"/>
    <w:rsid w:val="00C62554"/>
    <w:rsid w:val="00C629BA"/>
    <w:rsid w:val="00C62A8A"/>
    <w:rsid w:val="00C62EE3"/>
    <w:rsid w:val="00C630B3"/>
    <w:rsid w:val="00C633DD"/>
    <w:rsid w:val="00C639E7"/>
    <w:rsid w:val="00C63C26"/>
    <w:rsid w:val="00C648D1"/>
    <w:rsid w:val="00C64A5A"/>
    <w:rsid w:val="00C6506B"/>
    <w:rsid w:val="00C65546"/>
    <w:rsid w:val="00C65752"/>
    <w:rsid w:val="00C663BF"/>
    <w:rsid w:val="00C67021"/>
    <w:rsid w:val="00C67195"/>
    <w:rsid w:val="00C676EF"/>
    <w:rsid w:val="00C67928"/>
    <w:rsid w:val="00C679AF"/>
    <w:rsid w:val="00C67FCF"/>
    <w:rsid w:val="00C70317"/>
    <w:rsid w:val="00C70A96"/>
    <w:rsid w:val="00C70F76"/>
    <w:rsid w:val="00C712F9"/>
    <w:rsid w:val="00C71359"/>
    <w:rsid w:val="00C716AA"/>
    <w:rsid w:val="00C71800"/>
    <w:rsid w:val="00C71808"/>
    <w:rsid w:val="00C718EA"/>
    <w:rsid w:val="00C71980"/>
    <w:rsid w:val="00C7199F"/>
    <w:rsid w:val="00C71F0F"/>
    <w:rsid w:val="00C72CEB"/>
    <w:rsid w:val="00C73266"/>
    <w:rsid w:val="00C733C2"/>
    <w:rsid w:val="00C7342E"/>
    <w:rsid w:val="00C73666"/>
    <w:rsid w:val="00C737D3"/>
    <w:rsid w:val="00C7385D"/>
    <w:rsid w:val="00C73A44"/>
    <w:rsid w:val="00C73ADA"/>
    <w:rsid w:val="00C73D92"/>
    <w:rsid w:val="00C740DD"/>
    <w:rsid w:val="00C74AB2"/>
    <w:rsid w:val="00C74CB2"/>
    <w:rsid w:val="00C74ECD"/>
    <w:rsid w:val="00C7503B"/>
    <w:rsid w:val="00C7542B"/>
    <w:rsid w:val="00C75879"/>
    <w:rsid w:val="00C75BAE"/>
    <w:rsid w:val="00C76C74"/>
    <w:rsid w:val="00C76CC8"/>
    <w:rsid w:val="00C773CB"/>
    <w:rsid w:val="00C778D4"/>
    <w:rsid w:val="00C77DDA"/>
    <w:rsid w:val="00C8000F"/>
    <w:rsid w:val="00C809B4"/>
    <w:rsid w:val="00C80A27"/>
    <w:rsid w:val="00C80C16"/>
    <w:rsid w:val="00C80F2E"/>
    <w:rsid w:val="00C8126E"/>
    <w:rsid w:val="00C812C3"/>
    <w:rsid w:val="00C8188D"/>
    <w:rsid w:val="00C819D7"/>
    <w:rsid w:val="00C822FD"/>
    <w:rsid w:val="00C82496"/>
    <w:rsid w:val="00C824F3"/>
    <w:rsid w:val="00C82820"/>
    <w:rsid w:val="00C82A81"/>
    <w:rsid w:val="00C82E73"/>
    <w:rsid w:val="00C830AE"/>
    <w:rsid w:val="00C833F5"/>
    <w:rsid w:val="00C8344B"/>
    <w:rsid w:val="00C834C8"/>
    <w:rsid w:val="00C84194"/>
    <w:rsid w:val="00C845DD"/>
    <w:rsid w:val="00C846A6"/>
    <w:rsid w:val="00C8477E"/>
    <w:rsid w:val="00C84C6A"/>
    <w:rsid w:val="00C851E3"/>
    <w:rsid w:val="00C85527"/>
    <w:rsid w:val="00C85721"/>
    <w:rsid w:val="00C8590B"/>
    <w:rsid w:val="00C85B89"/>
    <w:rsid w:val="00C86149"/>
    <w:rsid w:val="00C8636D"/>
    <w:rsid w:val="00C86961"/>
    <w:rsid w:val="00C86C73"/>
    <w:rsid w:val="00C86CF8"/>
    <w:rsid w:val="00C86D64"/>
    <w:rsid w:val="00C86EDE"/>
    <w:rsid w:val="00C8703B"/>
    <w:rsid w:val="00C875C4"/>
    <w:rsid w:val="00C87604"/>
    <w:rsid w:val="00C8782F"/>
    <w:rsid w:val="00C879AC"/>
    <w:rsid w:val="00C87AB9"/>
    <w:rsid w:val="00C87B66"/>
    <w:rsid w:val="00C87D8E"/>
    <w:rsid w:val="00C9000A"/>
    <w:rsid w:val="00C902C8"/>
    <w:rsid w:val="00C90EDF"/>
    <w:rsid w:val="00C91379"/>
    <w:rsid w:val="00C913A3"/>
    <w:rsid w:val="00C915EA"/>
    <w:rsid w:val="00C91880"/>
    <w:rsid w:val="00C92142"/>
    <w:rsid w:val="00C922F3"/>
    <w:rsid w:val="00C92417"/>
    <w:rsid w:val="00C92C11"/>
    <w:rsid w:val="00C93828"/>
    <w:rsid w:val="00C93AF2"/>
    <w:rsid w:val="00C93BA2"/>
    <w:rsid w:val="00C93D30"/>
    <w:rsid w:val="00C9486A"/>
    <w:rsid w:val="00C94A80"/>
    <w:rsid w:val="00C95907"/>
    <w:rsid w:val="00C95F2A"/>
    <w:rsid w:val="00C95FEB"/>
    <w:rsid w:val="00C9676C"/>
    <w:rsid w:val="00C975D0"/>
    <w:rsid w:val="00C97614"/>
    <w:rsid w:val="00CA01FD"/>
    <w:rsid w:val="00CA0A45"/>
    <w:rsid w:val="00CA0C6B"/>
    <w:rsid w:val="00CA1366"/>
    <w:rsid w:val="00CA23A6"/>
    <w:rsid w:val="00CA2636"/>
    <w:rsid w:val="00CA2719"/>
    <w:rsid w:val="00CA289C"/>
    <w:rsid w:val="00CA2FBC"/>
    <w:rsid w:val="00CA31C7"/>
    <w:rsid w:val="00CA33F0"/>
    <w:rsid w:val="00CA3484"/>
    <w:rsid w:val="00CA3BBF"/>
    <w:rsid w:val="00CA3FDC"/>
    <w:rsid w:val="00CA487F"/>
    <w:rsid w:val="00CA48B8"/>
    <w:rsid w:val="00CA50E4"/>
    <w:rsid w:val="00CA5402"/>
    <w:rsid w:val="00CA56C2"/>
    <w:rsid w:val="00CA59BE"/>
    <w:rsid w:val="00CA5CF2"/>
    <w:rsid w:val="00CA5E88"/>
    <w:rsid w:val="00CA643A"/>
    <w:rsid w:val="00CA64BF"/>
    <w:rsid w:val="00CA64EC"/>
    <w:rsid w:val="00CA6645"/>
    <w:rsid w:val="00CA703E"/>
    <w:rsid w:val="00CA763E"/>
    <w:rsid w:val="00CA782A"/>
    <w:rsid w:val="00CA7858"/>
    <w:rsid w:val="00CA798A"/>
    <w:rsid w:val="00CA7EF2"/>
    <w:rsid w:val="00CB0AF0"/>
    <w:rsid w:val="00CB0B4C"/>
    <w:rsid w:val="00CB1780"/>
    <w:rsid w:val="00CB17EA"/>
    <w:rsid w:val="00CB20D3"/>
    <w:rsid w:val="00CB23B9"/>
    <w:rsid w:val="00CB34A0"/>
    <w:rsid w:val="00CB3579"/>
    <w:rsid w:val="00CB3767"/>
    <w:rsid w:val="00CB3A82"/>
    <w:rsid w:val="00CB4341"/>
    <w:rsid w:val="00CB4713"/>
    <w:rsid w:val="00CB4858"/>
    <w:rsid w:val="00CB48CF"/>
    <w:rsid w:val="00CB637C"/>
    <w:rsid w:val="00CB63E3"/>
    <w:rsid w:val="00CB6947"/>
    <w:rsid w:val="00CB6CA2"/>
    <w:rsid w:val="00CB7776"/>
    <w:rsid w:val="00CB7CE9"/>
    <w:rsid w:val="00CB7FFB"/>
    <w:rsid w:val="00CC0504"/>
    <w:rsid w:val="00CC0616"/>
    <w:rsid w:val="00CC0AA0"/>
    <w:rsid w:val="00CC0C06"/>
    <w:rsid w:val="00CC0EEE"/>
    <w:rsid w:val="00CC14BF"/>
    <w:rsid w:val="00CC1AAF"/>
    <w:rsid w:val="00CC1AD7"/>
    <w:rsid w:val="00CC1FF4"/>
    <w:rsid w:val="00CC202B"/>
    <w:rsid w:val="00CC2CE6"/>
    <w:rsid w:val="00CC3584"/>
    <w:rsid w:val="00CC3A7D"/>
    <w:rsid w:val="00CC3CDF"/>
    <w:rsid w:val="00CC3DDE"/>
    <w:rsid w:val="00CC42EF"/>
    <w:rsid w:val="00CC48FF"/>
    <w:rsid w:val="00CC4A9A"/>
    <w:rsid w:val="00CC530F"/>
    <w:rsid w:val="00CC5B3C"/>
    <w:rsid w:val="00CC5CC8"/>
    <w:rsid w:val="00CC6722"/>
    <w:rsid w:val="00CC67D5"/>
    <w:rsid w:val="00CC686B"/>
    <w:rsid w:val="00CC703D"/>
    <w:rsid w:val="00CC7365"/>
    <w:rsid w:val="00CC7702"/>
    <w:rsid w:val="00CC7BBF"/>
    <w:rsid w:val="00CC7BC1"/>
    <w:rsid w:val="00CC7F39"/>
    <w:rsid w:val="00CD1288"/>
    <w:rsid w:val="00CD1770"/>
    <w:rsid w:val="00CD1EA3"/>
    <w:rsid w:val="00CD1ED9"/>
    <w:rsid w:val="00CD2089"/>
    <w:rsid w:val="00CD25DB"/>
    <w:rsid w:val="00CD2663"/>
    <w:rsid w:val="00CD26FF"/>
    <w:rsid w:val="00CD2721"/>
    <w:rsid w:val="00CD324C"/>
    <w:rsid w:val="00CD3401"/>
    <w:rsid w:val="00CD3550"/>
    <w:rsid w:val="00CD36D6"/>
    <w:rsid w:val="00CD3B70"/>
    <w:rsid w:val="00CD3D28"/>
    <w:rsid w:val="00CD3D6E"/>
    <w:rsid w:val="00CD3D90"/>
    <w:rsid w:val="00CD3F31"/>
    <w:rsid w:val="00CD49DE"/>
    <w:rsid w:val="00CD4DEC"/>
    <w:rsid w:val="00CD4E11"/>
    <w:rsid w:val="00CD4EF9"/>
    <w:rsid w:val="00CD5B82"/>
    <w:rsid w:val="00CD617B"/>
    <w:rsid w:val="00CD62E8"/>
    <w:rsid w:val="00CD63E9"/>
    <w:rsid w:val="00CD6AC8"/>
    <w:rsid w:val="00CD7B00"/>
    <w:rsid w:val="00CD7FE6"/>
    <w:rsid w:val="00CE0F59"/>
    <w:rsid w:val="00CE2AA0"/>
    <w:rsid w:val="00CE2C6A"/>
    <w:rsid w:val="00CE3196"/>
    <w:rsid w:val="00CE31D9"/>
    <w:rsid w:val="00CE3270"/>
    <w:rsid w:val="00CE337B"/>
    <w:rsid w:val="00CE357E"/>
    <w:rsid w:val="00CE3EA6"/>
    <w:rsid w:val="00CE431F"/>
    <w:rsid w:val="00CE4680"/>
    <w:rsid w:val="00CE46CE"/>
    <w:rsid w:val="00CE548E"/>
    <w:rsid w:val="00CE5E41"/>
    <w:rsid w:val="00CE6924"/>
    <w:rsid w:val="00CE70F8"/>
    <w:rsid w:val="00CE71C0"/>
    <w:rsid w:val="00CE746A"/>
    <w:rsid w:val="00CE7C68"/>
    <w:rsid w:val="00CE7E7C"/>
    <w:rsid w:val="00CF075E"/>
    <w:rsid w:val="00CF0F94"/>
    <w:rsid w:val="00CF1945"/>
    <w:rsid w:val="00CF1FB5"/>
    <w:rsid w:val="00CF201B"/>
    <w:rsid w:val="00CF2153"/>
    <w:rsid w:val="00CF2588"/>
    <w:rsid w:val="00CF3843"/>
    <w:rsid w:val="00CF3BF0"/>
    <w:rsid w:val="00CF3E09"/>
    <w:rsid w:val="00CF42F3"/>
    <w:rsid w:val="00CF4883"/>
    <w:rsid w:val="00CF4DAA"/>
    <w:rsid w:val="00CF5121"/>
    <w:rsid w:val="00CF51C9"/>
    <w:rsid w:val="00CF6458"/>
    <w:rsid w:val="00CF64DC"/>
    <w:rsid w:val="00CF6724"/>
    <w:rsid w:val="00CF67FF"/>
    <w:rsid w:val="00CF742A"/>
    <w:rsid w:val="00CF7601"/>
    <w:rsid w:val="00CF778D"/>
    <w:rsid w:val="00CF799B"/>
    <w:rsid w:val="00CF7F15"/>
    <w:rsid w:val="00D008B7"/>
    <w:rsid w:val="00D009C4"/>
    <w:rsid w:val="00D01C05"/>
    <w:rsid w:val="00D02BE2"/>
    <w:rsid w:val="00D03150"/>
    <w:rsid w:val="00D031CA"/>
    <w:rsid w:val="00D03507"/>
    <w:rsid w:val="00D03560"/>
    <w:rsid w:val="00D036A8"/>
    <w:rsid w:val="00D037DA"/>
    <w:rsid w:val="00D03851"/>
    <w:rsid w:val="00D03960"/>
    <w:rsid w:val="00D03C89"/>
    <w:rsid w:val="00D03D9E"/>
    <w:rsid w:val="00D04087"/>
    <w:rsid w:val="00D04934"/>
    <w:rsid w:val="00D05906"/>
    <w:rsid w:val="00D060AF"/>
    <w:rsid w:val="00D069F3"/>
    <w:rsid w:val="00D073A2"/>
    <w:rsid w:val="00D07C93"/>
    <w:rsid w:val="00D07D56"/>
    <w:rsid w:val="00D07DDE"/>
    <w:rsid w:val="00D106A6"/>
    <w:rsid w:val="00D108F1"/>
    <w:rsid w:val="00D10F4E"/>
    <w:rsid w:val="00D11758"/>
    <w:rsid w:val="00D11978"/>
    <w:rsid w:val="00D11ABA"/>
    <w:rsid w:val="00D11D48"/>
    <w:rsid w:val="00D11FAC"/>
    <w:rsid w:val="00D11FE5"/>
    <w:rsid w:val="00D12082"/>
    <w:rsid w:val="00D12E5D"/>
    <w:rsid w:val="00D12FCA"/>
    <w:rsid w:val="00D14404"/>
    <w:rsid w:val="00D14425"/>
    <w:rsid w:val="00D144BC"/>
    <w:rsid w:val="00D1462B"/>
    <w:rsid w:val="00D14A86"/>
    <w:rsid w:val="00D14E10"/>
    <w:rsid w:val="00D14F22"/>
    <w:rsid w:val="00D1528F"/>
    <w:rsid w:val="00D156D2"/>
    <w:rsid w:val="00D15794"/>
    <w:rsid w:val="00D159F7"/>
    <w:rsid w:val="00D15A04"/>
    <w:rsid w:val="00D15A1E"/>
    <w:rsid w:val="00D15FE2"/>
    <w:rsid w:val="00D16197"/>
    <w:rsid w:val="00D1652A"/>
    <w:rsid w:val="00D169AC"/>
    <w:rsid w:val="00D1740A"/>
    <w:rsid w:val="00D1769D"/>
    <w:rsid w:val="00D17762"/>
    <w:rsid w:val="00D179D2"/>
    <w:rsid w:val="00D200E3"/>
    <w:rsid w:val="00D201A3"/>
    <w:rsid w:val="00D201FF"/>
    <w:rsid w:val="00D20FFB"/>
    <w:rsid w:val="00D21C78"/>
    <w:rsid w:val="00D223DC"/>
    <w:rsid w:val="00D2271A"/>
    <w:rsid w:val="00D22B89"/>
    <w:rsid w:val="00D22B95"/>
    <w:rsid w:val="00D22FE1"/>
    <w:rsid w:val="00D234FF"/>
    <w:rsid w:val="00D23A5B"/>
    <w:rsid w:val="00D23F71"/>
    <w:rsid w:val="00D2473D"/>
    <w:rsid w:val="00D24A3E"/>
    <w:rsid w:val="00D2529C"/>
    <w:rsid w:val="00D2540D"/>
    <w:rsid w:val="00D25579"/>
    <w:rsid w:val="00D259EF"/>
    <w:rsid w:val="00D26309"/>
    <w:rsid w:val="00D268BF"/>
    <w:rsid w:val="00D269E0"/>
    <w:rsid w:val="00D26A5F"/>
    <w:rsid w:val="00D26DDE"/>
    <w:rsid w:val="00D2702E"/>
    <w:rsid w:val="00D3125A"/>
    <w:rsid w:val="00D3197E"/>
    <w:rsid w:val="00D31C01"/>
    <w:rsid w:val="00D3201E"/>
    <w:rsid w:val="00D3226F"/>
    <w:rsid w:val="00D327B9"/>
    <w:rsid w:val="00D32C18"/>
    <w:rsid w:val="00D33177"/>
    <w:rsid w:val="00D332EF"/>
    <w:rsid w:val="00D33B73"/>
    <w:rsid w:val="00D33DB5"/>
    <w:rsid w:val="00D346B2"/>
    <w:rsid w:val="00D3484A"/>
    <w:rsid w:val="00D34883"/>
    <w:rsid w:val="00D34CBE"/>
    <w:rsid w:val="00D34CDF"/>
    <w:rsid w:val="00D34D3B"/>
    <w:rsid w:val="00D34DBB"/>
    <w:rsid w:val="00D35C25"/>
    <w:rsid w:val="00D36BB6"/>
    <w:rsid w:val="00D36C82"/>
    <w:rsid w:val="00D36D5C"/>
    <w:rsid w:val="00D36E39"/>
    <w:rsid w:val="00D370EE"/>
    <w:rsid w:val="00D37466"/>
    <w:rsid w:val="00D375D8"/>
    <w:rsid w:val="00D37C3D"/>
    <w:rsid w:val="00D40B22"/>
    <w:rsid w:val="00D411A5"/>
    <w:rsid w:val="00D416FD"/>
    <w:rsid w:val="00D41A84"/>
    <w:rsid w:val="00D41D50"/>
    <w:rsid w:val="00D41E42"/>
    <w:rsid w:val="00D42364"/>
    <w:rsid w:val="00D4261C"/>
    <w:rsid w:val="00D4268B"/>
    <w:rsid w:val="00D426B9"/>
    <w:rsid w:val="00D4274C"/>
    <w:rsid w:val="00D42912"/>
    <w:rsid w:val="00D42B72"/>
    <w:rsid w:val="00D42CC2"/>
    <w:rsid w:val="00D43A1F"/>
    <w:rsid w:val="00D43E51"/>
    <w:rsid w:val="00D44931"/>
    <w:rsid w:val="00D449F6"/>
    <w:rsid w:val="00D44CD8"/>
    <w:rsid w:val="00D451F5"/>
    <w:rsid w:val="00D452CD"/>
    <w:rsid w:val="00D45640"/>
    <w:rsid w:val="00D464F3"/>
    <w:rsid w:val="00D4675F"/>
    <w:rsid w:val="00D46CE7"/>
    <w:rsid w:val="00D474F8"/>
    <w:rsid w:val="00D47792"/>
    <w:rsid w:val="00D47A60"/>
    <w:rsid w:val="00D47BEB"/>
    <w:rsid w:val="00D47D96"/>
    <w:rsid w:val="00D500B8"/>
    <w:rsid w:val="00D501AD"/>
    <w:rsid w:val="00D5020D"/>
    <w:rsid w:val="00D50B64"/>
    <w:rsid w:val="00D50C00"/>
    <w:rsid w:val="00D513DC"/>
    <w:rsid w:val="00D51AAC"/>
    <w:rsid w:val="00D51BC2"/>
    <w:rsid w:val="00D51DE2"/>
    <w:rsid w:val="00D52F4B"/>
    <w:rsid w:val="00D52FD6"/>
    <w:rsid w:val="00D53336"/>
    <w:rsid w:val="00D53823"/>
    <w:rsid w:val="00D538D7"/>
    <w:rsid w:val="00D53AE8"/>
    <w:rsid w:val="00D53B29"/>
    <w:rsid w:val="00D53BD6"/>
    <w:rsid w:val="00D53F86"/>
    <w:rsid w:val="00D550D6"/>
    <w:rsid w:val="00D554FF"/>
    <w:rsid w:val="00D55552"/>
    <w:rsid w:val="00D55AA3"/>
    <w:rsid w:val="00D55BD1"/>
    <w:rsid w:val="00D565E0"/>
    <w:rsid w:val="00D56793"/>
    <w:rsid w:val="00D569FE"/>
    <w:rsid w:val="00D57002"/>
    <w:rsid w:val="00D57172"/>
    <w:rsid w:val="00D57A51"/>
    <w:rsid w:val="00D57F6A"/>
    <w:rsid w:val="00D60068"/>
    <w:rsid w:val="00D60107"/>
    <w:rsid w:val="00D601E8"/>
    <w:rsid w:val="00D60619"/>
    <w:rsid w:val="00D608C4"/>
    <w:rsid w:val="00D61841"/>
    <w:rsid w:val="00D61C27"/>
    <w:rsid w:val="00D61F96"/>
    <w:rsid w:val="00D621B5"/>
    <w:rsid w:val="00D6301B"/>
    <w:rsid w:val="00D63139"/>
    <w:rsid w:val="00D63521"/>
    <w:rsid w:val="00D63DE2"/>
    <w:rsid w:val="00D65747"/>
    <w:rsid w:val="00D65781"/>
    <w:rsid w:val="00D6578E"/>
    <w:rsid w:val="00D66178"/>
    <w:rsid w:val="00D6627D"/>
    <w:rsid w:val="00D66344"/>
    <w:rsid w:val="00D66455"/>
    <w:rsid w:val="00D667A5"/>
    <w:rsid w:val="00D66A82"/>
    <w:rsid w:val="00D6762F"/>
    <w:rsid w:val="00D67ACD"/>
    <w:rsid w:val="00D705AE"/>
    <w:rsid w:val="00D70EAA"/>
    <w:rsid w:val="00D710EC"/>
    <w:rsid w:val="00D71394"/>
    <w:rsid w:val="00D71A2F"/>
    <w:rsid w:val="00D71E45"/>
    <w:rsid w:val="00D726D2"/>
    <w:rsid w:val="00D736F2"/>
    <w:rsid w:val="00D739D3"/>
    <w:rsid w:val="00D73D14"/>
    <w:rsid w:val="00D74250"/>
    <w:rsid w:val="00D743D9"/>
    <w:rsid w:val="00D745A5"/>
    <w:rsid w:val="00D74818"/>
    <w:rsid w:val="00D74C25"/>
    <w:rsid w:val="00D74D07"/>
    <w:rsid w:val="00D7585E"/>
    <w:rsid w:val="00D75A66"/>
    <w:rsid w:val="00D7640B"/>
    <w:rsid w:val="00D7688D"/>
    <w:rsid w:val="00D7692E"/>
    <w:rsid w:val="00D769CA"/>
    <w:rsid w:val="00D76C0A"/>
    <w:rsid w:val="00D77010"/>
    <w:rsid w:val="00D77033"/>
    <w:rsid w:val="00D778DB"/>
    <w:rsid w:val="00D77CC5"/>
    <w:rsid w:val="00D77F0D"/>
    <w:rsid w:val="00D77F36"/>
    <w:rsid w:val="00D801FD"/>
    <w:rsid w:val="00D80626"/>
    <w:rsid w:val="00D80DB6"/>
    <w:rsid w:val="00D80FF0"/>
    <w:rsid w:val="00D811F6"/>
    <w:rsid w:val="00D81256"/>
    <w:rsid w:val="00D813DC"/>
    <w:rsid w:val="00D81856"/>
    <w:rsid w:val="00D8205B"/>
    <w:rsid w:val="00D822FF"/>
    <w:rsid w:val="00D82303"/>
    <w:rsid w:val="00D83451"/>
    <w:rsid w:val="00D83590"/>
    <w:rsid w:val="00D836A4"/>
    <w:rsid w:val="00D83DEA"/>
    <w:rsid w:val="00D84112"/>
    <w:rsid w:val="00D8421B"/>
    <w:rsid w:val="00D84518"/>
    <w:rsid w:val="00D8463D"/>
    <w:rsid w:val="00D84BED"/>
    <w:rsid w:val="00D84E59"/>
    <w:rsid w:val="00D8525B"/>
    <w:rsid w:val="00D860FF"/>
    <w:rsid w:val="00D86214"/>
    <w:rsid w:val="00D86231"/>
    <w:rsid w:val="00D86608"/>
    <w:rsid w:val="00D86937"/>
    <w:rsid w:val="00D869C0"/>
    <w:rsid w:val="00D86C3A"/>
    <w:rsid w:val="00D86E1A"/>
    <w:rsid w:val="00D86E98"/>
    <w:rsid w:val="00D879B2"/>
    <w:rsid w:val="00D90202"/>
    <w:rsid w:val="00D90849"/>
    <w:rsid w:val="00D90A2B"/>
    <w:rsid w:val="00D91189"/>
    <w:rsid w:val="00D9134C"/>
    <w:rsid w:val="00D91A49"/>
    <w:rsid w:val="00D91D76"/>
    <w:rsid w:val="00D9232A"/>
    <w:rsid w:val="00D92341"/>
    <w:rsid w:val="00D9234B"/>
    <w:rsid w:val="00D9326A"/>
    <w:rsid w:val="00D943CF"/>
    <w:rsid w:val="00D94F82"/>
    <w:rsid w:val="00D951A1"/>
    <w:rsid w:val="00D955A3"/>
    <w:rsid w:val="00D96183"/>
    <w:rsid w:val="00D961B5"/>
    <w:rsid w:val="00D96CE6"/>
    <w:rsid w:val="00D96E82"/>
    <w:rsid w:val="00D97417"/>
    <w:rsid w:val="00D97483"/>
    <w:rsid w:val="00D9756A"/>
    <w:rsid w:val="00D97E58"/>
    <w:rsid w:val="00D97F45"/>
    <w:rsid w:val="00DA0061"/>
    <w:rsid w:val="00DA05A7"/>
    <w:rsid w:val="00DA0DFD"/>
    <w:rsid w:val="00DA14F4"/>
    <w:rsid w:val="00DA17E6"/>
    <w:rsid w:val="00DA1D7D"/>
    <w:rsid w:val="00DA1E80"/>
    <w:rsid w:val="00DA20D3"/>
    <w:rsid w:val="00DA264B"/>
    <w:rsid w:val="00DA2EDB"/>
    <w:rsid w:val="00DA3377"/>
    <w:rsid w:val="00DA343A"/>
    <w:rsid w:val="00DA34AC"/>
    <w:rsid w:val="00DA3511"/>
    <w:rsid w:val="00DA3815"/>
    <w:rsid w:val="00DA4429"/>
    <w:rsid w:val="00DA5318"/>
    <w:rsid w:val="00DA5FC2"/>
    <w:rsid w:val="00DA61A1"/>
    <w:rsid w:val="00DA6798"/>
    <w:rsid w:val="00DA7843"/>
    <w:rsid w:val="00DA7B0C"/>
    <w:rsid w:val="00DA7DB4"/>
    <w:rsid w:val="00DB00B9"/>
    <w:rsid w:val="00DB01E2"/>
    <w:rsid w:val="00DB01F5"/>
    <w:rsid w:val="00DB039B"/>
    <w:rsid w:val="00DB050C"/>
    <w:rsid w:val="00DB076A"/>
    <w:rsid w:val="00DB0A62"/>
    <w:rsid w:val="00DB0F01"/>
    <w:rsid w:val="00DB0F18"/>
    <w:rsid w:val="00DB1180"/>
    <w:rsid w:val="00DB11B3"/>
    <w:rsid w:val="00DB1359"/>
    <w:rsid w:val="00DB18CF"/>
    <w:rsid w:val="00DB22F3"/>
    <w:rsid w:val="00DB26B7"/>
    <w:rsid w:val="00DB301D"/>
    <w:rsid w:val="00DB3749"/>
    <w:rsid w:val="00DB397C"/>
    <w:rsid w:val="00DB3FF2"/>
    <w:rsid w:val="00DB43F3"/>
    <w:rsid w:val="00DB5035"/>
    <w:rsid w:val="00DB5054"/>
    <w:rsid w:val="00DB58E1"/>
    <w:rsid w:val="00DB6187"/>
    <w:rsid w:val="00DB69E4"/>
    <w:rsid w:val="00DB6BD8"/>
    <w:rsid w:val="00DB6E9C"/>
    <w:rsid w:val="00DB7466"/>
    <w:rsid w:val="00DB75B1"/>
    <w:rsid w:val="00DC0456"/>
    <w:rsid w:val="00DC0B43"/>
    <w:rsid w:val="00DC0FF5"/>
    <w:rsid w:val="00DC10B8"/>
    <w:rsid w:val="00DC10DB"/>
    <w:rsid w:val="00DC1161"/>
    <w:rsid w:val="00DC1883"/>
    <w:rsid w:val="00DC1A87"/>
    <w:rsid w:val="00DC1BDC"/>
    <w:rsid w:val="00DC1DBB"/>
    <w:rsid w:val="00DC1F1A"/>
    <w:rsid w:val="00DC229B"/>
    <w:rsid w:val="00DC2600"/>
    <w:rsid w:val="00DC2A06"/>
    <w:rsid w:val="00DC2AC0"/>
    <w:rsid w:val="00DC2B4E"/>
    <w:rsid w:val="00DC2C55"/>
    <w:rsid w:val="00DC3178"/>
    <w:rsid w:val="00DC332D"/>
    <w:rsid w:val="00DC357D"/>
    <w:rsid w:val="00DC36AD"/>
    <w:rsid w:val="00DC3A6B"/>
    <w:rsid w:val="00DC3B50"/>
    <w:rsid w:val="00DC3C61"/>
    <w:rsid w:val="00DC4242"/>
    <w:rsid w:val="00DC435F"/>
    <w:rsid w:val="00DC454B"/>
    <w:rsid w:val="00DC4709"/>
    <w:rsid w:val="00DC4A7B"/>
    <w:rsid w:val="00DC4DE2"/>
    <w:rsid w:val="00DC553A"/>
    <w:rsid w:val="00DC5CF8"/>
    <w:rsid w:val="00DC5E3B"/>
    <w:rsid w:val="00DC68B4"/>
    <w:rsid w:val="00DC6DA8"/>
    <w:rsid w:val="00DC6FD1"/>
    <w:rsid w:val="00DC71C2"/>
    <w:rsid w:val="00DC79D1"/>
    <w:rsid w:val="00DC7D30"/>
    <w:rsid w:val="00DC7D6B"/>
    <w:rsid w:val="00DC7DF0"/>
    <w:rsid w:val="00DD04A3"/>
    <w:rsid w:val="00DD0C56"/>
    <w:rsid w:val="00DD0F8C"/>
    <w:rsid w:val="00DD10CF"/>
    <w:rsid w:val="00DD15ED"/>
    <w:rsid w:val="00DD1701"/>
    <w:rsid w:val="00DD1D27"/>
    <w:rsid w:val="00DD1D94"/>
    <w:rsid w:val="00DD1DCC"/>
    <w:rsid w:val="00DD1E1D"/>
    <w:rsid w:val="00DD1F04"/>
    <w:rsid w:val="00DD22DB"/>
    <w:rsid w:val="00DD3A02"/>
    <w:rsid w:val="00DD3B21"/>
    <w:rsid w:val="00DD3CA3"/>
    <w:rsid w:val="00DD3E8F"/>
    <w:rsid w:val="00DD3F63"/>
    <w:rsid w:val="00DD40C7"/>
    <w:rsid w:val="00DD4253"/>
    <w:rsid w:val="00DD44CA"/>
    <w:rsid w:val="00DD4890"/>
    <w:rsid w:val="00DD4C95"/>
    <w:rsid w:val="00DD4D30"/>
    <w:rsid w:val="00DD58CD"/>
    <w:rsid w:val="00DD6AE1"/>
    <w:rsid w:val="00DD7214"/>
    <w:rsid w:val="00DD783B"/>
    <w:rsid w:val="00DD797C"/>
    <w:rsid w:val="00DE022C"/>
    <w:rsid w:val="00DE023E"/>
    <w:rsid w:val="00DE026C"/>
    <w:rsid w:val="00DE11EC"/>
    <w:rsid w:val="00DE14C1"/>
    <w:rsid w:val="00DE18FA"/>
    <w:rsid w:val="00DE1A9A"/>
    <w:rsid w:val="00DE2025"/>
    <w:rsid w:val="00DE21AD"/>
    <w:rsid w:val="00DE2730"/>
    <w:rsid w:val="00DE2D15"/>
    <w:rsid w:val="00DE2D63"/>
    <w:rsid w:val="00DE31CD"/>
    <w:rsid w:val="00DE3312"/>
    <w:rsid w:val="00DE3453"/>
    <w:rsid w:val="00DE36F8"/>
    <w:rsid w:val="00DE385B"/>
    <w:rsid w:val="00DE44B1"/>
    <w:rsid w:val="00DE46B1"/>
    <w:rsid w:val="00DE4E48"/>
    <w:rsid w:val="00DE5045"/>
    <w:rsid w:val="00DE5371"/>
    <w:rsid w:val="00DE53D6"/>
    <w:rsid w:val="00DE59BB"/>
    <w:rsid w:val="00DE5EC5"/>
    <w:rsid w:val="00DE6124"/>
    <w:rsid w:val="00DE6237"/>
    <w:rsid w:val="00DE6A80"/>
    <w:rsid w:val="00DE6BAB"/>
    <w:rsid w:val="00DE6CA2"/>
    <w:rsid w:val="00DE7909"/>
    <w:rsid w:val="00DE7995"/>
    <w:rsid w:val="00DF0211"/>
    <w:rsid w:val="00DF0955"/>
    <w:rsid w:val="00DF12F8"/>
    <w:rsid w:val="00DF13C4"/>
    <w:rsid w:val="00DF13FB"/>
    <w:rsid w:val="00DF1519"/>
    <w:rsid w:val="00DF1702"/>
    <w:rsid w:val="00DF17CF"/>
    <w:rsid w:val="00DF17E5"/>
    <w:rsid w:val="00DF1979"/>
    <w:rsid w:val="00DF1BFF"/>
    <w:rsid w:val="00DF1FAA"/>
    <w:rsid w:val="00DF1FE6"/>
    <w:rsid w:val="00DF25C6"/>
    <w:rsid w:val="00DF2AFC"/>
    <w:rsid w:val="00DF2B6E"/>
    <w:rsid w:val="00DF2C30"/>
    <w:rsid w:val="00DF365C"/>
    <w:rsid w:val="00DF36C9"/>
    <w:rsid w:val="00DF36DC"/>
    <w:rsid w:val="00DF3813"/>
    <w:rsid w:val="00DF4BB1"/>
    <w:rsid w:val="00DF4D36"/>
    <w:rsid w:val="00DF4E6F"/>
    <w:rsid w:val="00DF4F35"/>
    <w:rsid w:val="00DF5861"/>
    <w:rsid w:val="00DF592E"/>
    <w:rsid w:val="00DF5B12"/>
    <w:rsid w:val="00DF61F5"/>
    <w:rsid w:val="00DF620E"/>
    <w:rsid w:val="00DF6CB2"/>
    <w:rsid w:val="00DF751E"/>
    <w:rsid w:val="00DF75FF"/>
    <w:rsid w:val="00DF78D1"/>
    <w:rsid w:val="00DF7990"/>
    <w:rsid w:val="00DF7DB9"/>
    <w:rsid w:val="00DF7E94"/>
    <w:rsid w:val="00DF7EF6"/>
    <w:rsid w:val="00DF7FFC"/>
    <w:rsid w:val="00E00390"/>
    <w:rsid w:val="00E00C94"/>
    <w:rsid w:val="00E01C72"/>
    <w:rsid w:val="00E02438"/>
    <w:rsid w:val="00E02445"/>
    <w:rsid w:val="00E0259F"/>
    <w:rsid w:val="00E02818"/>
    <w:rsid w:val="00E02860"/>
    <w:rsid w:val="00E034FE"/>
    <w:rsid w:val="00E0357C"/>
    <w:rsid w:val="00E04964"/>
    <w:rsid w:val="00E052DA"/>
    <w:rsid w:val="00E0566F"/>
    <w:rsid w:val="00E0574F"/>
    <w:rsid w:val="00E05918"/>
    <w:rsid w:val="00E06022"/>
    <w:rsid w:val="00E06209"/>
    <w:rsid w:val="00E06D71"/>
    <w:rsid w:val="00E075C3"/>
    <w:rsid w:val="00E07C30"/>
    <w:rsid w:val="00E106B8"/>
    <w:rsid w:val="00E108AC"/>
    <w:rsid w:val="00E10A81"/>
    <w:rsid w:val="00E10C52"/>
    <w:rsid w:val="00E1154E"/>
    <w:rsid w:val="00E11CE9"/>
    <w:rsid w:val="00E121DD"/>
    <w:rsid w:val="00E124CD"/>
    <w:rsid w:val="00E126B4"/>
    <w:rsid w:val="00E12C7A"/>
    <w:rsid w:val="00E1412E"/>
    <w:rsid w:val="00E14881"/>
    <w:rsid w:val="00E1489A"/>
    <w:rsid w:val="00E14F4E"/>
    <w:rsid w:val="00E15ECF"/>
    <w:rsid w:val="00E16182"/>
    <w:rsid w:val="00E1637F"/>
    <w:rsid w:val="00E163A7"/>
    <w:rsid w:val="00E1685B"/>
    <w:rsid w:val="00E16B73"/>
    <w:rsid w:val="00E170A3"/>
    <w:rsid w:val="00E1719C"/>
    <w:rsid w:val="00E175A4"/>
    <w:rsid w:val="00E2001F"/>
    <w:rsid w:val="00E200F5"/>
    <w:rsid w:val="00E20527"/>
    <w:rsid w:val="00E20AF6"/>
    <w:rsid w:val="00E20EE2"/>
    <w:rsid w:val="00E21119"/>
    <w:rsid w:val="00E211FE"/>
    <w:rsid w:val="00E217CF"/>
    <w:rsid w:val="00E21A43"/>
    <w:rsid w:val="00E21DAC"/>
    <w:rsid w:val="00E21F02"/>
    <w:rsid w:val="00E2214E"/>
    <w:rsid w:val="00E22AD2"/>
    <w:rsid w:val="00E22B58"/>
    <w:rsid w:val="00E22CD1"/>
    <w:rsid w:val="00E23226"/>
    <w:rsid w:val="00E232D0"/>
    <w:rsid w:val="00E233D4"/>
    <w:rsid w:val="00E2409E"/>
    <w:rsid w:val="00E245DA"/>
    <w:rsid w:val="00E2474B"/>
    <w:rsid w:val="00E24C4D"/>
    <w:rsid w:val="00E24CA0"/>
    <w:rsid w:val="00E24D7B"/>
    <w:rsid w:val="00E2558D"/>
    <w:rsid w:val="00E25C53"/>
    <w:rsid w:val="00E25E2D"/>
    <w:rsid w:val="00E25EEC"/>
    <w:rsid w:val="00E25F63"/>
    <w:rsid w:val="00E26068"/>
    <w:rsid w:val="00E2621D"/>
    <w:rsid w:val="00E262EA"/>
    <w:rsid w:val="00E26334"/>
    <w:rsid w:val="00E26635"/>
    <w:rsid w:val="00E26640"/>
    <w:rsid w:val="00E26C3E"/>
    <w:rsid w:val="00E26FFB"/>
    <w:rsid w:val="00E274BC"/>
    <w:rsid w:val="00E27A93"/>
    <w:rsid w:val="00E27C6A"/>
    <w:rsid w:val="00E27E44"/>
    <w:rsid w:val="00E27E95"/>
    <w:rsid w:val="00E27F87"/>
    <w:rsid w:val="00E3068B"/>
    <w:rsid w:val="00E308AC"/>
    <w:rsid w:val="00E30E9D"/>
    <w:rsid w:val="00E30ED9"/>
    <w:rsid w:val="00E31182"/>
    <w:rsid w:val="00E318DC"/>
    <w:rsid w:val="00E31C52"/>
    <w:rsid w:val="00E31CC9"/>
    <w:rsid w:val="00E324FF"/>
    <w:rsid w:val="00E32567"/>
    <w:rsid w:val="00E32C18"/>
    <w:rsid w:val="00E331D2"/>
    <w:rsid w:val="00E33714"/>
    <w:rsid w:val="00E3399E"/>
    <w:rsid w:val="00E33CA6"/>
    <w:rsid w:val="00E34025"/>
    <w:rsid w:val="00E3457A"/>
    <w:rsid w:val="00E34C29"/>
    <w:rsid w:val="00E34DA7"/>
    <w:rsid w:val="00E35778"/>
    <w:rsid w:val="00E36010"/>
    <w:rsid w:val="00E36C1B"/>
    <w:rsid w:val="00E37314"/>
    <w:rsid w:val="00E37595"/>
    <w:rsid w:val="00E40455"/>
    <w:rsid w:val="00E412A7"/>
    <w:rsid w:val="00E41314"/>
    <w:rsid w:val="00E41844"/>
    <w:rsid w:val="00E41A4C"/>
    <w:rsid w:val="00E42A3A"/>
    <w:rsid w:val="00E42C45"/>
    <w:rsid w:val="00E42E65"/>
    <w:rsid w:val="00E43920"/>
    <w:rsid w:val="00E43A41"/>
    <w:rsid w:val="00E4436A"/>
    <w:rsid w:val="00E4440D"/>
    <w:rsid w:val="00E44497"/>
    <w:rsid w:val="00E445EA"/>
    <w:rsid w:val="00E44B53"/>
    <w:rsid w:val="00E44B75"/>
    <w:rsid w:val="00E44C5D"/>
    <w:rsid w:val="00E44F3F"/>
    <w:rsid w:val="00E44FFA"/>
    <w:rsid w:val="00E4506E"/>
    <w:rsid w:val="00E454D7"/>
    <w:rsid w:val="00E45C57"/>
    <w:rsid w:val="00E45FF4"/>
    <w:rsid w:val="00E46217"/>
    <w:rsid w:val="00E4661A"/>
    <w:rsid w:val="00E46711"/>
    <w:rsid w:val="00E46A0F"/>
    <w:rsid w:val="00E470A3"/>
    <w:rsid w:val="00E47132"/>
    <w:rsid w:val="00E4752B"/>
    <w:rsid w:val="00E4795A"/>
    <w:rsid w:val="00E47A17"/>
    <w:rsid w:val="00E47A6C"/>
    <w:rsid w:val="00E50096"/>
    <w:rsid w:val="00E50331"/>
    <w:rsid w:val="00E50534"/>
    <w:rsid w:val="00E5070D"/>
    <w:rsid w:val="00E50893"/>
    <w:rsid w:val="00E50C56"/>
    <w:rsid w:val="00E50C7C"/>
    <w:rsid w:val="00E50FBA"/>
    <w:rsid w:val="00E517F1"/>
    <w:rsid w:val="00E5181D"/>
    <w:rsid w:val="00E521EF"/>
    <w:rsid w:val="00E523CB"/>
    <w:rsid w:val="00E5263F"/>
    <w:rsid w:val="00E52DF1"/>
    <w:rsid w:val="00E53177"/>
    <w:rsid w:val="00E53216"/>
    <w:rsid w:val="00E5357B"/>
    <w:rsid w:val="00E53890"/>
    <w:rsid w:val="00E53BBD"/>
    <w:rsid w:val="00E53EEE"/>
    <w:rsid w:val="00E5491E"/>
    <w:rsid w:val="00E54A0E"/>
    <w:rsid w:val="00E54B08"/>
    <w:rsid w:val="00E54C9C"/>
    <w:rsid w:val="00E54FB7"/>
    <w:rsid w:val="00E55160"/>
    <w:rsid w:val="00E55D31"/>
    <w:rsid w:val="00E55D39"/>
    <w:rsid w:val="00E55FCC"/>
    <w:rsid w:val="00E562FB"/>
    <w:rsid w:val="00E56425"/>
    <w:rsid w:val="00E56539"/>
    <w:rsid w:val="00E56C15"/>
    <w:rsid w:val="00E56DE3"/>
    <w:rsid w:val="00E56F7D"/>
    <w:rsid w:val="00E572AC"/>
    <w:rsid w:val="00E57530"/>
    <w:rsid w:val="00E577C2"/>
    <w:rsid w:val="00E577C4"/>
    <w:rsid w:val="00E6000E"/>
    <w:rsid w:val="00E61365"/>
    <w:rsid w:val="00E619E7"/>
    <w:rsid w:val="00E61A01"/>
    <w:rsid w:val="00E61CEF"/>
    <w:rsid w:val="00E61E11"/>
    <w:rsid w:val="00E62051"/>
    <w:rsid w:val="00E624B8"/>
    <w:rsid w:val="00E6299D"/>
    <w:rsid w:val="00E62A49"/>
    <w:rsid w:val="00E63888"/>
    <w:rsid w:val="00E63C7B"/>
    <w:rsid w:val="00E63F40"/>
    <w:rsid w:val="00E640B3"/>
    <w:rsid w:val="00E645B6"/>
    <w:rsid w:val="00E645F9"/>
    <w:rsid w:val="00E648DD"/>
    <w:rsid w:val="00E64BC7"/>
    <w:rsid w:val="00E650F6"/>
    <w:rsid w:val="00E65254"/>
    <w:rsid w:val="00E653E5"/>
    <w:rsid w:val="00E65508"/>
    <w:rsid w:val="00E656CA"/>
    <w:rsid w:val="00E65C21"/>
    <w:rsid w:val="00E65C8C"/>
    <w:rsid w:val="00E6601B"/>
    <w:rsid w:val="00E6643B"/>
    <w:rsid w:val="00E664E0"/>
    <w:rsid w:val="00E668AB"/>
    <w:rsid w:val="00E66DF5"/>
    <w:rsid w:val="00E66EA2"/>
    <w:rsid w:val="00E67101"/>
    <w:rsid w:val="00E676F2"/>
    <w:rsid w:val="00E701D5"/>
    <w:rsid w:val="00E70D9D"/>
    <w:rsid w:val="00E70E48"/>
    <w:rsid w:val="00E70EF9"/>
    <w:rsid w:val="00E71FC7"/>
    <w:rsid w:val="00E7252B"/>
    <w:rsid w:val="00E725BE"/>
    <w:rsid w:val="00E72BCD"/>
    <w:rsid w:val="00E72EFA"/>
    <w:rsid w:val="00E734CD"/>
    <w:rsid w:val="00E739BE"/>
    <w:rsid w:val="00E7403C"/>
    <w:rsid w:val="00E740E6"/>
    <w:rsid w:val="00E74C29"/>
    <w:rsid w:val="00E7516A"/>
    <w:rsid w:val="00E75BAC"/>
    <w:rsid w:val="00E75DAC"/>
    <w:rsid w:val="00E76345"/>
    <w:rsid w:val="00E766F2"/>
    <w:rsid w:val="00E767BC"/>
    <w:rsid w:val="00E77AE3"/>
    <w:rsid w:val="00E77ED7"/>
    <w:rsid w:val="00E8005F"/>
    <w:rsid w:val="00E801F4"/>
    <w:rsid w:val="00E802AE"/>
    <w:rsid w:val="00E80332"/>
    <w:rsid w:val="00E80833"/>
    <w:rsid w:val="00E809C2"/>
    <w:rsid w:val="00E80B7C"/>
    <w:rsid w:val="00E8114B"/>
    <w:rsid w:val="00E81AB6"/>
    <w:rsid w:val="00E81AFE"/>
    <w:rsid w:val="00E82113"/>
    <w:rsid w:val="00E82722"/>
    <w:rsid w:val="00E8272D"/>
    <w:rsid w:val="00E82C61"/>
    <w:rsid w:val="00E82CA7"/>
    <w:rsid w:val="00E83637"/>
    <w:rsid w:val="00E83E63"/>
    <w:rsid w:val="00E84335"/>
    <w:rsid w:val="00E84451"/>
    <w:rsid w:val="00E851DF"/>
    <w:rsid w:val="00E85ACE"/>
    <w:rsid w:val="00E85BC6"/>
    <w:rsid w:val="00E85BE1"/>
    <w:rsid w:val="00E85D89"/>
    <w:rsid w:val="00E8624B"/>
    <w:rsid w:val="00E86309"/>
    <w:rsid w:val="00E8634F"/>
    <w:rsid w:val="00E866BC"/>
    <w:rsid w:val="00E87921"/>
    <w:rsid w:val="00E87B18"/>
    <w:rsid w:val="00E87B49"/>
    <w:rsid w:val="00E90BDC"/>
    <w:rsid w:val="00E90FC6"/>
    <w:rsid w:val="00E914A1"/>
    <w:rsid w:val="00E9156C"/>
    <w:rsid w:val="00E91870"/>
    <w:rsid w:val="00E918F3"/>
    <w:rsid w:val="00E91BAB"/>
    <w:rsid w:val="00E92297"/>
    <w:rsid w:val="00E9256A"/>
    <w:rsid w:val="00E92968"/>
    <w:rsid w:val="00E92A7C"/>
    <w:rsid w:val="00E93596"/>
    <w:rsid w:val="00E938AB"/>
    <w:rsid w:val="00E93A31"/>
    <w:rsid w:val="00E93AD4"/>
    <w:rsid w:val="00E93BFD"/>
    <w:rsid w:val="00E94150"/>
    <w:rsid w:val="00E94188"/>
    <w:rsid w:val="00E94A9F"/>
    <w:rsid w:val="00E95491"/>
    <w:rsid w:val="00E958A8"/>
    <w:rsid w:val="00E9597F"/>
    <w:rsid w:val="00E95A98"/>
    <w:rsid w:val="00E960D9"/>
    <w:rsid w:val="00E96267"/>
    <w:rsid w:val="00E9672A"/>
    <w:rsid w:val="00E967CF"/>
    <w:rsid w:val="00E96DE2"/>
    <w:rsid w:val="00E97080"/>
    <w:rsid w:val="00E972D0"/>
    <w:rsid w:val="00E97D21"/>
    <w:rsid w:val="00EA0655"/>
    <w:rsid w:val="00EA0BB9"/>
    <w:rsid w:val="00EA109F"/>
    <w:rsid w:val="00EA1348"/>
    <w:rsid w:val="00EA1960"/>
    <w:rsid w:val="00EA1D62"/>
    <w:rsid w:val="00EA21CA"/>
    <w:rsid w:val="00EA23F1"/>
    <w:rsid w:val="00EA24D2"/>
    <w:rsid w:val="00EA2657"/>
    <w:rsid w:val="00EA2877"/>
    <w:rsid w:val="00EA29F9"/>
    <w:rsid w:val="00EA2CA2"/>
    <w:rsid w:val="00EA2D74"/>
    <w:rsid w:val="00EA30B2"/>
    <w:rsid w:val="00EA311C"/>
    <w:rsid w:val="00EA34B1"/>
    <w:rsid w:val="00EA3BFD"/>
    <w:rsid w:val="00EA3C43"/>
    <w:rsid w:val="00EA3ED6"/>
    <w:rsid w:val="00EA425A"/>
    <w:rsid w:val="00EA43A4"/>
    <w:rsid w:val="00EA4A6E"/>
    <w:rsid w:val="00EA4E8B"/>
    <w:rsid w:val="00EA5283"/>
    <w:rsid w:val="00EA52CE"/>
    <w:rsid w:val="00EA532B"/>
    <w:rsid w:val="00EA5BFF"/>
    <w:rsid w:val="00EA5C57"/>
    <w:rsid w:val="00EA6136"/>
    <w:rsid w:val="00EA629E"/>
    <w:rsid w:val="00EA6861"/>
    <w:rsid w:val="00EA6B1D"/>
    <w:rsid w:val="00EA6F27"/>
    <w:rsid w:val="00EA75C2"/>
    <w:rsid w:val="00EB0171"/>
    <w:rsid w:val="00EB01A8"/>
    <w:rsid w:val="00EB062F"/>
    <w:rsid w:val="00EB0C59"/>
    <w:rsid w:val="00EB17FB"/>
    <w:rsid w:val="00EB18E3"/>
    <w:rsid w:val="00EB2605"/>
    <w:rsid w:val="00EB2775"/>
    <w:rsid w:val="00EB2B9F"/>
    <w:rsid w:val="00EB2DCD"/>
    <w:rsid w:val="00EB2F69"/>
    <w:rsid w:val="00EB2FAA"/>
    <w:rsid w:val="00EB34EE"/>
    <w:rsid w:val="00EB3878"/>
    <w:rsid w:val="00EB39D3"/>
    <w:rsid w:val="00EB3C36"/>
    <w:rsid w:val="00EB4150"/>
    <w:rsid w:val="00EB43BC"/>
    <w:rsid w:val="00EB4404"/>
    <w:rsid w:val="00EB467A"/>
    <w:rsid w:val="00EB47F9"/>
    <w:rsid w:val="00EB564B"/>
    <w:rsid w:val="00EB57A8"/>
    <w:rsid w:val="00EB6284"/>
    <w:rsid w:val="00EB64D3"/>
    <w:rsid w:val="00EB651D"/>
    <w:rsid w:val="00EB66CF"/>
    <w:rsid w:val="00EB6935"/>
    <w:rsid w:val="00EB6B58"/>
    <w:rsid w:val="00EB722E"/>
    <w:rsid w:val="00EB7745"/>
    <w:rsid w:val="00EB7825"/>
    <w:rsid w:val="00EB78D5"/>
    <w:rsid w:val="00EB7E89"/>
    <w:rsid w:val="00EB7F63"/>
    <w:rsid w:val="00EBAE4E"/>
    <w:rsid w:val="00EC07D3"/>
    <w:rsid w:val="00EC0BA1"/>
    <w:rsid w:val="00EC1C99"/>
    <w:rsid w:val="00EC1CEE"/>
    <w:rsid w:val="00EC214D"/>
    <w:rsid w:val="00EC21F4"/>
    <w:rsid w:val="00EC2BE8"/>
    <w:rsid w:val="00EC3568"/>
    <w:rsid w:val="00EC362B"/>
    <w:rsid w:val="00EC3B00"/>
    <w:rsid w:val="00EC3D89"/>
    <w:rsid w:val="00EC4124"/>
    <w:rsid w:val="00EC432D"/>
    <w:rsid w:val="00EC4FEC"/>
    <w:rsid w:val="00EC54BC"/>
    <w:rsid w:val="00EC5ACE"/>
    <w:rsid w:val="00EC5C27"/>
    <w:rsid w:val="00EC6424"/>
    <w:rsid w:val="00EC6657"/>
    <w:rsid w:val="00EC6A23"/>
    <w:rsid w:val="00EC7078"/>
    <w:rsid w:val="00EC77A5"/>
    <w:rsid w:val="00ED05C8"/>
    <w:rsid w:val="00ED1082"/>
    <w:rsid w:val="00ED1307"/>
    <w:rsid w:val="00ED195A"/>
    <w:rsid w:val="00ED1A00"/>
    <w:rsid w:val="00ED2212"/>
    <w:rsid w:val="00ED270E"/>
    <w:rsid w:val="00ED2E97"/>
    <w:rsid w:val="00ED3122"/>
    <w:rsid w:val="00ED3605"/>
    <w:rsid w:val="00ED3D15"/>
    <w:rsid w:val="00ED43DE"/>
    <w:rsid w:val="00ED488E"/>
    <w:rsid w:val="00ED4E47"/>
    <w:rsid w:val="00ED52B4"/>
    <w:rsid w:val="00ED5942"/>
    <w:rsid w:val="00ED60CA"/>
    <w:rsid w:val="00ED6701"/>
    <w:rsid w:val="00ED6963"/>
    <w:rsid w:val="00ED6A09"/>
    <w:rsid w:val="00ED6B14"/>
    <w:rsid w:val="00ED6DE9"/>
    <w:rsid w:val="00ED71D7"/>
    <w:rsid w:val="00ED73F7"/>
    <w:rsid w:val="00ED74B9"/>
    <w:rsid w:val="00ED791D"/>
    <w:rsid w:val="00ED7A0F"/>
    <w:rsid w:val="00ED7AA9"/>
    <w:rsid w:val="00ED7C6C"/>
    <w:rsid w:val="00EE0639"/>
    <w:rsid w:val="00EE07DD"/>
    <w:rsid w:val="00EE0821"/>
    <w:rsid w:val="00EE110F"/>
    <w:rsid w:val="00EE117E"/>
    <w:rsid w:val="00EE1229"/>
    <w:rsid w:val="00EE1CB4"/>
    <w:rsid w:val="00EE1F02"/>
    <w:rsid w:val="00EE215F"/>
    <w:rsid w:val="00EE2B29"/>
    <w:rsid w:val="00EE2D0F"/>
    <w:rsid w:val="00EE2F01"/>
    <w:rsid w:val="00EE3063"/>
    <w:rsid w:val="00EE3346"/>
    <w:rsid w:val="00EE3965"/>
    <w:rsid w:val="00EE4023"/>
    <w:rsid w:val="00EE40A1"/>
    <w:rsid w:val="00EE4742"/>
    <w:rsid w:val="00EE4F6E"/>
    <w:rsid w:val="00EE55B3"/>
    <w:rsid w:val="00EE5763"/>
    <w:rsid w:val="00EE588B"/>
    <w:rsid w:val="00EE59F1"/>
    <w:rsid w:val="00EE5B56"/>
    <w:rsid w:val="00EE6364"/>
    <w:rsid w:val="00EE6EC4"/>
    <w:rsid w:val="00EE7CF4"/>
    <w:rsid w:val="00EE7F1F"/>
    <w:rsid w:val="00EEAD01"/>
    <w:rsid w:val="00EF00A0"/>
    <w:rsid w:val="00EF00FF"/>
    <w:rsid w:val="00EF079A"/>
    <w:rsid w:val="00EF0D86"/>
    <w:rsid w:val="00EF105A"/>
    <w:rsid w:val="00EF1114"/>
    <w:rsid w:val="00EF15F8"/>
    <w:rsid w:val="00EF160D"/>
    <w:rsid w:val="00EF16AB"/>
    <w:rsid w:val="00EF16D2"/>
    <w:rsid w:val="00EF1ABC"/>
    <w:rsid w:val="00EF1ACC"/>
    <w:rsid w:val="00EF1E06"/>
    <w:rsid w:val="00EF1E29"/>
    <w:rsid w:val="00EF1E63"/>
    <w:rsid w:val="00EF23C5"/>
    <w:rsid w:val="00EF2567"/>
    <w:rsid w:val="00EF275A"/>
    <w:rsid w:val="00EF2A04"/>
    <w:rsid w:val="00EF321D"/>
    <w:rsid w:val="00EF3243"/>
    <w:rsid w:val="00EF341D"/>
    <w:rsid w:val="00EF3690"/>
    <w:rsid w:val="00EF39A9"/>
    <w:rsid w:val="00EF3B4E"/>
    <w:rsid w:val="00EF3D1A"/>
    <w:rsid w:val="00EF3DE1"/>
    <w:rsid w:val="00EF4694"/>
    <w:rsid w:val="00EF4BC6"/>
    <w:rsid w:val="00EF4C67"/>
    <w:rsid w:val="00EF4FD9"/>
    <w:rsid w:val="00EF5361"/>
    <w:rsid w:val="00EF5440"/>
    <w:rsid w:val="00EF5628"/>
    <w:rsid w:val="00EF57A6"/>
    <w:rsid w:val="00EF5A9F"/>
    <w:rsid w:val="00EF5CC8"/>
    <w:rsid w:val="00EF63C8"/>
    <w:rsid w:val="00EF64C8"/>
    <w:rsid w:val="00EF6742"/>
    <w:rsid w:val="00EF6856"/>
    <w:rsid w:val="00EF732A"/>
    <w:rsid w:val="00EF7987"/>
    <w:rsid w:val="00EF7D0A"/>
    <w:rsid w:val="00F00086"/>
    <w:rsid w:val="00F003A9"/>
    <w:rsid w:val="00F0045A"/>
    <w:rsid w:val="00F0050D"/>
    <w:rsid w:val="00F006D8"/>
    <w:rsid w:val="00F00859"/>
    <w:rsid w:val="00F00AEF"/>
    <w:rsid w:val="00F00DB7"/>
    <w:rsid w:val="00F016DF"/>
    <w:rsid w:val="00F01A2D"/>
    <w:rsid w:val="00F0204A"/>
    <w:rsid w:val="00F02175"/>
    <w:rsid w:val="00F022D7"/>
    <w:rsid w:val="00F02C2A"/>
    <w:rsid w:val="00F02FD5"/>
    <w:rsid w:val="00F03054"/>
    <w:rsid w:val="00F03485"/>
    <w:rsid w:val="00F03602"/>
    <w:rsid w:val="00F03E5D"/>
    <w:rsid w:val="00F03FD2"/>
    <w:rsid w:val="00F04D97"/>
    <w:rsid w:val="00F0577A"/>
    <w:rsid w:val="00F05815"/>
    <w:rsid w:val="00F0585D"/>
    <w:rsid w:val="00F05A8C"/>
    <w:rsid w:val="00F06783"/>
    <w:rsid w:val="00F068A5"/>
    <w:rsid w:val="00F06BB4"/>
    <w:rsid w:val="00F06F2F"/>
    <w:rsid w:val="00F070A3"/>
    <w:rsid w:val="00F07388"/>
    <w:rsid w:val="00F10318"/>
    <w:rsid w:val="00F11363"/>
    <w:rsid w:val="00F115C3"/>
    <w:rsid w:val="00F11986"/>
    <w:rsid w:val="00F121AB"/>
    <w:rsid w:val="00F1313B"/>
    <w:rsid w:val="00F13664"/>
    <w:rsid w:val="00F138D5"/>
    <w:rsid w:val="00F140CF"/>
    <w:rsid w:val="00F1466A"/>
    <w:rsid w:val="00F1485C"/>
    <w:rsid w:val="00F14ABF"/>
    <w:rsid w:val="00F14C91"/>
    <w:rsid w:val="00F14E38"/>
    <w:rsid w:val="00F14E73"/>
    <w:rsid w:val="00F15CFE"/>
    <w:rsid w:val="00F15D7B"/>
    <w:rsid w:val="00F16027"/>
    <w:rsid w:val="00F16120"/>
    <w:rsid w:val="00F16B81"/>
    <w:rsid w:val="00F16DCC"/>
    <w:rsid w:val="00F17C83"/>
    <w:rsid w:val="00F17ECD"/>
    <w:rsid w:val="00F17F95"/>
    <w:rsid w:val="00F20336"/>
    <w:rsid w:val="00F2072D"/>
    <w:rsid w:val="00F20D3D"/>
    <w:rsid w:val="00F210CE"/>
    <w:rsid w:val="00F2122C"/>
    <w:rsid w:val="00F213ED"/>
    <w:rsid w:val="00F2151B"/>
    <w:rsid w:val="00F2179D"/>
    <w:rsid w:val="00F21980"/>
    <w:rsid w:val="00F22830"/>
    <w:rsid w:val="00F22E60"/>
    <w:rsid w:val="00F2327A"/>
    <w:rsid w:val="00F23531"/>
    <w:rsid w:val="00F235A9"/>
    <w:rsid w:val="00F237F5"/>
    <w:rsid w:val="00F2419B"/>
    <w:rsid w:val="00F245D8"/>
    <w:rsid w:val="00F24AFE"/>
    <w:rsid w:val="00F2571F"/>
    <w:rsid w:val="00F2596B"/>
    <w:rsid w:val="00F26834"/>
    <w:rsid w:val="00F26D08"/>
    <w:rsid w:val="00F26D49"/>
    <w:rsid w:val="00F26EEE"/>
    <w:rsid w:val="00F27100"/>
    <w:rsid w:val="00F2792F"/>
    <w:rsid w:val="00F27F63"/>
    <w:rsid w:val="00F302B0"/>
    <w:rsid w:val="00F3075D"/>
    <w:rsid w:val="00F30987"/>
    <w:rsid w:val="00F30B12"/>
    <w:rsid w:val="00F30D79"/>
    <w:rsid w:val="00F312F7"/>
    <w:rsid w:val="00F319A5"/>
    <w:rsid w:val="00F31B2A"/>
    <w:rsid w:val="00F32134"/>
    <w:rsid w:val="00F321BA"/>
    <w:rsid w:val="00F32BB4"/>
    <w:rsid w:val="00F32DDA"/>
    <w:rsid w:val="00F3300A"/>
    <w:rsid w:val="00F33A03"/>
    <w:rsid w:val="00F33F92"/>
    <w:rsid w:val="00F34056"/>
    <w:rsid w:val="00F34418"/>
    <w:rsid w:val="00F34A04"/>
    <w:rsid w:val="00F34BEF"/>
    <w:rsid w:val="00F34D77"/>
    <w:rsid w:val="00F34D9D"/>
    <w:rsid w:val="00F34FE7"/>
    <w:rsid w:val="00F35D14"/>
    <w:rsid w:val="00F35F31"/>
    <w:rsid w:val="00F3635A"/>
    <w:rsid w:val="00F36BFC"/>
    <w:rsid w:val="00F377AA"/>
    <w:rsid w:val="00F37E2C"/>
    <w:rsid w:val="00F40411"/>
    <w:rsid w:val="00F40984"/>
    <w:rsid w:val="00F40DD7"/>
    <w:rsid w:val="00F40F8F"/>
    <w:rsid w:val="00F41615"/>
    <w:rsid w:val="00F417DF"/>
    <w:rsid w:val="00F41D62"/>
    <w:rsid w:val="00F428E5"/>
    <w:rsid w:val="00F43389"/>
    <w:rsid w:val="00F43521"/>
    <w:rsid w:val="00F436D8"/>
    <w:rsid w:val="00F437C0"/>
    <w:rsid w:val="00F44698"/>
    <w:rsid w:val="00F4506B"/>
    <w:rsid w:val="00F45429"/>
    <w:rsid w:val="00F45457"/>
    <w:rsid w:val="00F456FC"/>
    <w:rsid w:val="00F458BE"/>
    <w:rsid w:val="00F45BD5"/>
    <w:rsid w:val="00F46861"/>
    <w:rsid w:val="00F46A32"/>
    <w:rsid w:val="00F46F10"/>
    <w:rsid w:val="00F4748F"/>
    <w:rsid w:val="00F479F1"/>
    <w:rsid w:val="00F47D24"/>
    <w:rsid w:val="00F47D90"/>
    <w:rsid w:val="00F500B3"/>
    <w:rsid w:val="00F504D3"/>
    <w:rsid w:val="00F51C51"/>
    <w:rsid w:val="00F52F1D"/>
    <w:rsid w:val="00F53076"/>
    <w:rsid w:val="00F531C0"/>
    <w:rsid w:val="00F53306"/>
    <w:rsid w:val="00F5429B"/>
    <w:rsid w:val="00F543BD"/>
    <w:rsid w:val="00F5480A"/>
    <w:rsid w:val="00F5494E"/>
    <w:rsid w:val="00F557CC"/>
    <w:rsid w:val="00F55AD2"/>
    <w:rsid w:val="00F55FB4"/>
    <w:rsid w:val="00F55FF6"/>
    <w:rsid w:val="00F56A58"/>
    <w:rsid w:val="00F56BF2"/>
    <w:rsid w:val="00F570BF"/>
    <w:rsid w:val="00F574E8"/>
    <w:rsid w:val="00F575AC"/>
    <w:rsid w:val="00F57923"/>
    <w:rsid w:val="00F57951"/>
    <w:rsid w:val="00F57963"/>
    <w:rsid w:val="00F57B9A"/>
    <w:rsid w:val="00F57DB2"/>
    <w:rsid w:val="00F60087"/>
    <w:rsid w:val="00F6044A"/>
    <w:rsid w:val="00F60B19"/>
    <w:rsid w:val="00F610E3"/>
    <w:rsid w:val="00F616F2"/>
    <w:rsid w:val="00F6187E"/>
    <w:rsid w:val="00F6193F"/>
    <w:rsid w:val="00F61AE5"/>
    <w:rsid w:val="00F61E1D"/>
    <w:rsid w:val="00F6249D"/>
    <w:rsid w:val="00F624A0"/>
    <w:rsid w:val="00F62846"/>
    <w:rsid w:val="00F62B71"/>
    <w:rsid w:val="00F62B79"/>
    <w:rsid w:val="00F62E11"/>
    <w:rsid w:val="00F63CA1"/>
    <w:rsid w:val="00F64289"/>
    <w:rsid w:val="00F6428B"/>
    <w:rsid w:val="00F642DE"/>
    <w:rsid w:val="00F64435"/>
    <w:rsid w:val="00F64E3A"/>
    <w:rsid w:val="00F65B01"/>
    <w:rsid w:val="00F65E9A"/>
    <w:rsid w:val="00F66759"/>
    <w:rsid w:val="00F675E4"/>
    <w:rsid w:val="00F70022"/>
    <w:rsid w:val="00F7024B"/>
    <w:rsid w:val="00F702B3"/>
    <w:rsid w:val="00F71045"/>
    <w:rsid w:val="00F72555"/>
    <w:rsid w:val="00F727C8"/>
    <w:rsid w:val="00F72950"/>
    <w:rsid w:val="00F734A1"/>
    <w:rsid w:val="00F73ACB"/>
    <w:rsid w:val="00F73D09"/>
    <w:rsid w:val="00F73E23"/>
    <w:rsid w:val="00F73F14"/>
    <w:rsid w:val="00F7420F"/>
    <w:rsid w:val="00F745FC"/>
    <w:rsid w:val="00F747B5"/>
    <w:rsid w:val="00F747DF"/>
    <w:rsid w:val="00F7489E"/>
    <w:rsid w:val="00F7549A"/>
    <w:rsid w:val="00F757CA"/>
    <w:rsid w:val="00F75891"/>
    <w:rsid w:val="00F75A98"/>
    <w:rsid w:val="00F75FB0"/>
    <w:rsid w:val="00F761AA"/>
    <w:rsid w:val="00F7682D"/>
    <w:rsid w:val="00F76C65"/>
    <w:rsid w:val="00F76C95"/>
    <w:rsid w:val="00F779AA"/>
    <w:rsid w:val="00F77BA0"/>
    <w:rsid w:val="00F80073"/>
    <w:rsid w:val="00F801A4"/>
    <w:rsid w:val="00F80497"/>
    <w:rsid w:val="00F80527"/>
    <w:rsid w:val="00F80A45"/>
    <w:rsid w:val="00F80A70"/>
    <w:rsid w:val="00F80B57"/>
    <w:rsid w:val="00F80C9F"/>
    <w:rsid w:val="00F80E2B"/>
    <w:rsid w:val="00F8193F"/>
    <w:rsid w:val="00F81C54"/>
    <w:rsid w:val="00F81C9E"/>
    <w:rsid w:val="00F82F76"/>
    <w:rsid w:val="00F838C9"/>
    <w:rsid w:val="00F83E65"/>
    <w:rsid w:val="00F84593"/>
    <w:rsid w:val="00F84DF7"/>
    <w:rsid w:val="00F85355"/>
    <w:rsid w:val="00F854DC"/>
    <w:rsid w:val="00F85726"/>
    <w:rsid w:val="00F85F7F"/>
    <w:rsid w:val="00F85FAB"/>
    <w:rsid w:val="00F86417"/>
    <w:rsid w:val="00F86949"/>
    <w:rsid w:val="00F86968"/>
    <w:rsid w:val="00F86F21"/>
    <w:rsid w:val="00F86F82"/>
    <w:rsid w:val="00F8728C"/>
    <w:rsid w:val="00F87DD2"/>
    <w:rsid w:val="00F90BE5"/>
    <w:rsid w:val="00F90CF3"/>
    <w:rsid w:val="00F90DDD"/>
    <w:rsid w:val="00F9201A"/>
    <w:rsid w:val="00F924FE"/>
    <w:rsid w:val="00F92BD1"/>
    <w:rsid w:val="00F92FEA"/>
    <w:rsid w:val="00F934DC"/>
    <w:rsid w:val="00F93746"/>
    <w:rsid w:val="00F937A4"/>
    <w:rsid w:val="00F937AD"/>
    <w:rsid w:val="00F93975"/>
    <w:rsid w:val="00F9405E"/>
    <w:rsid w:val="00F9411C"/>
    <w:rsid w:val="00F94E8C"/>
    <w:rsid w:val="00F953E7"/>
    <w:rsid w:val="00F95AC7"/>
    <w:rsid w:val="00F95F66"/>
    <w:rsid w:val="00F96FC6"/>
    <w:rsid w:val="00F971D4"/>
    <w:rsid w:val="00FA079F"/>
    <w:rsid w:val="00FA096D"/>
    <w:rsid w:val="00FA0B3A"/>
    <w:rsid w:val="00FA0C61"/>
    <w:rsid w:val="00FA127B"/>
    <w:rsid w:val="00FA1407"/>
    <w:rsid w:val="00FA2296"/>
    <w:rsid w:val="00FA241D"/>
    <w:rsid w:val="00FA2E89"/>
    <w:rsid w:val="00FA3516"/>
    <w:rsid w:val="00FA37BA"/>
    <w:rsid w:val="00FA49C0"/>
    <w:rsid w:val="00FA4C9B"/>
    <w:rsid w:val="00FA4EFB"/>
    <w:rsid w:val="00FA4F15"/>
    <w:rsid w:val="00FA5831"/>
    <w:rsid w:val="00FA5891"/>
    <w:rsid w:val="00FA5E44"/>
    <w:rsid w:val="00FA6137"/>
    <w:rsid w:val="00FA6165"/>
    <w:rsid w:val="00FA61D3"/>
    <w:rsid w:val="00FA6D8D"/>
    <w:rsid w:val="00FA6FD0"/>
    <w:rsid w:val="00FA71C3"/>
    <w:rsid w:val="00FA738E"/>
    <w:rsid w:val="00FA76CA"/>
    <w:rsid w:val="00FA77D2"/>
    <w:rsid w:val="00FA7A85"/>
    <w:rsid w:val="00FA7AA4"/>
    <w:rsid w:val="00FB025E"/>
    <w:rsid w:val="00FB07CF"/>
    <w:rsid w:val="00FB07E7"/>
    <w:rsid w:val="00FB0CFC"/>
    <w:rsid w:val="00FB0DE2"/>
    <w:rsid w:val="00FB0F23"/>
    <w:rsid w:val="00FB15B0"/>
    <w:rsid w:val="00FB15F9"/>
    <w:rsid w:val="00FB1B86"/>
    <w:rsid w:val="00FB29E0"/>
    <w:rsid w:val="00FB2F9B"/>
    <w:rsid w:val="00FB3029"/>
    <w:rsid w:val="00FB3282"/>
    <w:rsid w:val="00FB3D51"/>
    <w:rsid w:val="00FB3E89"/>
    <w:rsid w:val="00FB44AB"/>
    <w:rsid w:val="00FB4D38"/>
    <w:rsid w:val="00FB53F5"/>
    <w:rsid w:val="00FB5DC5"/>
    <w:rsid w:val="00FB6624"/>
    <w:rsid w:val="00FB693B"/>
    <w:rsid w:val="00FB69E0"/>
    <w:rsid w:val="00FB6EAB"/>
    <w:rsid w:val="00FB7091"/>
    <w:rsid w:val="00FB722B"/>
    <w:rsid w:val="00FC0048"/>
    <w:rsid w:val="00FC066C"/>
    <w:rsid w:val="00FC075B"/>
    <w:rsid w:val="00FC0786"/>
    <w:rsid w:val="00FC102B"/>
    <w:rsid w:val="00FC12E1"/>
    <w:rsid w:val="00FC1937"/>
    <w:rsid w:val="00FC2673"/>
    <w:rsid w:val="00FC280C"/>
    <w:rsid w:val="00FC2AC6"/>
    <w:rsid w:val="00FC2EAC"/>
    <w:rsid w:val="00FC2ECE"/>
    <w:rsid w:val="00FC3236"/>
    <w:rsid w:val="00FC326C"/>
    <w:rsid w:val="00FC339C"/>
    <w:rsid w:val="00FC34DB"/>
    <w:rsid w:val="00FC35C4"/>
    <w:rsid w:val="00FC38A1"/>
    <w:rsid w:val="00FC3A17"/>
    <w:rsid w:val="00FC42CA"/>
    <w:rsid w:val="00FC4332"/>
    <w:rsid w:val="00FC4D3B"/>
    <w:rsid w:val="00FC50CA"/>
    <w:rsid w:val="00FC5508"/>
    <w:rsid w:val="00FC625F"/>
    <w:rsid w:val="00FC6D19"/>
    <w:rsid w:val="00FC7832"/>
    <w:rsid w:val="00FD0772"/>
    <w:rsid w:val="00FD09BB"/>
    <w:rsid w:val="00FD15A1"/>
    <w:rsid w:val="00FD1D93"/>
    <w:rsid w:val="00FD1F3F"/>
    <w:rsid w:val="00FD2702"/>
    <w:rsid w:val="00FD2AC0"/>
    <w:rsid w:val="00FD3377"/>
    <w:rsid w:val="00FD35ED"/>
    <w:rsid w:val="00FD3D01"/>
    <w:rsid w:val="00FD3D63"/>
    <w:rsid w:val="00FD41E1"/>
    <w:rsid w:val="00FD4BB2"/>
    <w:rsid w:val="00FD57A6"/>
    <w:rsid w:val="00FD59B6"/>
    <w:rsid w:val="00FD5AAA"/>
    <w:rsid w:val="00FD5C02"/>
    <w:rsid w:val="00FD6267"/>
    <w:rsid w:val="00FD720E"/>
    <w:rsid w:val="00FD7305"/>
    <w:rsid w:val="00FD7A90"/>
    <w:rsid w:val="00FD7FE0"/>
    <w:rsid w:val="00FE05E6"/>
    <w:rsid w:val="00FE1B67"/>
    <w:rsid w:val="00FE2106"/>
    <w:rsid w:val="00FE2957"/>
    <w:rsid w:val="00FE2B17"/>
    <w:rsid w:val="00FE2B53"/>
    <w:rsid w:val="00FE2B8A"/>
    <w:rsid w:val="00FE2E0B"/>
    <w:rsid w:val="00FE351E"/>
    <w:rsid w:val="00FE4112"/>
    <w:rsid w:val="00FE44EF"/>
    <w:rsid w:val="00FE45F7"/>
    <w:rsid w:val="00FE49B9"/>
    <w:rsid w:val="00FE56C0"/>
    <w:rsid w:val="00FE5A6C"/>
    <w:rsid w:val="00FE5F21"/>
    <w:rsid w:val="00FE6ACC"/>
    <w:rsid w:val="00FE6E40"/>
    <w:rsid w:val="00FE7122"/>
    <w:rsid w:val="00FE79E6"/>
    <w:rsid w:val="00FF001B"/>
    <w:rsid w:val="00FF045C"/>
    <w:rsid w:val="00FF05AF"/>
    <w:rsid w:val="00FF05CC"/>
    <w:rsid w:val="00FF05DD"/>
    <w:rsid w:val="00FF082E"/>
    <w:rsid w:val="00FF0B7D"/>
    <w:rsid w:val="00FF0D7F"/>
    <w:rsid w:val="00FF14F3"/>
    <w:rsid w:val="00FF18F5"/>
    <w:rsid w:val="00FF20A7"/>
    <w:rsid w:val="00FF2625"/>
    <w:rsid w:val="00FF2AA4"/>
    <w:rsid w:val="00FF3691"/>
    <w:rsid w:val="00FF39D3"/>
    <w:rsid w:val="00FF3C69"/>
    <w:rsid w:val="00FF3E10"/>
    <w:rsid w:val="00FF4273"/>
    <w:rsid w:val="00FF48B9"/>
    <w:rsid w:val="00FF4908"/>
    <w:rsid w:val="00FF4A5A"/>
    <w:rsid w:val="00FF51E7"/>
    <w:rsid w:val="00FF5345"/>
    <w:rsid w:val="00FF6EA9"/>
    <w:rsid w:val="00FF797A"/>
    <w:rsid w:val="0118E9E5"/>
    <w:rsid w:val="0137DE27"/>
    <w:rsid w:val="01EC7019"/>
    <w:rsid w:val="02114538"/>
    <w:rsid w:val="0250E33F"/>
    <w:rsid w:val="0256F313"/>
    <w:rsid w:val="02827B0D"/>
    <w:rsid w:val="0286F228"/>
    <w:rsid w:val="02FAE436"/>
    <w:rsid w:val="030BA1F5"/>
    <w:rsid w:val="03196166"/>
    <w:rsid w:val="033561E7"/>
    <w:rsid w:val="0346FE60"/>
    <w:rsid w:val="035381B2"/>
    <w:rsid w:val="03705AD3"/>
    <w:rsid w:val="03AA853B"/>
    <w:rsid w:val="03C552C6"/>
    <w:rsid w:val="0427C7E4"/>
    <w:rsid w:val="043CB5FE"/>
    <w:rsid w:val="046AC987"/>
    <w:rsid w:val="04AF50B7"/>
    <w:rsid w:val="04B90F97"/>
    <w:rsid w:val="04B9B727"/>
    <w:rsid w:val="04D4648E"/>
    <w:rsid w:val="04F92213"/>
    <w:rsid w:val="04FCEC6C"/>
    <w:rsid w:val="0522B52D"/>
    <w:rsid w:val="055B4742"/>
    <w:rsid w:val="056AC4C9"/>
    <w:rsid w:val="05B5BD05"/>
    <w:rsid w:val="05EF636A"/>
    <w:rsid w:val="0630B4FB"/>
    <w:rsid w:val="06962B1C"/>
    <w:rsid w:val="069A807A"/>
    <w:rsid w:val="069BC250"/>
    <w:rsid w:val="06B2B286"/>
    <w:rsid w:val="06CED7EC"/>
    <w:rsid w:val="06D52AB5"/>
    <w:rsid w:val="06D87F5A"/>
    <w:rsid w:val="06DAB324"/>
    <w:rsid w:val="07227067"/>
    <w:rsid w:val="0773AAF2"/>
    <w:rsid w:val="07CDAA13"/>
    <w:rsid w:val="07F7F974"/>
    <w:rsid w:val="0802691C"/>
    <w:rsid w:val="0817759F"/>
    <w:rsid w:val="0819BF69"/>
    <w:rsid w:val="08831862"/>
    <w:rsid w:val="08A8A2A1"/>
    <w:rsid w:val="08EEB6A1"/>
    <w:rsid w:val="08F5ED3C"/>
    <w:rsid w:val="0949E31C"/>
    <w:rsid w:val="094AAEF2"/>
    <w:rsid w:val="09550447"/>
    <w:rsid w:val="0958D5B8"/>
    <w:rsid w:val="096A8E68"/>
    <w:rsid w:val="097CADE7"/>
    <w:rsid w:val="09A1D7B2"/>
    <w:rsid w:val="09F19FB5"/>
    <w:rsid w:val="09F4EC46"/>
    <w:rsid w:val="0A1DE9E7"/>
    <w:rsid w:val="0A56EC67"/>
    <w:rsid w:val="0A887A6A"/>
    <w:rsid w:val="0A9411A8"/>
    <w:rsid w:val="0AC8C9E0"/>
    <w:rsid w:val="0AE50D7D"/>
    <w:rsid w:val="0B14D0DC"/>
    <w:rsid w:val="0B24BB3B"/>
    <w:rsid w:val="0B33AFAF"/>
    <w:rsid w:val="0B34BE6B"/>
    <w:rsid w:val="0B4F05D5"/>
    <w:rsid w:val="0B5BABF0"/>
    <w:rsid w:val="0B67AAED"/>
    <w:rsid w:val="0BC41E4B"/>
    <w:rsid w:val="0BF4AEC1"/>
    <w:rsid w:val="0BFF9FE6"/>
    <w:rsid w:val="0C1CB354"/>
    <w:rsid w:val="0C5AF8B8"/>
    <w:rsid w:val="0C7B58CD"/>
    <w:rsid w:val="0C7BACB9"/>
    <w:rsid w:val="0CA4FD7F"/>
    <w:rsid w:val="0CC65EFA"/>
    <w:rsid w:val="0CCB8D6E"/>
    <w:rsid w:val="0CD3FC47"/>
    <w:rsid w:val="0CD56792"/>
    <w:rsid w:val="0D05D13C"/>
    <w:rsid w:val="0D1D2BD5"/>
    <w:rsid w:val="0D2720FA"/>
    <w:rsid w:val="0D2DD8D0"/>
    <w:rsid w:val="0DE410AE"/>
    <w:rsid w:val="0DF5449E"/>
    <w:rsid w:val="0E21A001"/>
    <w:rsid w:val="0E5E4066"/>
    <w:rsid w:val="0E79E3DF"/>
    <w:rsid w:val="0E9A7D86"/>
    <w:rsid w:val="0F22D4CF"/>
    <w:rsid w:val="0F5E70DD"/>
    <w:rsid w:val="0F609C4E"/>
    <w:rsid w:val="0F6C3D13"/>
    <w:rsid w:val="0F871841"/>
    <w:rsid w:val="0FF0C576"/>
    <w:rsid w:val="102B74D6"/>
    <w:rsid w:val="103D4F6E"/>
    <w:rsid w:val="10554669"/>
    <w:rsid w:val="10637002"/>
    <w:rsid w:val="107EDB81"/>
    <w:rsid w:val="1080DDEC"/>
    <w:rsid w:val="10A43F16"/>
    <w:rsid w:val="10C88BE7"/>
    <w:rsid w:val="111CD203"/>
    <w:rsid w:val="1161829A"/>
    <w:rsid w:val="11AC4BC4"/>
    <w:rsid w:val="11FFCE6E"/>
    <w:rsid w:val="1213A48A"/>
    <w:rsid w:val="121584E1"/>
    <w:rsid w:val="1233A4FD"/>
    <w:rsid w:val="12353C27"/>
    <w:rsid w:val="124D439F"/>
    <w:rsid w:val="12BDC768"/>
    <w:rsid w:val="12C393FB"/>
    <w:rsid w:val="13498510"/>
    <w:rsid w:val="134C8BB6"/>
    <w:rsid w:val="1356F38F"/>
    <w:rsid w:val="13A564C9"/>
    <w:rsid w:val="13B41F51"/>
    <w:rsid w:val="140F111B"/>
    <w:rsid w:val="1412EFE9"/>
    <w:rsid w:val="14144801"/>
    <w:rsid w:val="14175E6D"/>
    <w:rsid w:val="1440A468"/>
    <w:rsid w:val="1485B3F8"/>
    <w:rsid w:val="14B7CC46"/>
    <w:rsid w:val="14D5F3F1"/>
    <w:rsid w:val="150068AB"/>
    <w:rsid w:val="150564B9"/>
    <w:rsid w:val="162A07A8"/>
    <w:rsid w:val="16904CA3"/>
    <w:rsid w:val="16AF5F57"/>
    <w:rsid w:val="16BCA1B8"/>
    <w:rsid w:val="16BE08FA"/>
    <w:rsid w:val="16CBAC5C"/>
    <w:rsid w:val="17108401"/>
    <w:rsid w:val="171266D5"/>
    <w:rsid w:val="17396C19"/>
    <w:rsid w:val="173E3C4D"/>
    <w:rsid w:val="1756DE6F"/>
    <w:rsid w:val="175B429E"/>
    <w:rsid w:val="176F6E83"/>
    <w:rsid w:val="182006AF"/>
    <w:rsid w:val="182C0F40"/>
    <w:rsid w:val="186074D4"/>
    <w:rsid w:val="18C06A93"/>
    <w:rsid w:val="18D0E02D"/>
    <w:rsid w:val="18FAB0AE"/>
    <w:rsid w:val="19112759"/>
    <w:rsid w:val="1962E21B"/>
    <w:rsid w:val="19EB2FD1"/>
    <w:rsid w:val="1A0E1454"/>
    <w:rsid w:val="1A1457E1"/>
    <w:rsid w:val="1A33881D"/>
    <w:rsid w:val="1A3C095F"/>
    <w:rsid w:val="1A65EF7E"/>
    <w:rsid w:val="1A6B307F"/>
    <w:rsid w:val="1AA4F089"/>
    <w:rsid w:val="1AC30945"/>
    <w:rsid w:val="1B6B36DE"/>
    <w:rsid w:val="1B7C2439"/>
    <w:rsid w:val="1BB8F39B"/>
    <w:rsid w:val="1BBA8217"/>
    <w:rsid w:val="1BC9289D"/>
    <w:rsid w:val="1BFC34B0"/>
    <w:rsid w:val="1C0C931F"/>
    <w:rsid w:val="1C144CFC"/>
    <w:rsid w:val="1C3C0138"/>
    <w:rsid w:val="1CAE9F82"/>
    <w:rsid w:val="1CBADA13"/>
    <w:rsid w:val="1CF51FE3"/>
    <w:rsid w:val="1D03538B"/>
    <w:rsid w:val="1D3BC77A"/>
    <w:rsid w:val="1D50D65D"/>
    <w:rsid w:val="1D9FEBFE"/>
    <w:rsid w:val="1DAC6087"/>
    <w:rsid w:val="1DBA3362"/>
    <w:rsid w:val="1DBF18E8"/>
    <w:rsid w:val="1DDD0CBD"/>
    <w:rsid w:val="1EAC2A6A"/>
    <w:rsid w:val="1EBF0DAE"/>
    <w:rsid w:val="1ECB8080"/>
    <w:rsid w:val="1F62C97D"/>
    <w:rsid w:val="1FD2A0AA"/>
    <w:rsid w:val="20321FD4"/>
    <w:rsid w:val="2042BDCA"/>
    <w:rsid w:val="206E59AD"/>
    <w:rsid w:val="20806D85"/>
    <w:rsid w:val="20856035"/>
    <w:rsid w:val="208DD381"/>
    <w:rsid w:val="20A88F95"/>
    <w:rsid w:val="20DEE8DD"/>
    <w:rsid w:val="20F0BE30"/>
    <w:rsid w:val="20F38C4B"/>
    <w:rsid w:val="2100B502"/>
    <w:rsid w:val="213AC7CB"/>
    <w:rsid w:val="2164450C"/>
    <w:rsid w:val="21677D65"/>
    <w:rsid w:val="21882A61"/>
    <w:rsid w:val="219F8CC2"/>
    <w:rsid w:val="21D758AB"/>
    <w:rsid w:val="21E809CA"/>
    <w:rsid w:val="222E49F2"/>
    <w:rsid w:val="22741A41"/>
    <w:rsid w:val="227F6C17"/>
    <w:rsid w:val="22CF6466"/>
    <w:rsid w:val="22F6D95A"/>
    <w:rsid w:val="22F9A14F"/>
    <w:rsid w:val="230CDF3F"/>
    <w:rsid w:val="235A9045"/>
    <w:rsid w:val="236724EB"/>
    <w:rsid w:val="236B967A"/>
    <w:rsid w:val="2378BD15"/>
    <w:rsid w:val="2390B2A0"/>
    <w:rsid w:val="23934129"/>
    <w:rsid w:val="239F9CC9"/>
    <w:rsid w:val="23D5BEE1"/>
    <w:rsid w:val="24295A4C"/>
    <w:rsid w:val="242DEFC6"/>
    <w:rsid w:val="245D839C"/>
    <w:rsid w:val="24925B18"/>
    <w:rsid w:val="249359FA"/>
    <w:rsid w:val="24B75DAC"/>
    <w:rsid w:val="252A88E7"/>
    <w:rsid w:val="253F4DDC"/>
    <w:rsid w:val="255263E9"/>
    <w:rsid w:val="255CA17F"/>
    <w:rsid w:val="25607A43"/>
    <w:rsid w:val="256EFC39"/>
    <w:rsid w:val="25781D6C"/>
    <w:rsid w:val="25A629A7"/>
    <w:rsid w:val="25CD89C4"/>
    <w:rsid w:val="25DC5340"/>
    <w:rsid w:val="25F8A4B4"/>
    <w:rsid w:val="2642C21B"/>
    <w:rsid w:val="265AD4F0"/>
    <w:rsid w:val="267F8C53"/>
    <w:rsid w:val="26A2D458"/>
    <w:rsid w:val="26ACFE43"/>
    <w:rsid w:val="26BAB1D9"/>
    <w:rsid w:val="2701B449"/>
    <w:rsid w:val="27181312"/>
    <w:rsid w:val="27381BB9"/>
    <w:rsid w:val="2746EAF3"/>
    <w:rsid w:val="27B881AE"/>
    <w:rsid w:val="28420D81"/>
    <w:rsid w:val="284FC1B7"/>
    <w:rsid w:val="28DDD14D"/>
    <w:rsid w:val="28FAB421"/>
    <w:rsid w:val="290085AC"/>
    <w:rsid w:val="291E2BF1"/>
    <w:rsid w:val="292828A4"/>
    <w:rsid w:val="2928DA7A"/>
    <w:rsid w:val="295E7E61"/>
    <w:rsid w:val="299FE4C4"/>
    <w:rsid w:val="29BB316B"/>
    <w:rsid w:val="2A063D2F"/>
    <w:rsid w:val="2A55A22A"/>
    <w:rsid w:val="2A705DBF"/>
    <w:rsid w:val="2A86B879"/>
    <w:rsid w:val="2AAE25D8"/>
    <w:rsid w:val="2AB6F7BA"/>
    <w:rsid w:val="2AE7B9F9"/>
    <w:rsid w:val="2AF4FAD3"/>
    <w:rsid w:val="2AFCBA5F"/>
    <w:rsid w:val="2B220E75"/>
    <w:rsid w:val="2B525D7D"/>
    <w:rsid w:val="2B60D3F3"/>
    <w:rsid w:val="2B7AACBC"/>
    <w:rsid w:val="2B7F40B6"/>
    <w:rsid w:val="2B90ED26"/>
    <w:rsid w:val="2BB57973"/>
    <w:rsid w:val="2BF299E8"/>
    <w:rsid w:val="2C970BB3"/>
    <w:rsid w:val="2CA0D38E"/>
    <w:rsid w:val="2CB188BB"/>
    <w:rsid w:val="2CB7E8EE"/>
    <w:rsid w:val="2CC29DF1"/>
    <w:rsid w:val="2CE2E163"/>
    <w:rsid w:val="2CEEF21D"/>
    <w:rsid w:val="2CF03EF8"/>
    <w:rsid w:val="2D016DCD"/>
    <w:rsid w:val="2D110ABE"/>
    <w:rsid w:val="2D3C353E"/>
    <w:rsid w:val="2D626B92"/>
    <w:rsid w:val="2D9578BA"/>
    <w:rsid w:val="2DA3C2DD"/>
    <w:rsid w:val="2DC5D493"/>
    <w:rsid w:val="2E0D70F9"/>
    <w:rsid w:val="2E39C54D"/>
    <w:rsid w:val="2E5DD15F"/>
    <w:rsid w:val="2EBF112C"/>
    <w:rsid w:val="2EC616C9"/>
    <w:rsid w:val="2EFFFA66"/>
    <w:rsid w:val="2F016FB3"/>
    <w:rsid w:val="2F05C9E3"/>
    <w:rsid w:val="2F937B2E"/>
    <w:rsid w:val="2FC4B476"/>
    <w:rsid w:val="2FE9B235"/>
    <w:rsid w:val="304442A3"/>
    <w:rsid w:val="30519B64"/>
    <w:rsid w:val="3070DD34"/>
    <w:rsid w:val="30959BA9"/>
    <w:rsid w:val="3134529F"/>
    <w:rsid w:val="314D38BD"/>
    <w:rsid w:val="31698721"/>
    <w:rsid w:val="316EC136"/>
    <w:rsid w:val="3178525C"/>
    <w:rsid w:val="31985C34"/>
    <w:rsid w:val="31FF0574"/>
    <w:rsid w:val="3221E0BF"/>
    <w:rsid w:val="32672782"/>
    <w:rsid w:val="3274724F"/>
    <w:rsid w:val="328C8184"/>
    <w:rsid w:val="32B25930"/>
    <w:rsid w:val="32E7B223"/>
    <w:rsid w:val="330351F1"/>
    <w:rsid w:val="33053892"/>
    <w:rsid w:val="331269C0"/>
    <w:rsid w:val="332232F0"/>
    <w:rsid w:val="33374BCA"/>
    <w:rsid w:val="334F6087"/>
    <w:rsid w:val="339AB3D8"/>
    <w:rsid w:val="33A555F4"/>
    <w:rsid w:val="3433EA7F"/>
    <w:rsid w:val="348EE288"/>
    <w:rsid w:val="34E17716"/>
    <w:rsid w:val="34F40021"/>
    <w:rsid w:val="34F4A720"/>
    <w:rsid w:val="355DB6FE"/>
    <w:rsid w:val="356D9B00"/>
    <w:rsid w:val="35807747"/>
    <w:rsid w:val="35B17A79"/>
    <w:rsid w:val="35B1CA60"/>
    <w:rsid w:val="35F78227"/>
    <w:rsid w:val="36025C63"/>
    <w:rsid w:val="3632F9F4"/>
    <w:rsid w:val="36C8591E"/>
    <w:rsid w:val="36DD25CB"/>
    <w:rsid w:val="36F0494A"/>
    <w:rsid w:val="36F31DE0"/>
    <w:rsid w:val="36FAD574"/>
    <w:rsid w:val="36FFFC50"/>
    <w:rsid w:val="3716075A"/>
    <w:rsid w:val="37452259"/>
    <w:rsid w:val="374CD873"/>
    <w:rsid w:val="3768304E"/>
    <w:rsid w:val="377D36D6"/>
    <w:rsid w:val="378C2D20"/>
    <w:rsid w:val="37CCB69A"/>
    <w:rsid w:val="37D33CE0"/>
    <w:rsid w:val="37DE5A67"/>
    <w:rsid w:val="37E4BA5C"/>
    <w:rsid w:val="38429349"/>
    <w:rsid w:val="38AAC5D5"/>
    <w:rsid w:val="38B71F4E"/>
    <w:rsid w:val="38E499DC"/>
    <w:rsid w:val="38FEC9F0"/>
    <w:rsid w:val="39006C6F"/>
    <w:rsid w:val="3932E8D7"/>
    <w:rsid w:val="393306F7"/>
    <w:rsid w:val="393CCB77"/>
    <w:rsid w:val="394C5D0A"/>
    <w:rsid w:val="3981D574"/>
    <w:rsid w:val="39E815F9"/>
    <w:rsid w:val="39FA670F"/>
    <w:rsid w:val="3A66C457"/>
    <w:rsid w:val="3ACEDE75"/>
    <w:rsid w:val="3B1FE9F0"/>
    <w:rsid w:val="3B3C30D3"/>
    <w:rsid w:val="3B3C9615"/>
    <w:rsid w:val="3B456AE4"/>
    <w:rsid w:val="3B6645D1"/>
    <w:rsid w:val="3B6FD11C"/>
    <w:rsid w:val="3BB81939"/>
    <w:rsid w:val="3BF2B60E"/>
    <w:rsid w:val="3C0A927E"/>
    <w:rsid w:val="3C2400BD"/>
    <w:rsid w:val="3C2C2F22"/>
    <w:rsid w:val="3C47DA55"/>
    <w:rsid w:val="3CF59A45"/>
    <w:rsid w:val="3D006F0D"/>
    <w:rsid w:val="3D1E8E03"/>
    <w:rsid w:val="3D593BA4"/>
    <w:rsid w:val="3D5D7425"/>
    <w:rsid w:val="3D78A89A"/>
    <w:rsid w:val="3D80D358"/>
    <w:rsid w:val="3D9CF526"/>
    <w:rsid w:val="3DB3CFFA"/>
    <w:rsid w:val="3DE2E754"/>
    <w:rsid w:val="3DE40369"/>
    <w:rsid w:val="3DF14987"/>
    <w:rsid w:val="3DF94628"/>
    <w:rsid w:val="3E2FCF90"/>
    <w:rsid w:val="3E322034"/>
    <w:rsid w:val="3E34276F"/>
    <w:rsid w:val="3E37F4EA"/>
    <w:rsid w:val="3EA89597"/>
    <w:rsid w:val="3EC3A55D"/>
    <w:rsid w:val="3ED014ED"/>
    <w:rsid w:val="3EEBF46A"/>
    <w:rsid w:val="3F1B5B70"/>
    <w:rsid w:val="3F2F0404"/>
    <w:rsid w:val="3F776B4E"/>
    <w:rsid w:val="3F7A8044"/>
    <w:rsid w:val="3F99D19F"/>
    <w:rsid w:val="3FA248AF"/>
    <w:rsid w:val="3FA319C2"/>
    <w:rsid w:val="3FC28E85"/>
    <w:rsid w:val="3FD6FA71"/>
    <w:rsid w:val="3FDA85B5"/>
    <w:rsid w:val="401E88F4"/>
    <w:rsid w:val="4068332C"/>
    <w:rsid w:val="40D71731"/>
    <w:rsid w:val="40E81EA4"/>
    <w:rsid w:val="4168887D"/>
    <w:rsid w:val="4196E836"/>
    <w:rsid w:val="419EA9F6"/>
    <w:rsid w:val="41BE1C11"/>
    <w:rsid w:val="427283C8"/>
    <w:rsid w:val="427765FC"/>
    <w:rsid w:val="42856C52"/>
    <w:rsid w:val="42859D10"/>
    <w:rsid w:val="428B2A3C"/>
    <w:rsid w:val="42B846D4"/>
    <w:rsid w:val="42B8B596"/>
    <w:rsid w:val="42E47423"/>
    <w:rsid w:val="43330319"/>
    <w:rsid w:val="4343C940"/>
    <w:rsid w:val="43802776"/>
    <w:rsid w:val="43811901"/>
    <w:rsid w:val="43DA6AEA"/>
    <w:rsid w:val="43E7F526"/>
    <w:rsid w:val="43F23369"/>
    <w:rsid w:val="44320756"/>
    <w:rsid w:val="4463C4A6"/>
    <w:rsid w:val="446A7D0E"/>
    <w:rsid w:val="4470FBF7"/>
    <w:rsid w:val="44C6C3E5"/>
    <w:rsid w:val="44CB72DA"/>
    <w:rsid w:val="450DED92"/>
    <w:rsid w:val="458C3B5A"/>
    <w:rsid w:val="45D8D8B2"/>
    <w:rsid w:val="45E1AF7E"/>
    <w:rsid w:val="45E419F0"/>
    <w:rsid w:val="45EEEC6B"/>
    <w:rsid w:val="466FC8E9"/>
    <w:rsid w:val="468B281E"/>
    <w:rsid w:val="46B9AC7D"/>
    <w:rsid w:val="46DDEB96"/>
    <w:rsid w:val="47097763"/>
    <w:rsid w:val="470EB9CF"/>
    <w:rsid w:val="475B81D4"/>
    <w:rsid w:val="4775BFBA"/>
    <w:rsid w:val="478C1ED5"/>
    <w:rsid w:val="47A3B770"/>
    <w:rsid w:val="47A5E42A"/>
    <w:rsid w:val="47BBB764"/>
    <w:rsid w:val="47CA0E99"/>
    <w:rsid w:val="47DCC009"/>
    <w:rsid w:val="47F828E2"/>
    <w:rsid w:val="48802CC6"/>
    <w:rsid w:val="4896E6BC"/>
    <w:rsid w:val="48A49857"/>
    <w:rsid w:val="48A7248D"/>
    <w:rsid w:val="48B27ADF"/>
    <w:rsid w:val="48E8EB25"/>
    <w:rsid w:val="4928F408"/>
    <w:rsid w:val="493A0C7F"/>
    <w:rsid w:val="493B3CA0"/>
    <w:rsid w:val="49569400"/>
    <w:rsid w:val="4978304B"/>
    <w:rsid w:val="49ADC7E7"/>
    <w:rsid w:val="49E70F83"/>
    <w:rsid w:val="4A419D9F"/>
    <w:rsid w:val="4A46264B"/>
    <w:rsid w:val="4A708A73"/>
    <w:rsid w:val="4A96B662"/>
    <w:rsid w:val="4AB4E9D9"/>
    <w:rsid w:val="4AC51D7A"/>
    <w:rsid w:val="4AE844A7"/>
    <w:rsid w:val="4AF2F39B"/>
    <w:rsid w:val="4B0BE421"/>
    <w:rsid w:val="4B3A885A"/>
    <w:rsid w:val="4B7C9BB4"/>
    <w:rsid w:val="4B8ABC50"/>
    <w:rsid w:val="4BCBF3D6"/>
    <w:rsid w:val="4C06155D"/>
    <w:rsid w:val="4C913D22"/>
    <w:rsid w:val="4CA8F2AE"/>
    <w:rsid w:val="4CB9E861"/>
    <w:rsid w:val="4D619CBF"/>
    <w:rsid w:val="4D642B11"/>
    <w:rsid w:val="4D647D8D"/>
    <w:rsid w:val="4D772B4E"/>
    <w:rsid w:val="4D7F7989"/>
    <w:rsid w:val="4D88DEBB"/>
    <w:rsid w:val="4DA829A6"/>
    <w:rsid w:val="4DD9169F"/>
    <w:rsid w:val="4DE09AFB"/>
    <w:rsid w:val="4DE1F33F"/>
    <w:rsid w:val="4DF7503C"/>
    <w:rsid w:val="4E01B07B"/>
    <w:rsid w:val="4EC028B2"/>
    <w:rsid w:val="4EC12EB8"/>
    <w:rsid w:val="4EC5DD68"/>
    <w:rsid w:val="4ED94DBD"/>
    <w:rsid w:val="4EDEAD18"/>
    <w:rsid w:val="4EE3F7E2"/>
    <w:rsid w:val="4EECF01C"/>
    <w:rsid w:val="4F0C68A8"/>
    <w:rsid w:val="4F3D985C"/>
    <w:rsid w:val="4F4C4C50"/>
    <w:rsid w:val="4F4E345C"/>
    <w:rsid w:val="4FA5FD3F"/>
    <w:rsid w:val="4FE78DFE"/>
    <w:rsid w:val="500B33A1"/>
    <w:rsid w:val="500DEE24"/>
    <w:rsid w:val="501A0F30"/>
    <w:rsid w:val="504F4A7D"/>
    <w:rsid w:val="506717B0"/>
    <w:rsid w:val="50808256"/>
    <w:rsid w:val="5085ECE5"/>
    <w:rsid w:val="5091652C"/>
    <w:rsid w:val="50C32342"/>
    <w:rsid w:val="50C7143E"/>
    <w:rsid w:val="51316107"/>
    <w:rsid w:val="516E3330"/>
    <w:rsid w:val="51A1F92B"/>
    <w:rsid w:val="51B440E6"/>
    <w:rsid w:val="51EB2372"/>
    <w:rsid w:val="51EBF1D2"/>
    <w:rsid w:val="52029ED5"/>
    <w:rsid w:val="52274704"/>
    <w:rsid w:val="52341622"/>
    <w:rsid w:val="52814585"/>
    <w:rsid w:val="52872886"/>
    <w:rsid w:val="529D2FDA"/>
    <w:rsid w:val="52A7CBC9"/>
    <w:rsid w:val="52D98E1A"/>
    <w:rsid w:val="5300812F"/>
    <w:rsid w:val="535002E6"/>
    <w:rsid w:val="535D8870"/>
    <w:rsid w:val="5392763C"/>
    <w:rsid w:val="5393510D"/>
    <w:rsid w:val="53F21406"/>
    <w:rsid w:val="54073337"/>
    <w:rsid w:val="54127018"/>
    <w:rsid w:val="54305380"/>
    <w:rsid w:val="546EFFDA"/>
    <w:rsid w:val="54A53D69"/>
    <w:rsid w:val="54A5433D"/>
    <w:rsid w:val="54CCC2C6"/>
    <w:rsid w:val="54DE51D9"/>
    <w:rsid w:val="54F639BC"/>
    <w:rsid w:val="550A0EFA"/>
    <w:rsid w:val="5518314E"/>
    <w:rsid w:val="5554EFB1"/>
    <w:rsid w:val="5564CBE2"/>
    <w:rsid w:val="5589EAF5"/>
    <w:rsid w:val="55A937DD"/>
    <w:rsid w:val="5606F56F"/>
    <w:rsid w:val="56195790"/>
    <w:rsid w:val="561F0DE8"/>
    <w:rsid w:val="5649C5EF"/>
    <w:rsid w:val="565AE6FD"/>
    <w:rsid w:val="566095E3"/>
    <w:rsid w:val="567E9C79"/>
    <w:rsid w:val="56803181"/>
    <w:rsid w:val="568ABCAA"/>
    <w:rsid w:val="56D8375A"/>
    <w:rsid w:val="5724F030"/>
    <w:rsid w:val="574EFC21"/>
    <w:rsid w:val="576237EF"/>
    <w:rsid w:val="57762157"/>
    <w:rsid w:val="579EF571"/>
    <w:rsid w:val="57ABAC44"/>
    <w:rsid w:val="57CE2DB7"/>
    <w:rsid w:val="586BA0EE"/>
    <w:rsid w:val="58A58716"/>
    <w:rsid w:val="58DAC45F"/>
    <w:rsid w:val="58DC2F9B"/>
    <w:rsid w:val="58F5792E"/>
    <w:rsid w:val="58FA42AE"/>
    <w:rsid w:val="5965EFF6"/>
    <w:rsid w:val="5969F784"/>
    <w:rsid w:val="597039FB"/>
    <w:rsid w:val="59B7B67A"/>
    <w:rsid w:val="59D4A31A"/>
    <w:rsid w:val="59F72DE4"/>
    <w:rsid w:val="5A008413"/>
    <w:rsid w:val="5A208F90"/>
    <w:rsid w:val="5A78203E"/>
    <w:rsid w:val="5A81274B"/>
    <w:rsid w:val="5ACEC6C1"/>
    <w:rsid w:val="5B0538EE"/>
    <w:rsid w:val="5B2A2787"/>
    <w:rsid w:val="5B41236E"/>
    <w:rsid w:val="5B4AEC17"/>
    <w:rsid w:val="5BA6AE2A"/>
    <w:rsid w:val="5BD26E62"/>
    <w:rsid w:val="5C33E958"/>
    <w:rsid w:val="5C5794E3"/>
    <w:rsid w:val="5C872BE1"/>
    <w:rsid w:val="5C9231C9"/>
    <w:rsid w:val="5C92A1F4"/>
    <w:rsid w:val="5CA46796"/>
    <w:rsid w:val="5CEB98AB"/>
    <w:rsid w:val="5CECBFB6"/>
    <w:rsid w:val="5D29405F"/>
    <w:rsid w:val="5D620396"/>
    <w:rsid w:val="5D6C030B"/>
    <w:rsid w:val="5D7E66F5"/>
    <w:rsid w:val="5D94D506"/>
    <w:rsid w:val="5DAA2260"/>
    <w:rsid w:val="5DAB40DB"/>
    <w:rsid w:val="5DAFDF81"/>
    <w:rsid w:val="5E66380F"/>
    <w:rsid w:val="5E70DA57"/>
    <w:rsid w:val="5E86F2C9"/>
    <w:rsid w:val="5EC2E31C"/>
    <w:rsid w:val="5EC59576"/>
    <w:rsid w:val="5EE9854A"/>
    <w:rsid w:val="5F5CF636"/>
    <w:rsid w:val="5F660662"/>
    <w:rsid w:val="5F733CEC"/>
    <w:rsid w:val="5F799E24"/>
    <w:rsid w:val="5F7C09B9"/>
    <w:rsid w:val="5F81CA85"/>
    <w:rsid w:val="5F878F7F"/>
    <w:rsid w:val="5F9226B8"/>
    <w:rsid w:val="5F9F9506"/>
    <w:rsid w:val="5FBE3A1E"/>
    <w:rsid w:val="5FE63AA7"/>
    <w:rsid w:val="5FEEF3AA"/>
    <w:rsid w:val="5FF2150A"/>
    <w:rsid w:val="5FF9FAC8"/>
    <w:rsid w:val="602B1251"/>
    <w:rsid w:val="6034D550"/>
    <w:rsid w:val="60461559"/>
    <w:rsid w:val="60479865"/>
    <w:rsid w:val="60AC367D"/>
    <w:rsid w:val="60F63E97"/>
    <w:rsid w:val="61077528"/>
    <w:rsid w:val="61248BE7"/>
    <w:rsid w:val="61395448"/>
    <w:rsid w:val="6143A1C5"/>
    <w:rsid w:val="61A109B7"/>
    <w:rsid w:val="61A77708"/>
    <w:rsid w:val="620AC66C"/>
    <w:rsid w:val="62236FBA"/>
    <w:rsid w:val="62A8ECEF"/>
    <w:rsid w:val="62B7C72E"/>
    <w:rsid w:val="62EC59F9"/>
    <w:rsid w:val="633BCD7A"/>
    <w:rsid w:val="63461CEF"/>
    <w:rsid w:val="635D0D6F"/>
    <w:rsid w:val="637DE8BD"/>
    <w:rsid w:val="637DF898"/>
    <w:rsid w:val="63982EAA"/>
    <w:rsid w:val="63AC15B9"/>
    <w:rsid w:val="63AD6B47"/>
    <w:rsid w:val="63CECC4C"/>
    <w:rsid w:val="63E6B5E5"/>
    <w:rsid w:val="63EC4F92"/>
    <w:rsid w:val="640744D4"/>
    <w:rsid w:val="64158470"/>
    <w:rsid w:val="6427B6DF"/>
    <w:rsid w:val="643C7720"/>
    <w:rsid w:val="644BF3B9"/>
    <w:rsid w:val="644D9AC5"/>
    <w:rsid w:val="64756D4D"/>
    <w:rsid w:val="64AEC461"/>
    <w:rsid w:val="64DDC660"/>
    <w:rsid w:val="64E6CEF5"/>
    <w:rsid w:val="64FB56EC"/>
    <w:rsid w:val="653DD4B7"/>
    <w:rsid w:val="6574D312"/>
    <w:rsid w:val="657BA3F6"/>
    <w:rsid w:val="657BD8A0"/>
    <w:rsid w:val="659224FD"/>
    <w:rsid w:val="65A8D3FC"/>
    <w:rsid w:val="65B74D79"/>
    <w:rsid w:val="65CCA008"/>
    <w:rsid w:val="65F3C585"/>
    <w:rsid w:val="66031428"/>
    <w:rsid w:val="6609DFA9"/>
    <w:rsid w:val="666F24CC"/>
    <w:rsid w:val="66A9FBEA"/>
    <w:rsid w:val="66DB2659"/>
    <w:rsid w:val="67009F99"/>
    <w:rsid w:val="6760878D"/>
    <w:rsid w:val="6769E92B"/>
    <w:rsid w:val="676C126B"/>
    <w:rsid w:val="678B26E8"/>
    <w:rsid w:val="67BF298E"/>
    <w:rsid w:val="67FA0380"/>
    <w:rsid w:val="680004DA"/>
    <w:rsid w:val="68276587"/>
    <w:rsid w:val="6868FEED"/>
    <w:rsid w:val="686D2EFF"/>
    <w:rsid w:val="6870CB3C"/>
    <w:rsid w:val="688F27D6"/>
    <w:rsid w:val="68E61DC2"/>
    <w:rsid w:val="68F8A641"/>
    <w:rsid w:val="693AE0C9"/>
    <w:rsid w:val="697FB4D9"/>
    <w:rsid w:val="698D276E"/>
    <w:rsid w:val="69D178B2"/>
    <w:rsid w:val="69D23E40"/>
    <w:rsid w:val="6A0694E2"/>
    <w:rsid w:val="6A1C08F0"/>
    <w:rsid w:val="6A238349"/>
    <w:rsid w:val="6A49A861"/>
    <w:rsid w:val="6A67263A"/>
    <w:rsid w:val="6A6A4B95"/>
    <w:rsid w:val="6A825CEF"/>
    <w:rsid w:val="6A829E6C"/>
    <w:rsid w:val="6A86FC12"/>
    <w:rsid w:val="6AA09BC7"/>
    <w:rsid w:val="6AA555F6"/>
    <w:rsid w:val="6AD009ED"/>
    <w:rsid w:val="6B1BED57"/>
    <w:rsid w:val="6B23F13B"/>
    <w:rsid w:val="6B63C7DD"/>
    <w:rsid w:val="6BB6A948"/>
    <w:rsid w:val="6BBA39E2"/>
    <w:rsid w:val="6BD8B708"/>
    <w:rsid w:val="6BEE8B8E"/>
    <w:rsid w:val="6C2726DF"/>
    <w:rsid w:val="6C2D3E69"/>
    <w:rsid w:val="6C3F2442"/>
    <w:rsid w:val="6C713D14"/>
    <w:rsid w:val="6C917C73"/>
    <w:rsid w:val="6CB5462E"/>
    <w:rsid w:val="6CBB86BD"/>
    <w:rsid w:val="6D09E01C"/>
    <w:rsid w:val="6D1F99A6"/>
    <w:rsid w:val="6D387B70"/>
    <w:rsid w:val="6D4A1B1F"/>
    <w:rsid w:val="6DB2128A"/>
    <w:rsid w:val="6DEA0F8B"/>
    <w:rsid w:val="6E1C87D2"/>
    <w:rsid w:val="6E25A469"/>
    <w:rsid w:val="6E60734A"/>
    <w:rsid w:val="6E7B1A14"/>
    <w:rsid w:val="6E7C6C3A"/>
    <w:rsid w:val="6E7D767F"/>
    <w:rsid w:val="6E8D1DD2"/>
    <w:rsid w:val="6EB48394"/>
    <w:rsid w:val="6EBAD13C"/>
    <w:rsid w:val="6EBE5D6E"/>
    <w:rsid w:val="6EC0930C"/>
    <w:rsid w:val="6EE09D3C"/>
    <w:rsid w:val="6EEFBF56"/>
    <w:rsid w:val="6F0B1A33"/>
    <w:rsid w:val="6F2C97C9"/>
    <w:rsid w:val="6F2E3C1A"/>
    <w:rsid w:val="6F4A1FD9"/>
    <w:rsid w:val="6FB9BC61"/>
    <w:rsid w:val="7023FE6B"/>
    <w:rsid w:val="705989E8"/>
    <w:rsid w:val="7068293A"/>
    <w:rsid w:val="70703409"/>
    <w:rsid w:val="708E1FBB"/>
    <w:rsid w:val="7094928D"/>
    <w:rsid w:val="712638BA"/>
    <w:rsid w:val="712B89A7"/>
    <w:rsid w:val="712C9B9F"/>
    <w:rsid w:val="7138BE60"/>
    <w:rsid w:val="718606E9"/>
    <w:rsid w:val="71C570CF"/>
    <w:rsid w:val="720BF270"/>
    <w:rsid w:val="721AD645"/>
    <w:rsid w:val="72B5E481"/>
    <w:rsid w:val="72D92F59"/>
    <w:rsid w:val="72E14470"/>
    <w:rsid w:val="72E34D20"/>
    <w:rsid w:val="72E8B950"/>
    <w:rsid w:val="72F359EB"/>
    <w:rsid w:val="731525D9"/>
    <w:rsid w:val="733657E1"/>
    <w:rsid w:val="73725559"/>
    <w:rsid w:val="7387470D"/>
    <w:rsid w:val="73D197F7"/>
    <w:rsid w:val="73D906D6"/>
    <w:rsid w:val="741BC2F2"/>
    <w:rsid w:val="7431660F"/>
    <w:rsid w:val="743F27CD"/>
    <w:rsid w:val="744FBC28"/>
    <w:rsid w:val="7456BD9B"/>
    <w:rsid w:val="746FD7D9"/>
    <w:rsid w:val="747841BD"/>
    <w:rsid w:val="747DB830"/>
    <w:rsid w:val="748E72DD"/>
    <w:rsid w:val="74986932"/>
    <w:rsid w:val="749CC18F"/>
    <w:rsid w:val="74A3736C"/>
    <w:rsid w:val="74D71699"/>
    <w:rsid w:val="74FAB1FB"/>
    <w:rsid w:val="75000901"/>
    <w:rsid w:val="7501C153"/>
    <w:rsid w:val="7535EBCD"/>
    <w:rsid w:val="7548D1F0"/>
    <w:rsid w:val="75653F42"/>
    <w:rsid w:val="756F1F38"/>
    <w:rsid w:val="760ABA61"/>
    <w:rsid w:val="762F6B37"/>
    <w:rsid w:val="76496E73"/>
    <w:rsid w:val="7678A999"/>
    <w:rsid w:val="76C6FA94"/>
    <w:rsid w:val="7725BF42"/>
    <w:rsid w:val="772876A9"/>
    <w:rsid w:val="77288CE8"/>
    <w:rsid w:val="773C9599"/>
    <w:rsid w:val="777889A8"/>
    <w:rsid w:val="777B6A53"/>
    <w:rsid w:val="77B42755"/>
    <w:rsid w:val="77E3E9B7"/>
    <w:rsid w:val="782283F3"/>
    <w:rsid w:val="782CD4D2"/>
    <w:rsid w:val="7849C1B5"/>
    <w:rsid w:val="786E0D5F"/>
    <w:rsid w:val="786E332D"/>
    <w:rsid w:val="78876DFA"/>
    <w:rsid w:val="78AC4A14"/>
    <w:rsid w:val="78B4985C"/>
    <w:rsid w:val="78BAC0CF"/>
    <w:rsid w:val="78D58B03"/>
    <w:rsid w:val="78E1856C"/>
    <w:rsid w:val="79290F02"/>
    <w:rsid w:val="7989C3E0"/>
    <w:rsid w:val="7994255B"/>
    <w:rsid w:val="79B66FB3"/>
    <w:rsid w:val="79D96B38"/>
    <w:rsid w:val="7A37FA01"/>
    <w:rsid w:val="7A4E2AAA"/>
    <w:rsid w:val="7A5C11B7"/>
    <w:rsid w:val="7A7F931F"/>
    <w:rsid w:val="7A907677"/>
    <w:rsid w:val="7A974433"/>
    <w:rsid w:val="7ADC188B"/>
    <w:rsid w:val="7B712CE6"/>
    <w:rsid w:val="7BA43A75"/>
    <w:rsid w:val="7BE621B7"/>
    <w:rsid w:val="7BF149B8"/>
    <w:rsid w:val="7BFA955E"/>
    <w:rsid w:val="7C1E0D75"/>
    <w:rsid w:val="7CBDA90E"/>
    <w:rsid w:val="7D257DD2"/>
    <w:rsid w:val="7D281C35"/>
    <w:rsid w:val="7D2F5CFB"/>
    <w:rsid w:val="7D32757F"/>
    <w:rsid w:val="7D3B0656"/>
    <w:rsid w:val="7DAB8EB6"/>
    <w:rsid w:val="7DAEAEDF"/>
    <w:rsid w:val="7DCA5BBF"/>
    <w:rsid w:val="7E21C686"/>
    <w:rsid w:val="7E4BC8CC"/>
    <w:rsid w:val="7E5E71C3"/>
    <w:rsid w:val="7E74DA6E"/>
    <w:rsid w:val="7EC6015B"/>
    <w:rsid w:val="7ED6773A"/>
    <w:rsid w:val="7EE39E9E"/>
    <w:rsid w:val="7F145C68"/>
    <w:rsid w:val="7F5A91F6"/>
    <w:rsid w:val="7F78FBF1"/>
    <w:rsid w:val="7F80544F"/>
    <w:rsid w:val="7F976B64"/>
    <w:rsid w:val="7FB8EB0C"/>
    <w:rsid w:val="7FC2E68E"/>
    <w:rsid w:val="7FC5B7E1"/>
    <w:rsid w:val="7FC7011A"/>
    <w:rsid w:val="7FD47294"/>
    <w:rsid w:val="7FF7C70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80277F"/>
  <w15:docId w15:val="{2DB8EA04-551B-4CF6-A2E3-FAB8758F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rsid w:val="003A124B"/>
    <w:pPr>
      <w:spacing w:after="240"/>
      <w:jc w:val="both"/>
    </w:pPr>
    <w:rPr>
      <w:rFonts w:ascii="Arial" w:hAnsi="Arial"/>
      <w:sz w:val="22"/>
      <w:szCs w:val="24"/>
      <w:lang w:eastAsia="en-US"/>
    </w:rPr>
  </w:style>
  <w:style w:type="paragraph" w:styleId="Heading1">
    <w:name w:val="heading 1"/>
    <w:basedOn w:val="Normal"/>
    <w:next w:val="Normal"/>
    <w:link w:val="Heading1Char"/>
    <w:autoRedefine/>
    <w:qFormat/>
    <w:rsid w:val="00136228"/>
    <w:pPr>
      <w:keepNext/>
      <w:outlineLvl w:val="0"/>
    </w:pPr>
    <w:rPr>
      <w:rFonts w:ascii="Cambria" w:hAnsi="Cambria"/>
      <w:b/>
      <w:bCs/>
      <w:kern w:val="32"/>
      <w:sz w:val="32"/>
      <w:szCs w:val="32"/>
      <w:lang w:val="x-none" w:eastAsia="x-none"/>
    </w:rPr>
  </w:style>
  <w:style w:type="paragraph" w:styleId="Heading2">
    <w:name w:val="heading 2"/>
    <w:aliases w:val="1. Directorate"/>
    <w:basedOn w:val="Normal"/>
    <w:next w:val="2Policy"/>
    <w:link w:val="Heading2Char"/>
    <w:autoRedefine/>
    <w:qFormat/>
    <w:rsid w:val="002D5681"/>
    <w:pPr>
      <w:numPr>
        <w:numId w:val="6"/>
      </w:numPr>
      <w:autoSpaceDE w:val="0"/>
      <w:autoSpaceDN w:val="0"/>
      <w:adjustRightInd w:val="0"/>
      <w:outlineLvl w:val="1"/>
    </w:pPr>
    <w:rPr>
      <w:b/>
      <w:sz w:val="28"/>
      <w:szCs w:val="22"/>
      <w:lang w:eastAsia="x-none"/>
    </w:rPr>
  </w:style>
  <w:style w:type="paragraph" w:styleId="Heading3">
    <w:name w:val="heading 3"/>
    <w:basedOn w:val="Normal"/>
    <w:next w:val="Normal"/>
    <w:link w:val="Heading3Char"/>
    <w:autoRedefine/>
    <w:uiPriority w:val="9"/>
    <w:qFormat/>
    <w:rsid w:val="009709FD"/>
    <w:pPr>
      <w:keepNext/>
      <w:numPr>
        <w:ilvl w:val="1"/>
        <w:numId w:val="6"/>
      </w:numPr>
      <w:tabs>
        <w:tab w:val="clear" w:pos="-232"/>
        <w:tab w:val="left" w:pos="-1134"/>
        <w:tab w:val="left" w:pos="-709"/>
        <w:tab w:val="num" w:pos="142"/>
      </w:tabs>
      <w:ind w:left="426" w:hanging="426"/>
      <w:outlineLvl w:val="2"/>
    </w:pPr>
    <w:rPr>
      <w:rFonts w:cs="Arial"/>
      <w:b/>
      <w:szCs w:val="22"/>
    </w:rPr>
  </w:style>
  <w:style w:type="paragraph" w:styleId="Heading4">
    <w:name w:val="heading 4"/>
    <w:basedOn w:val="Normal"/>
    <w:next w:val="Normal"/>
    <w:link w:val="Heading4Char"/>
    <w:autoRedefine/>
    <w:qFormat/>
    <w:rsid w:val="000A7003"/>
    <w:pPr>
      <w:keepNext/>
      <w:spacing w:before="240"/>
      <w:ind w:firstLine="720"/>
      <w:outlineLvl w:val="3"/>
    </w:pPr>
    <w:rPr>
      <w:rFonts w:ascii="Calibri" w:hAnsi="Calibri"/>
      <w:b/>
      <w:bCs/>
      <w:sz w:val="28"/>
      <w:szCs w:val="28"/>
      <w:lang w:val="x-none" w:eastAsia="x-none"/>
    </w:rPr>
  </w:style>
  <w:style w:type="paragraph" w:styleId="Heading5">
    <w:name w:val="heading 5"/>
    <w:basedOn w:val="Normal"/>
    <w:next w:val="Normal"/>
    <w:link w:val="Heading5Char"/>
    <w:autoRedefine/>
    <w:qFormat/>
    <w:rsid w:val="007E31A2"/>
    <w:pPr>
      <w:keepNext/>
      <w:spacing w:before="120" w:after="120"/>
      <w:ind w:firstLine="426"/>
      <w:outlineLvl w:val="4"/>
    </w:pPr>
    <w:rPr>
      <w:i/>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aliases w:val="1. Directorate Char"/>
    <w:link w:val="Heading2"/>
    <w:locked/>
    <w:rsid w:val="002D5681"/>
    <w:rPr>
      <w:rFonts w:ascii="Arial" w:hAnsi="Arial"/>
      <w:b/>
      <w:sz w:val="28"/>
      <w:szCs w:val="22"/>
      <w:lang w:eastAsia="x-none"/>
    </w:rPr>
  </w:style>
  <w:style w:type="character" w:customStyle="1" w:styleId="Heading3Char">
    <w:name w:val="Heading 3 Char"/>
    <w:link w:val="Heading3"/>
    <w:uiPriority w:val="9"/>
    <w:locked/>
    <w:rsid w:val="009709FD"/>
    <w:rPr>
      <w:rFonts w:ascii="Arial" w:hAnsi="Arial" w:cs="Arial"/>
      <w:b/>
      <w:sz w:val="22"/>
      <w:szCs w:val="22"/>
      <w:lang w:eastAsia="en-US"/>
    </w:rPr>
  </w:style>
  <w:style w:type="character" w:customStyle="1" w:styleId="Heading4Char">
    <w:name w:val="Heading 4 Char"/>
    <w:link w:val="Heading4"/>
    <w:locked/>
    <w:rPr>
      <w:rFonts w:ascii="Calibri" w:hAnsi="Calibri" w:cs="Times New Roman"/>
      <w:b/>
      <w:bCs/>
      <w:sz w:val="28"/>
      <w:szCs w:val="28"/>
    </w:rPr>
  </w:style>
  <w:style w:type="character" w:customStyle="1" w:styleId="Heading5Char">
    <w:name w:val="Heading 5 Char"/>
    <w:link w:val="Heading5"/>
    <w:locked/>
    <w:rsid w:val="007E31A2"/>
    <w:rPr>
      <w:rFonts w:ascii="Arial" w:hAnsi="Arial" w:cs="Arial"/>
      <w:i/>
      <w:sz w:val="22"/>
      <w:szCs w:val="22"/>
      <w:lang w:val="en-ZA"/>
    </w:rPr>
  </w:style>
  <w:style w:type="paragraph" w:customStyle="1" w:styleId="CharCharChar1CharCharCharChar">
    <w:name w:val="Char Char Char1 Char Char Char Char"/>
    <w:basedOn w:val="Normal"/>
    <w:uiPriority w:val="99"/>
    <w:semiHidden/>
    <w:rsid w:val="006C1575"/>
    <w:pPr>
      <w:spacing w:after="160" w:line="240" w:lineRule="exact"/>
    </w:pPr>
    <w:rPr>
      <w:rFonts w:ascii="Verdana" w:eastAsia="MS Mincho" w:hAnsi="Verdana"/>
      <w:sz w:val="20"/>
      <w:szCs w:val="20"/>
      <w:lang w:val="en-AU" w:eastAsia="ja-JP"/>
    </w:rPr>
  </w:style>
  <w:style w:type="paragraph" w:customStyle="1" w:styleId="Date1">
    <w:name w:val="Date1"/>
    <w:basedOn w:val="Normal"/>
    <w:autoRedefine/>
    <w:uiPriority w:val="99"/>
    <w:rsid w:val="003B416B"/>
    <w:pPr>
      <w:keepNext/>
    </w:pPr>
    <w:rPr>
      <w:rFonts w:cs="Arial"/>
      <w:szCs w:val="22"/>
    </w:rPr>
  </w:style>
  <w:style w:type="paragraph" w:customStyle="1" w:styleId="Section1">
    <w:name w:val="Section1"/>
    <w:basedOn w:val="Normal"/>
    <w:autoRedefine/>
    <w:uiPriority w:val="99"/>
    <w:rsid w:val="007739E9"/>
    <w:pPr>
      <w:keepNext/>
      <w:jc w:val="center"/>
    </w:pPr>
    <w:rPr>
      <w:rFonts w:cs="Arial"/>
      <w:szCs w:val="22"/>
    </w:rPr>
  </w:style>
  <w:style w:type="paragraph" w:customStyle="1" w:styleId="Example">
    <w:name w:val="Example"/>
    <w:basedOn w:val="Normal"/>
    <w:autoRedefine/>
    <w:uiPriority w:val="99"/>
    <w:rsid w:val="00F75FB0"/>
    <w:pPr>
      <w:spacing w:after="120"/>
      <w:ind w:left="1440"/>
    </w:pPr>
    <w:rPr>
      <w:rFonts w:cs="Arial"/>
      <w:b/>
      <w:i/>
      <w:szCs w:val="22"/>
    </w:rPr>
  </w:style>
  <w:style w:type="paragraph" w:styleId="Header">
    <w:name w:val="header"/>
    <w:basedOn w:val="Normal"/>
    <w:link w:val="HeaderChar"/>
    <w:uiPriority w:val="99"/>
    <w:rsid w:val="00536B30"/>
    <w:pPr>
      <w:tabs>
        <w:tab w:val="center" w:pos="4320"/>
        <w:tab w:val="right" w:pos="8640"/>
      </w:tabs>
    </w:pPr>
    <w:rPr>
      <w:sz w:val="24"/>
      <w:lang w:val="x-none" w:eastAsia="x-none"/>
    </w:r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rsid w:val="00740F95"/>
    <w:pPr>
      <w:tabs>
        <w:tab w:val="center" w:pos="4320"/>
        <w:tab w:val="right" w:pos="8640"/>
      </w:tabs>
    </w:pPr>
    <w:rPr>
      <w:sz w:val="24"/>
      <w:lang w:val="x-none" w:eastAsia="x-none"/>
    </w:rPr>
  </w:style>
  <w:style w:type="character" w:customStyle="1" w:styleId="FooterChar">
    <w:name w:val="Footer Char"/>
    <w:link w:val="Footer"/>
    <w:uiPriority w:val="99"/>
    <w:locked/>
    <w:rPr>
      <w:rFonts w:ascii="Arial" w:hAnsi="Arial" w:cs="Times New Roman"/>
      <w:sz w:val="24"/>
      <w:szCs w:val="24"/>
    </w:rPr>
  </w:style>
  <w:style w:type="paragraph" w:customStyle="1" w:styleId="Paragraph1">
    <w:name w:val="Paragraph1"/>
    <w:basedOn w:val="Normal"/>
    <w:autoRedefine/>
    <w:uiPriority w:val="99"/>
    <w:rsid w:val="005F4036"/>
    <w:pPr>
      <w:tabs>
        <w:tab w:val="left" w:pos="1276"/>
      </w:tabs>
    </w:pPr>
    <w:rPr>
      <w:rFonts w:cs="Arial"/>
      <w:szCs w:val="22"/>
    </w:rPr>
  </w:style>
  <w:style w:type="paragraph" w:customStyle="1" w:styleId="Separator">
    <w:name w:val="Separator"/>
    <w:basedOn w:val="Paragraph1"/>
    <w:autoRedefine/>
    <w:uiPriority w:val="99"/>
    <w:rsid w:val="00651114"/>
    <w:pPr>
      <w:jc w:val="center"/>
    </w:pPr>
  </w:style>
  <w:style w:type="paragraph" w:customStyle="1" w:styleId="Bullet1">
    <w:name w:val="Bullet1"/>
    <w:basedOn w:val="Paragraph1"/>
    <w:autoRedefine/>
    <w:uiPriority w:val="99"/>
    <w:rsid w:val="000C51C6"/>
    <w:pPr>
      <w:numPr>
        <w:ilvl w:val="1"/>
        <w:numId w:val="7"/>
      </w:numPr>
      <w:tabs>
        <w:tab w:val="clear" w:pos="1440"/>
        <w:tab w:val="num" w:pos="1980"/>
      </w:tabs>
      <w:ind w:left="1980" w:hanging="540"/>
    </w:pPr>
  </w:style>
  <w:style w:type="table" w:styleId="TableGrid">
    <w:name w:val="Table Grid"/>
    <w:basedOn w:val="TableNormal"/>
    <w:uiPriority w:val="39"/>
    <w:rsid w:val="001E0CF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er1">
    <w:name w:val="Box header1"/>
    <w:basedOn w:val="Paragraph1"/>
    <w:autoRedefine/>
    <w:uiPriority w:val="99"/>
    <w:rsid w:val="004C7BF4"/>
    <w:pPr>
      <w:spacing w:before="240"/>
    </w:pPr>
    <w:rPr>
      <w:b/>
      <w:sz w:val="20"/>
      <w:szCs w:val="20"/>
    </w:rPr>
  </w:style>
  <w:style w:type="paragraph" w:customStyle="1" w:styleId="Boxtext1">
    <w:name w:val="Box text1"/>
    <w:basedOn w:val="Paragraph1"/>
    <w:autoRedefine/>
    <w:uiPriority w:val="99"/>
    <w:rsid w:val="00120B02"/>
    <w:rPr>
      <w:sz w:val="18"/>
      <w:szCs w:val="18"/>
    </w:rPr>
  </w:style>
  <w:style w:type="paragraph" w:styleId="TOC1">
    <w:name w:val="toc 1"/>
    <w:basedOn w:val="Normal"/>
    <w:next w:val="Normal"/>
    <w:autoRedefine/>
    <w:uiPriority w:val="99"/>
    <w:rsid w:val="005F2F54"/>
    <w:pPr>
      <w:tabs>
        <w:tab w:val="right" w:leader="dot" w:pos="9394"/>
      </w:tabs>
      <w:ind w:firstLine="131"/>
    </w:pPr>
    <w:rPr>
      <w:b/>
      <w:sz w:val="24"/>
    </w:rPr>
  </w:style>
  <w:style w:type="paragraph" w:styleId="TOC3">
    <w:name w:val="toc 3"/>
    <w:basedOn w:val="Normal"/>
    <w:next w:val="Normal"/>
    <w:autoRedefine/>
    <w:uiPriority w:val="39"/>
    <w:rsid w:val="00A63627"/>
    <w:pPr>
      <w:tabs>
        <w:tab w:val="right" w:leader="dot" w:pos="9356"/>
      </w:tabs>
      <w:ind w:left="851" w:right="473" w:hanging="567"/>
    </w:pPr>
  </w:style>
  <w:style w:type="paragraph" w:styleId="TOC2">
    <w:name w:val="toc 2"/>
    <w:basedOn w:val="Normal"/>
    <w:next w:val="Normal"/>
    <w:autoRedefine/>
    <w:uiPriority w:val="39"/>
    <w:rsid w:val="009733CE"/>
    <w:pPr>
      <w:tabs>
        <w:tab w:val="right" w:leader="dot" w:pos="9394"/>
      </w:tabs>
      <w:spacing w:before="240"/>
      <w:ind w:left="851" w:hanging="567"/>
    </w:pPr>
    <w:rPr>
      <w:b/>
    </w:rPr>
  </w:style>
  <w:style w:type="character" w:styleId="Hyperlink">
    <w:name w:val="Hyperlink"/>
    <w:uiPriority w:val="99"/>
    <w:rsid w:val="00290E3D"/>
    <w:rPr>
      <w:rFonts w:cs="Times New Roman"/>
      <w:color w:val="0000FF"/>
      <w:u w:val="single"/>
    </w:rPr>
  </w:style>
  <w:style w:type="paragraph" w:customStyle="1" w:styleId="SectionsLaw">
    <w:name w:val="SectionsLaw"/>
    <w:basedOn w:val="Paragraph1"/>
    <w:autoRedefine/>
    <w:uiPriority w:val="99"/>
    <w:rsid w:val="00715BA8"/>
    <w:rPr>
      <w:i/>
      <w:iCs/>
      <w:sz w:val="20"/>
    </w:rPr>
  </w:style>
  <w:style w:type="character" w:styleId="PageNumber">
    <w:name w:val="page number"/>
    <w:rsid w:val="00C9676C"/>
    <w:rPr>
      <w:rFonts w:cs="Times New Roman"/>
    </w:rPr>
  </w:style>
  <w:style w:type="paragraph" w:styleId="BalloonText">
    <w:name w:val="Balloon Text"/>
    <w:basedOn w:val="Normal"/>
    <w:link w:val="BalloonTextChar"/>
    <w:uiPriority w:val="99"/>
    <w:semiHidden/>
    <w:rsid w:val="00FA61D3"/>
    <w:rPr>
      <w:rFonts w:ascii="Times New Roman" w:hAnsi="Times New Roman"/>
      <w:sz w:val="16"/>
      <w:szCs w:val="20"/>
      <w:lang w:val="x-none" w:eastAsia="x-none"/>
    </w:rPr>
  </w:style>
  <w:style w:type="character" w:customStyle="1" w:styleId="BalloonTextChar">
    <w:name w:val="Balloon Text Char"/>
    <w:link w:val="BalloonText"/>
    <w:uiPriority w:val="99"/>
    <w:semiHidden/>
    <w:locked/>
    <w:rPr>
      <w:sz w:val="16"/>
      <w:lang w:val="x-none" w:eastAsia="x-none"/>
    </w:rPr>
  </w:style>
  <w:style w:type="paragraph" w:customStyle="1" w:styleId="Clause">
    <w:name w:val="Clause"/>
    <w:basedOn w:val="Heading4"/>
    <w:autoRedefine/>
    <w:uiPriority w:val="99"/>
    <w:rsid w:val="00D7640B"/>
    <w:pPr>
      <w:ind w:left="1440" w:firstLine="0"/>
      <w:jc w:val="center"/>
    </w:pPr>
    <w:rPr>
      <w:rFonts w:cs="Arial"/>
      <w:bCs w:val="0"/>
      <w:color w:val="000000"/>
      <w:szCs w:val="22"/>
    </w:rPr>
  </w:style>
  <w:style w:type="paragraph" w:customStyle="1" w:styleId="Topic1">
    <w:name w:val="Topic1"/>
    <w:basedOn w:val="Heading4"/>
    <w:autoRedefine/>
    <w:uiPriority w:val="99"/>
    <w:rsid w:val="00B81A05"/>
  </w:style>
  <w:style w:type="paragraph" w:styleId="DocumentMap">
    <w:name w:val="Document Map"/>
    <w:basedOn w:val="Normal"/>
    <w:link w:val="DocumentMapChar"/>
    <w:uiPriority w:val="99"/>
    <w:semiHidden/>
    <w:rsid w:val="00D736F2"/>
    <w:pPr>
      <w:shd w:val="clear" w:color="auto" w:fill="000080"/>
    </w:pPr>
    <w:rPr>
      <w:rFonts w:ascii="Times New Roman" w:hAnsi="Times New Roman"/>
      <w:sz w:val="2"/>
      <w:szCs w:val="20"/>
      <w:lang w:val="x-none" w:eastAsia="x-none"/>
    </w:rPr>
  </w:style>
  <w:style w:type="character" w:customStyle="1" w:styleId="DocumentMapChar">
    <w:name w:val="Document Map Char"/>
    <w:link w:val="DocumentMap"/>
    <w:uiPriority w:val="99"/>
    <w:semiHidden/>
    <w:locked/>
    <w:rPr>
      <w:rFonts w:cs="Times New Roman"/>
      <w:sz w:val="2"/>
    </w:rPr>
  </w:style>
  <w:style w:type="character" w:styleId="CommentReference">
    <w:name w:val="annotation reference"/>
    <w:rsid w:val="00D736F2"/>
    <w:rPr>
      <w:rFonts w:cs="Times New Roman"/>
      <w:sz w:val="16"/>
      <w:szCs w:val="16"/>
    </w:rPr>
  </w:style>
  <w:style w:type="paragraph" w:styleId="CommentText">
    <w:name w:val="annotation text"/>
    <w:basedOn w:val="Normal"/>
    <w:link w:val="CommentTextChar"/>
    <w:rsid w:val="00D736F2"/>
    <w:rPr>
      <w:sz w:val="20"/>
      <w:szCs w:val="20"/>
      <w:lang w:val="x-none" w:eastAsia="x-none"/>
    </w:rPr>
  </w:style>
  <w:style w:type="character" w:customStyle="1" w:styleId="CommentTextChar">
    <w:name w:val="Comment Text Char"/>
    <w:link w:val="CommentText"/>
    <w:locked/>
    <w:rPr>
      <w:rFonts w:ascii="Arial" w:hAnsi="Arial" w:cs="Times New Roman"/>
    </w:rPr>
  </w:style>
  <w:style w:type="paragraph" w:styleId="CommentSubject">
    <w:name w:val="annotation subject"/>
    <w:basedOn w:val="CommentText"/>
    <w:next w:val="CommentText"/>
    <w:link w:val="CommentSubjectChar"/>
    <w:uiPriority w:val="99"/>
    <w:semiHidden/>
    <w:rsid w:val="00D736F2"/>
    <w:rPr>
      <w:b/>
      <w:bCs/>
    </w:rPr>
  </w:style>
  <w:style w:type="character" w:customStyle="1" w:styleId="CommentSubjectChar">
    <w:name w:val="Comment Subject Char"/>
    <w:link w:val="CommentSubject"/>
    <w:uiPriority w:val="99"/>
    <w:semiHidden/>
    <w:locked/>
    <w:rPr>
      <w:rFonts w:ascii="Arial" w:hAnsi="Arial" w:cs="Times New Roman"/>
      <w:b/>
      <w:bCs/>
    </w:rPr>
  </w:style>
  <w:style w:type="paragraph" w:styleId="ListBullet">
    <w:name w:val="List Bullet"/>
    <w:basedOn w:val="Normal"/>
    <w:uiPriority w:val="99"/>
    <w:rsid w:val="0058523F"/>
    <w:pPr>
      <w:tabs>
        <w:tab w:val="num" w:pos="720"/>
      </w:tabs>
      <w:ind w:left="360" w:hanging="360"/>
    </w:pPr>
    <w:rPr>
      <w:rFonts w:ascii="Times New Roman" w:hAnsi="Times New Roman"/>
      <w:sz w:val="24"/>
    </w:rPr>
  </w:style>
  <w:style w:type="character" w:styleId="Emphasis">
    <w:name w:val="Emphasis"/>
    <w:locked/>
    <w:rsid w:val="00044ED6"/>
    <w:rPr>
      <w:i/>
      <w:iCs/>
    </w:rPr>
  </w:style>
  <w:style w:type="paragraph" w:styleId="ListParagraph">
    <w:name w:val="List Paragraph"/>
    <w:basedOn w:val="Normal"/>
    <w:link w:val="ListParagraphChar"/>
    <w:uiPriority w:val="34"/>
    <w:qFormat/>
    <w:rsid w:val="00781C94"/>
  </w:style>
  <w:style w:type="paragraph" w:customStyle="1" w:styleId="tabletext">
    <w:name w:val="tabletext"/>
    <w:basedOn w:val="Normal"/>
    <w:uiPriority w:val="99"/>
    <w:rsid w:val="00FC0786"/>
    <w:pPr>
      <w:jc w:val="left"/>
    </w:pPr>
    <w:rPr>
      <w:rFonts w:ascii="Verdana" w:hAnsi="Verdana"/>
      <w:color w:val="000000"/>
      <w:sz w:val="16"/>
      <w:szCs w:val="16"/>
    </w:rPr>
  </w:style>
  <w:style w:type="paragraph" w:customStyle="1" w:styleId="Default">
    <w:name w:val="Default"/>
    <w:rsid w:val="00D7640B"/>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FC0786"/>
    <w:pPr>
      <w:spacing w:after="200" w:line="276" w:lineRule="auto"/>
      <w:jc w:val="left"/>
    </w:pPr>
    <w:rPr>
      <w:rFonts w:ascii="Times New Roman" w:eastAsia="Calibri" w:hAnsi="Times New Roman"/>
      <w:sz w:val="24"/>
    </w:rPr>
  </w:style>
  <w:style w:type="paragraph" w:customStyle="1" w:styleId="paraunderhead">
    <w:name w:val="paraunderhead"/>
    <w:basedOn w:val="Normal"/>
    <w:uiPriority w:val="99"/>
    <w:rsid w:val="00FC0786"/>
    <w:pPr>
      <w:spacing w:before="180"/>
      <w:jc w:val="left"/>
    </w:pPr>
    <w:rPr>
      <w:rFonts w:ascii="Verdana" w:hAnsi="Verdana"/>
      <w:color w:val="000000"/>
      <w:sz w:val="18"/>
      <w:szCs w:val="18"/>
    </w:rPr>
  </w:style>
  <w:style w:type="paragraph" w:customStyle="1" w:styleId="square">
    <w:name w:val="square"/>
    <w:basedOn w:val="Normal"/>
    <w:uiPriority w:val="99"/>
    <w:rsid w:val="00FC0786"/>
    <w:pPr>
      <w:spacing w:before="180"/>
      <w:ind w:left="567" w:hanging="567"/>
      <w:jc w:val="left"/>
    </w:pPr>
    <w:rPr>
      <w:rFonts w:ascii="Verdana" w:hAnsi="Verdana"/>
      <w:color w:val="000000"/>
      <w:sz w:val="18"/>
      <w:szCs w:val="18"/>
    </w:rPr>
  </w:style>
  <w:style w:type="paragraph" w:customStyle="1" w:styleId="parafullout">
    <w:name w:val="parafullout"/>
    <w:basedOn w:val="Normal"/>
    <w:uiPriority w:val="99"/>
    <w:rsid w:val="00FC0786"/>
    <w:pPr>
      <w:spacing w:before="180"/>
      <w:jc w:val="left"/>
    </w:pPr>
    <w:rPr>
      <w:rFonts w:ascii="Verdana" w:hAnsi="Verdana"/>
      <w:color w:val="000000"/>
      <w:sz w:val="18"/>
      <w:szCs w:val="18"/>
    </w:rPr>
  </w:style>
  <w:style w:type="paragraph" w:styleId="BodyText">
    <w:name w:val="Body Text"/>
    <w:basedOn w:val="Normal"/>
    <w:link w:val="BodyTextChar"/>
    <w:uiPriority w:val="99"/>
    <w:rsid w:val="00FC0786"/>
    <w:pPr>
      <w:jc w:val="left"/>
    </w:pPr>
    <w:rPr>
      <w:szCs w:val="20"/>
    </w:rPr>
  </w:style>
  <w:style w:type="character" w:customStyle="1" w:styleId="BodyTextChar">
    <w:name w:val="Body Text Char"/>
    <w:link w:val="BodyText"/>
    <w:uiPriority w:val="99"/>
    <w:rsid w:val="00E960D9"/>
    <w:rPr>
      <w:rFonts w:ascii="Arial" w:hAnsi="Arial"/>
      <w:sz w:val="22"/>
      <w:lang w:eastAsia="en-US"/>
    </w:rPr>
  </w:style>
  <w:style w:type="paragraph" w:styleId="Subtitle">
    <w:name w:val="Subtitle"/>
    <w:basedOn w:val="Normal"/>
    <w:next w:val="Normal"/>
    <w:link w:val="SubtitleChar"/>
    <w:uiPriority w:val="99"/>
    <w:qFormat/>
    <w:locked/>
    <w:rsid w:val="00FC0786"/>
    <w:pPr>
      <w:numPr>
        <w:ilvl w:val="1"/>
      </w:numPr>
      <w:ind w:left="720" w:hanging="720"/>
      <w:jc w:val="left"/>
    </w:pPr>
    <w:rPr>
      <w:rFonts w:ascii="Cambria" w:hAnsi="Cambria"/>
      <w:i/>
      <w:iCs/>
      <w:color w:val="4F81BD"/>
      <w:spacing w:val="15"/>
      <w:sz w:val="24"/>
    </w:rPr>
  </w:style>
  <w:style w:type="character" w:customStyle="1" w:styleId="SubtitleChar">
    <w:name w:val="Subtitle Char"/>
    <w:link w:val="Subtitle"/>
    <w:uiPriority w:val="99"/>
    <w:rsid w:val="008B353E"/>
    <w:rPr>
      <w:rFonts w:ascii="Cambria" w:hAnsi="Cambria"/>
      <w:i/>
      <w:iCs/>
      <w:color w:val="4F81BD"/>
      <w:spacing w:val="15"/>
      <w:sz w:val="24"/>
      <w:szCs w:val="24"/>
      <w:lang w:eastAsia="en-US"/>
    </w:rPr>
  </w:style>
  <w:style w:type="paragraph" w:customStyle="1" w:styleId="art-fullout">
    <w:name w:val="art-fullout"/>
    <w:basedOn w:val="Normal"/>
    <w:uiPriority w:val="99"/>
    <w:rsid w:val="00FC0786"/>
    <w:pPr>
      <w:spacing w:before="180"/>
      <w:jc w:val="left"/>
    </w:pPr>
    <w:rPr>
      <w:rFonts w:ascii="Verdana" w:hAnsi="Verdana"/>
      <w:color w:val="000000"/>
      <w:sz w:val="18"/>
      <w:szCs w:val="18"/>
    </w:rPr>
  </w:style>
  <w:style w:type="paragraph" w:customStyle="1" w:styleId="art-para1quad">
    <w:name w:val="art-para1quad"/>
    <w:basedOn w:val="Normal"/>
    <w:uiPriority w:val="99"/>
    <w:rsid w:val="00FC0786"/>
    <w:pPr>
      <w:spacing w:before="180"/>
      <w:jc w:val="left"/>
    </w:pPr>
    <w:rPr>
      <w:rFonts w:ascii="Verdana" w:hAnsi="Verdana"/>
      <w:color w:val="000000"/>
      <w:sz w:val="18"/>
      <w:szCs w:val="18"/>
    </w:rPr>
  </w:style>
  <w:style w:type="paragraph" w:customStyle="1" w:styleId="92Titlepage">
    <w:name w:val="9.2 Title page"/>
    <w:basedOn w:val="Normal"/>
    <w:link w:val="92TitlepageChar"/>
    <w:autoRedefine/>
    <w:qFormat/>
    <w:rsid w:val="00405E65"/>
    <w:pPr>
      <w:jc w:val="center"/>
    </w:pPr>
    <w:rPr>
      <w:b/>
    </w:rPr>
  </w:style>
  <w:style w:type="paragraph" w:customStyle="1" w:styleId="3Paragraph">
    <w:name w:val="3. Paragraph"/>
    <w:basedOn w:val="Normal"/>
    <w:next w:val="4Body"/>
    <w:link w:val="3ParagraphChar"/>
    <w:autoRedefine/>
    <w:qFormat/>
    <w:rsid w:val="007813A4"/>
    <w:pPr>
      <w:keepNext/>
      <w:numPr>
        <w:numId w:val="13"/>
      </w:numPr>
      <w:tabs>
        <w:tab w:val="left" w:pos="284"/>
      </w:tabs>
    </w:pPr>
    <w:rPr>
      <w:b/>
      <w:lang w:eastAsia="en-ZA"/>
    </w:rPr>
  </w:style>
  <w:style w:type="character" w:customStyle="1" w:styleId="92TitlepageChar">
    <w:name w:val="9.2 Title page Char"/>
    <w:basedOn w:val="DefaultParagraphFont"/>
    <w:link w:val="92Titlepage"/>
    <w:rsid w:val="00405E65"/>
    <w:rPr>
      <w:rFonts w:ascii="Arial" w:hAnsi="Arial"/>
      <w:b/>
      <w:sz w:val="22"/>
      <w:szCs w:val="24"/>
      <w:lang w:eastAsia="en-US"/>
    </w:rPr>
  </w:style>
  <w:style w:type="paragraph" w:customStyle="1" w:styleId="2Policy">
    <w:name w:val="2. Policy"/>
    <w:basedOn w:val="Heading3"/>
    <w:next w:val="4Body"/>
    <w:link w:val="2PolicyChar"/>
    <w:autoRedefine/>
    <w:qFormat/>
    <w:rsid w:val="00FC0786"/>
    <w:pPr>
      <w:numPr>
        <w:ilvl w:val="0"/>
        <w:numId w:val="0"/>
      </w:numPr>
      <w:spacing w:before="480" w:after="200" w:line="276" w:lineRule="auto"/>
      <w:ind w:left="709" w:hanging="709"/>
      <w:jc w:val="left"/>
    </w:pPr>
  </w:style>
  <w:style w:type="character" w:customStyle="1" w:styleId="3ParagraphChar">
    <w:name w:val="3. Paragraph Char"/>
    <w:basedOn w:val="DefaultParagraphFont"/>
    <w:link w:val="3Paragraph"/>
    <w:rsid w:val="007813A4"/>
    <w:rPr>
      <w:rFonts w:ascii="Arial" w:hAnsi="Arial"/>
      <w:b/>
      <w:sz w:val="22"/>
      <w:szCs w:val="24"/>
    </w:rPr>
  </w:style>
  <w:style w:type="paragraph" w:customStyle="1" w:styleId="4Body">
    <w:name w:val="4. Body"/>
    <w:basedOn w:val="Normal"/>
    <w:link w:val="4BodyChar"/>
    <w:autoRedefine/>
    <w:qFormat/>
    <w:rsid w:val="007B1750"/>
    <w:rPr>
      <w:rFonts w:eastAsia="Calibri" w:cs="Arial"/>
      <w:szCs w:val="22"/>
      <w:lang w:val="en-US"/>
    </w:rPr>
  </w:style>
  <w:style w:type="character" w:customStyle="1" w:styleId="2PolicyChar">
    <w:name w:val="2. Policy Char"/>
    <w:basedOn w:val="Heading3Char"/>
    <w:link w:val="2Policy"/>
    <w:rsid w:val="008F4EEB"/>
    <w:rPr>
      <w:rFonts w:ascii="Arial" w:hAnsi="Arial" w:cs="Arial"/>
      <w:b/>
      <w:sz w:val="22"/>
      <w:szCs w:val="22"/>
      <w:lang w:val="en-US" w:eastAsia="en-US"/>
    </w:rPr>
  </w:style>
  <w:style w:type="paragraph" w:customStyle="1" w:styleId="5Section">
    <w:name w:val="5. Section"/>
    <w:basedOn w:val="BodyText"/>
    <w:next w:val="4Body"/>
    <w:link w:val="5SectionChar"/>
    <w:autoRedefine/>
    <w:uiPriority w:val="99"/>
    <w:qFormat/>
    <w:rsid w:val="00DB3749"/>
    <w:pPr>
      <w:numPr>
        <w:numId w:val="14"/>
      </w:numPr>
    </w:pPr>
    <w:rPr>
      <w:rFonts w:eastAsiaTheme="minorHAnsi"/>
      <w:i/>
    </w:rPr>
  </w:style>
  <w:style w:type="character" w:customStyle="1" w:styleId="4BodyChar">
    <w:name w:val="4. Body Char"/>
    <w:basedOn w:val="DefaultParagraphFont"/>
    <w:link w:val="4Body"/>
    <w:rsid w:val="00677478"/>
    <w:rPr>
      <w:rFonts w:ascii="Arial" w:eastAsia="Calibri" w:hAnsi="Arial" w:cs="Arial"/>
      <w:sz w:val="22"/>
      <w:szCs w:val="22"/>
      <w:lang w:val="en-US" w:eastAsia="en-US"/>
    </w:rPr>
  </w:style>
  <w:style w:type="character" w:customStyle="1" w:styleId="5SectionChar">
    <w:name w:val="5. Section Char"/>
    <w:basedOn w:val="Heading5Char"/>
    <w:link w:val="5Section"/>
    <w:uiPriority w:val="99"/>
    <w:rsid w:val="00DB3749"/>
    <w:rPr>
      <w:rFonts w:ascii="Arial" w:eastAsiaTheme="minorHAnsi" w:hAnsi="Arial" w:cs="Arial"/>
      <w:i/>
      <w:sz w:val="22"/>
      <w:szCs w:val="22"/>
      <w:lang w:val="en-ZA" w:eastAsia="en-US"/>
    </w:rPr>
  </w:style>
  <w:style w:type="paragraph" w:customStyle="1" w:styleId="6Exheading">
    <w:name w:val="6. Ex heading"/>
    <w:basedOn w:val="4Body"/>
    <w:next w:val="7Exbody"/>
    <w:link w:val="6ExheadingChar"/>
    <w:autoRedefine/>
    <w:qFormat/>
    <w:rsid w:val="00D55552"/>
    <w:pPr>
      <w:spacing w:before="240" w:after="120"/>
      <w:ind w:left="2127" w:firstLine="11"/>
    </w:pPr>
    <w:rPr>
      <w:b/>
      <w:i/>
      <w:u w:val="single"/>
    </w:rPr>
  </w:style>
  <w:style w:type="paragraph" w:customStyle="1" w:styleId="7Exbody">
    <w:name w:val="7. Ex body"/>
    <w:basedOn w:val="6Exheading"/>
    <w:link w:val="7ExbodyChar"/>
    <w:autoRedefine/>
    <w:uiPriority w:val="99"/>
    <w:qFormat/>
    <w:rsid w:val="0042487F"/>
    <w:pPr>
      <w:spacing w:before="0" w:after="0"/>
    </w:pPr>
    <w:rPr>
      <w:b w:val="0"/>
      <w:i w:val="0"/>
      <w:u w:val="none"/>
    </w:rPr>
  </w:style>
  <w:style w:type="character" w:customStyle="1" w:styleId="6ExheadingChar">
    <w:name w:val="6. Ex heading Char"/>
    <w:basedOn w:val="4BodyChar"/>
    <w:link w:val="6Exheading"/>
    <w:rsid w:val="00D55552"/>
    <w:rPr>
      <w:rFonts w:ascii="Arial" w:eastAsia="Calibri" w:hAnsi="Arial" w:cs="Arial"/>
      <w:b/>
      <w:i/>
      <w:sz w:val="22"/>
      <w:szCs w:val="22"/>
      <w:u w:val="single"/>
      <w:lang w:val="en-US" w:eastAsia="en-US"/>
    </w:rPr>
  </w:style>
  <w:style w:type="paragraph" w:customStyle="1" w:styleId="82Unordered">
    <w:name w:val="8.2 Unordered"/>
    <w:basedOn w:val="ListParagraph"/>
    <w:link w:val="82UnorderedChar"/>
    <w:autoRedefine/>
    <w:uiPriority w:val="99"/>
    <w:qFormat/>
    <w:rsid w:val="00DD3E8F"/>
    <w:pPr>
      <w:spacing w:after="60"/>
    </w:pPr>
    <w:rPr>
      <w:rFonts w:cs="Arial"/>
      <w:szCs w:val="22"/>
    </w:rPr>
  </w:style>
  <w:style w:type="character" w:customStyle="1" w:styleId="7ExbodyChar">
    <w:name w:val="7. Ex body Char"/>
    <w:basedOn w:val="6ExheadingChar"/>
    <w:link w:val="7Exbody"/>
    <w:uiPriority w:val="99"/>
    <w:rsid w:val="0042487F"/>
    <w:rPr>
      <w:rFonts w:ascii="Arial" w:eastAsia="Calibri" w:hAnsi="Arial" w:cs="Arial"/>
      <w:b w:val="0"/>
      <w:i w:val="0"/>
      <w:sz w:val="22"/>
      <w:szCs w:val="22"/>
      <w:u w:val="single"/>
      <w:lang w:val="en-US" w:eastAsia="en-US"/>
    </w:rPr>
  </w:style>
  <w:style w:type="paragraph" w:customStyle="1" w:styleId="1Taxarea">
    <w:name w:val="1. Tax area"/>
    <w:basedOn w:val="Heading2"/>
    <w:link w:val="1TaxareaChar"/>
    <w:autoRedefine/>
    <w:uiPriority w:val="99"/>
    <w:qFormat/>
    <w:rsid w:val="00696B8F"/>
    <w:pPr>
      <w:pageBreakBefore/>
      <w:spacing w:after="0"/>
    </w:pPr>
  </w:style>
  <w:style w:type="character" w:customStyle="1" w:styleId="ListParagraphChar">
    <w:name w:val="List Paragraph Char"/>
    <w:basedOn w:val="DefaultParagraphFont"/>
    <w:link w:val="ListParagraph"/>
    <w:uiPriority w:val="34"/>
    <w:rsid w:val="005573CE"/>
    <w:rPr>
      <w:rFonts w:ascii="Arial" w:hAnsi="Arial"/>
      <w:sz w:val="22"/>
      <w:szCs w:val="24"/>
      <w:lang w:val="en-US" w:eastAsia="en-US"/>
    </w:rPr>
  </w:style>
  <w:style w:type="character" w:customStyle="1" w:styleId="82UnorderedChar">
    <w:name w:val="8.2 Unordered Char"/>
    <w:basedOn w:val="ListParagraphChar"/>
    <w:link w:val="82Unordered"/>
    <w:uiPriority w:val="99"/>
    <w:rsid w:val="00DD3E8F"/>
    <w:rPr>
      <w:rFonts w:ascii="Arial" w:hAnsi="Arial" w:cs="Arial"/>
      <w:sz w:val="22"/>
      <w:szCs w:val="22"/>
      <w:lang w:val="en-US" w:eastAsia="en-US"/>
    </w:rPr>
  </w:style>
  <w:style w:type="character" w:customStyle="1" w:styleId="1TaxareaChar">
    <w:name w:val="1. Tax area Char"/>
    <w:basedOn w:val="Heading2Char"/>
    <w:link w:val="1Taxarea"/>
    <w:uiPriority w:val="99"/>
    <w:rsid w:val="00696B8F"/>
    <w:rPr>
      <w:rFonts w:ascii="Arial" w:hAnsi="Arial"/>
      <w:b/>
      <w:sz w:val="28"/>
      <w:szCs w:val="22"/>
      <w:lang w:eastAsia="x-none"/>
    </w:rPr>
  </w:style>
  <w:style w:type="paragraph" w:customStyle="1" w:styleId="9Tableheader">
    <w:name w:val="9. Table header"/>
    <w:basedOn w:val="ListParagraph"/>
    <w:link w:val="9TableheaderChar"/>
    <w:autoRedefine/>
    <w:qFormat/>
    <w:rsid w:val="004263F3"/>
    <w:rPr>
      <w:i/>
      <w:lang w:val="en-US"/>
    </w:rPr>
  </w:style>
  <w:style w:type="paragraph" w:customStyle="1" w:styleId="91Tableinput">
    <w:name w:val="9.1 Table input"/>
    <w:basedOn w:val="9Tableheader"/>
    <w:link w:val="91TableinputChar"/>
    <w:autoRedefine/>
    <w:qFormat/>
    <w:rsid w:val="000252F3"/>
    <w:rPr>
      <w:i w:val="0"/>
    </w:rPr>
  </w:style>
  <w:style w:type="character" w:customStyle="1" w:styleId="9TableheaderChar">
    <w:name w:val="9. Table header Char"/>
    <w:basedOn w:val="ListParagraphChar"/>
    <w:link w:val="9Tableheader"/>
    <w:rsid w:val="004263F3"/>
    <w:rPr>
      <w:rFonts w:ascii="Arial" w:hAnsi="Arial"/>
      <w:i/>
      <w:sz w:val="22"/>
      <w:szCs w:val="24"/>
      <w:lang w:val="en-US" w:eastAsia="en-US"/>
    </w:rPr>
  </w:style>
  <w:style w:type="paragraph" w:customStyle="1" w:styleId="21Provisions">
    <w:name w:val="2.1 Provisions"/>
    <w:basedOn w:val="4Body"/>
    <w:next w:val="4Body"/>
    <w:link w:val="21ProvisionsChar"/>
    <w:autoRedefine/>
    <w:qFormat/>
    <w:rsid w:val="004F5D96"/>
    <w:pPr>
      <w:keepNext/>
    </w:pPr>
  </w:style>
  <w:style w:type="character" w:customStyle="1" w:styleId="91TableinputChar">
    <w:name w:val="9.1 Table input Char"/>
    <w:basedOn w:val="9TableheaderChar"/>
    <w:link w:val="91Tableinput"/>
    <w:rsid w:val="000252F3"/>
    <w:rPr>
      <w:rFonts w:ascii="Arial" w:hAnsi="Arial"/>
      <w:i w:val="0"/>
      <w:sz w:val="22"/>
      <w:szCs w:val="24"/>
      <w:lang w:val="en-US" w:eastAsia="en-US"/>
    </w:rPr>
  </w:style>
  <w:style w:type="character" w:customStyle="1" w:styleId="21ProvisionsChar">
    <w:name w:val="2.1 Provisions Char"/>
    <w:basedOn w:val="4BodyChar"/>
    <w:link w:val="21Provisions"/>
    <w:rsid w:val="004F5D96"/>
    <w:rPr>
      <w:rFonts w:ascii="Arial" w:eastAsia="Calibri" w:hAnsi="Arial" w:cs="Arial"/>
      <w:sz w:val="22"/>
      <w:szCs w:val="22"/>
      <w:lang w:val="en-US" w:eastAsia="en-US"/>
    </w:rPr>
  </w:style>
  <w:style w:type="paragraph" w:styleId="Revision">
    <w:name w:val="Revision"/>
    <w:hidden/>
    <w:uiPriority w:val="99"/>
    <w:semiHidden/>
    <w:rsid w:val="00DC454B"/>
    <w:rPr>
      <w:rFonts w:ascii="Arial" w:hAnsi="Arial"/>
      <w:sz w:val="22"/>
      <w:szCs w:val="24"/>
      <w:lang w:eastAsia="en-US"/>
    </w:rPr>
  </w:style>
  <w:style w:type="character" w:customStyle="1" w:styleId="H2CharChar">
    <w:name w:val="H2 Char Char"/>
    <w:link w:val="H2"/>
    <w:uiPriority w:val="99"/>
    <w:locked/>
    <w:rsid w:val="00DC454B"/>
    <w:rPr>
      <w:rFonts w:ascii="Arial" w:hAnsi="Arial" w:cs="Arial"/>
      <w:bCs/>
      <w:iCs/>
      <w:sz w:val="24"/>
      <w:szCs w:val="24"/>
      <w:lang w:val="en-GB"/>
    </w:rPr>
  </w:style>
  <w:style w:type="paragraph" w:customStyle="1" w:styleId="H1">
    <w:name w:val="H1"/>
    <w:uiPriority w:val="99"/>
    <w:rsid w:val="00DC454B"/>
    <w:pPr>
      <w:keepNext/>
      <w:numPr>
        <w:numId w:val="12"/>
      </w:numPr>
      <w:spacing w:before="240" w:line="360" w:lineRule="auto"/>
      <w:jc w:val="both"/>
    </w:pPr>
    <w:rPr>
      <w:rFonts w:ascii="Arial" w:hAnsi="Arial" w:cs="Arial"/>
      <w:sz w:val="24"/>
      <w:szCs w:val="24"/>
      <w:lang w:val="en-GB" w:eastAsia="en-US"/>
    </w:rPr>
  </w:style>
  <w:style w:type="paragraph" w:customStyle="1" w:styleId="H2">
    <w:name w:val="H2"/>
    <w:next w:val="H1"/>
    <w:link w:val="H2CharChar"/>
    <w:uiPriority w:val="99"/>
    <w:rsid w:val="00DC454B"/>
    <w:pPr>
      <w:numPr>
        <w:ilvl w:val="1"/>
        <w:numId w:val="12"/>
      </w:numPr>
      <w:tabs>
        <w:tab w:val="left" w:pos="1134"/>
      </w:tabs>
      <w:spacing w:before="200" w:line="360" w:lineRule="auto"/>
      <w:jc w:val="both"/>
    </w:pPr>
    <w:rPr>
      <w:rFonts w:ascii="Arial" w:hAnsi="Arial" w:cs="Arial"/>
      <w:bCs/>
      <w:iCs/>
      <w:sz w:val="24"/>
      <w:szCs w:val="24"/>
      <w:lang w:val="en-GB"/>
    </w:rPr>
  </w:style>
  <w:style w:type="paragraph" w:customStyle="1" w:styleId="H3">
    <w:name w:val="H3"/>
    <w:uiPriority w:val="99"/>
    <w:rsid w:val="00DC454B"/>
    <w:pPr>
      <w:numPr>
        <w:ilvl w:val="2"/>
        <w:numId w:val="12"/>
      </w:numPr>
      <w:snapToGrid w:val="0"/>
      <w:spacing w:before="240" w:after="120" w:line="360" w:lineRule="auto"/>
      <w:contextualSpacing/>
      <w:jc w:val="both"/>
      <w:outlineLvl w:val="2"/>
    </w:pPr>
    <w:rPr>
      <w:rFonts w:ascii="Arial" w:hAnsi="Arial"/>
      <w:sz w:val="24"/>
      <w:szCs w:val="24"/>
      <w:lang w:val="en-GB" w:eastAsia="en-US"/>
    </w:rPr>
  </w:style>
  <w:style w:type="character" w:customStyle="1" w:styleId="CharacterStyle1">
    <w:name w:val="Character Style 1"/>
    <w:basedOn w:val="DefaultParagraphFont"/>
    <w:uiPriority w:val="99"/>
    <w:rsid w:val="00930394"/>
  </w:style>
  <w:style w:type="paragraph" w:customStyle="1" w:styleId="81Orderedlist">
    <w:name w:val="8.1 Ordered list"/>
    <w:basedOn w:val="4Body"/>
    <w:link w:val="81OrderedlistChar"/>
    <w:autoRedefine/>
    <w:uiPriority w:val="99"/>
    <w:qFormat/>
    <w:rsid w:val="00C06D93"/>
    <w:pPr>
      <w:numPr>
        <w:numId w:val="15"/>
      </w:numPr>
      <w:spacing w:after="60"/>
    </w:pPr>
    <w:rPr>
      <w:lang w:val="en-ZA"/>
    </w:rPr>
  </w:style>
  <w:style w:type="paragraph" w:customStyle="1" w:styleId="51Subsection">
    <w:name w:val="5.1 Subsection"/>
    <w:basedOn w:val="82Unordered"/>
    <w:link w:val="51SubsectionChar"/>
    <w:autoRedefine/>
    <w:uiPriority w:val="99"/>
    <w:qFormat/>
    <w:rsid w:val="00F213ED"/>
    <w:pPr>
      <w:spacing w:after="120"/>
    </w:pPr>
    <w:rPr>
      <w:rFonts w:eastAsiaTheme="minorHAnsi"/>
      <w:i/>
    </w:rPr>
  </w:style>
  <w:style w:type="character" w:customStyle="1" w:styleId="81OrderedlistChar">
    <w:name w:val="8.1 Ordered list Char"/>
    <w:basedOn w:val="4BodyChar"/>
    <w:link w:val="81Orderedlist"/>
    <w:uiPriority w:val="99"/>
    <w:rsid w:val="00C06D93"/>
    <w:rPr>
      <w:rFonts w:ascii="Arial" w:eastAsia="Calibri" w:hAnsi="Arial" w:cs="Arial"/>
      <w:sz w:val="22"/>
      <w:szCs w:val="22"/>
      <w:lang w:val="en-US" w:eastAsia="en-US"/>
    </w:rPr>
  </w:style>
  <w:style w:type="paragraph" w:customStyle="1" w:styleId="61Exsubheading">
    <w:name w:val="6.1 Ex subheading"/>
    <w:basedOn w:val="6Exheading"/>
    <w:link w:val="61ExsubheadingChar"/>
    <w:autoRedefine/>
    <w:qFormat/>
    <w:rsid w:val="00826538"/>
    <w:rPr>
      <w:u w:val="none"/>
      <w:lang w:val="en-ZA"/>
    </w:rPr>
  </w:style>
  <w:style w:type="character" w:customStyle="1" w:styleId="51SubsectionChar">
    <w:name w:val="5.1 Subsection Char"/>
    <w:basedOn w:val="82UnorderedChar"/>
    <w:link w:val="51Subsection"/>
    <w:uiPriority w:val="99"/>
    <w:rsid w:val="00F213ED"/>
    <w:rPr>
      <w:rFonts w:ascii="Arial" w:eastAsiaTheme="minorHAnsi" w:hAnsi="Arial" w:cs="Arial"/>
      <w:i/>
      <w:sz w:val="22"/>
      <w:szCs w:val="22"/>
      <w:lang w:val="en-US" w:eastAsia="en-US"/>
    </w:rPr>
  </w:style>
  <w:style w:type="character" w:customStyle="1" w:styleId="61ExsubheadingChar">
    <w:name w:val="6.1 Ex subheading Char"/>
    <w:basedOn w:val="6ExheadingChar"/>
    <w:link w:val="61Exsubheading"/>
    <w:rsid w:val="00826538"/>
    <w:rPr>
      <w:rFonts w:ascii="Arial" w:eastAsia="Calibri" w:hAnsi="Arial" w:cs="Arial"/>
      <w:b/>
      <w:i/>
      <w:sz w:val="22"/>
      <w:szCs w:val="22"/>
      <w:u w:val="single"/>
      <w:lang w:val="en-US" w:eastAsia="en-US"/>
    </w:rPr>
  </w:style>
  <w:style w:type="paragraph" w:customStyle="1" w:styleId="5Response">
    <w:name w:val="5.Response"/>
    <w:basedOn w:val="ListParagraph"/>
    <w:link w:val="5ResponseChar"/>
    <w:qFormat/>
    <w:rsid w:val="00FC0786"/>
    <w:pPr>
      <w:spacing w:line="276" w:lineRule="auto"/>
      <w:ind w:left="1080"/>
      <w:contextualSpacing/>
      <w:jc w:val="left"/>
    </w:pPr>
    <w:rPr>
      <w:rFonts w:eastAsiaTheme="minorHAnsi" w:cs="Arial"/>
      <w:szCs w:val="18"/>
      <w:lang w:val="en-US"/>
    </w:rPr>
  </w:style>
  <w:style w:type="character" w:customStyle="1" w:styleId="5ResponseChar">
    <w:name w:val="5.Response Char"/>
    <w:basedOn w:val="ListParagraphChar"/>
    <w:link w:val="5Response"/>
    <w:rsid w:val="002323DE"/>
    <w:rPr>
      <w:rFonts w:ascii="Arial" w:eastAsiaTheme="minorHAnsi" w:hAnsi="Arial" w:cs="Arial"/>
      <w:sz w:val="22"/>
      <w:szCs w:val="18"/>
      <w:lang w:val="en-US" w:eastAsia="en-US"/>
    </w:rPr>
  </w:style>
  <w:style w:type="paragraph" w:styleId="Caption">
    <w:name w:val="caption"/>
    <w:basedOn w:val="Normal"/>
    <w:next w:val="Normal"/>
    <w:uiPriority w:val="35"/>
    <w:unhideWhenUsed/>
    <w:qFormat/>
    <w:locked/>
    <w:rsid w:val="00FC0786"/>
    <w:pPr>
      <w:spacing w:after="200"/>
      <w:jc w:val="left"/>
    </w:pPr>
    <w:rPr>
      <w:rFonts w:eastAsiaTheme="minorHAnsi" w:cstheme="minorBidi"/>
      <w:b/>
      <w:bCs/>
      <w:color w:val="4F81BD" w:themeColor="accent1"/>
      <w:sz w:val="18"/>
      <w:szCs w:val="18"/>
    </w:rPr>
  </w:style>
  <w:style w:type="paragraph" w:customStyle="1" w:styleId="4Comment">
    <w:name w:val="4.Comment"/>
    <w:basedOn w:val="ListParagraph"/>
    <w:link w:val="4CommentChar"/>
    <w:qFormat/>
    <w:rsid w:val="00FC0786"/>
    <w:pPr>
      <w:spacing w:line="276" w:lineRule="auto"/>
      <w:contextualSpacing/>
      <w:jc w:val="left"/>
    </w:pPr>
    <w:rPr>
      <w:rFonts w:eastAsiaTheme="minorHAnsi" w:cs="Arial"/>
      <w:szCs w:val="18"/>
      <w:lang w:val="en-US"/>
    </w:rPr>
  </w:style>
  <w:style w:type="character" w:customStyle="1" w:styleId="4CommentChar">
    <w:name w:val="4.Comment Char"/>
    <w:basedOn w:val="ListParagraphChar"/>
    <w:link w:val="4Comment"/>
    <w:rsid w:val="003469A8"/>
    <w:rPr>
      <w:rFonts w:ascii="Arial" w:eastAsiaTheme="minorHAnsi" w:hAnsi="Arial" w:cs="Arial"/>
      <w:sz w:val="22"/>
      <w:szCs w:val="18"/>
      <w:lang w:val="en-US" w:eastAsia="en-US"/>
    </w:rPr>
  </w:style>
  <w:style w:type="character" w:styleId="FollowedHyperlink">
    <w:name w:val="FollowedHyperlink"/>
    <w:basedOn w:val="DefaultParagraphFont"/>
    <w:uiPriority w:val="99"/>
    <w:unhideWhenUsed/>
    <w:rsid w:val="00777B05"/>
    <w:rPr>
      <w:color w:val="800080" w:themeColor="followedHyperlink"/>
      <w:u w:val="single"/>
    </w:rPr>
  </w:style>
  <w:style w:type="character" w:customStyle="1" w:styleId="Heading2Char1">
    <w:name w:val="Heading 2 Char1"/>
    <w:aliases w:val="1. Directorate Char1"/>
    <w:basedOn w:val="DefaultParagraphFont"/>
    <w:semiHidden/>
    <w:rsid w:val="00777B05"/>
    <w:rPr>
      <w:rFonts w:asciiTheme="majorHAnsi" w:eastAsiaTheme="majorEastAsia" w:hAnsiTheme="majorHAnsi" w:cstheme="majorBidi"/>
      <w:b/>
      <w:bCs/>
      <w:color w:val="4F81BD" w:themeColor="accent1"/>
      <w:sz w:val="26"/>
      <w:szCs w:val="26"/>
      <w:lang w:eastAsia="en-US"/>
    </w:rPr>
  </w:style>
  <w:style w:type="character" w:customStyle="1" w:styleId="A5">
    <w:name w:val="A5"/>
    <w:uiPriority w:val="99"/>
    <w:rsid w:val="000A56AF"/>
    <w:rPr>
      <w:color w:val="000000"/>
      <w:sz w:val="18"/>
      <w:szCs w:val="18"/>
    </w:rPr>
  </w:style>
  <w:style w:type="paragraph" w:styleId="NoSpacing">
    <w:name w:val="No Spacing"/>
    <w:uiPriority w:val="1"/>
    <w:qFormat/>
    <w:rsid w:val="00263904"/>
    <w:rPr>
      <w:rFonts w:asciiTheme="minorHAnsi" w:eastAsiaTheme="minorHAnsi" w:hAnsiTheme="minorHAnsi" w:cstheme="minorBidi"/>
      <w:sz w:val="22"/>
      <w:szCs w:val="22"/>
      <w:lang w:eastAsia="en-US"/>
    </w:rPr>
  </w:style>
  <w:style w:type="paragraph" w:customStyle="1" w:styleId="Parabeforelevel1heading">
    <w:name w:val="Para before level 1 heading"/>
    <w:basedOn w:val="Normal"/>
    <w:rsid w:val="00FC0786"/>
    <w:pPr>
      <w:spacing w:after="360" w:line="264" w:lineRule="auto"/>
      <w:ind w:left="720"/>
      <w:jc w:val="left"/>
    </w:pPr>
    <w:rPr>
      <w:rFonts w:eastAsia="Calibri" w:cs="Arial"/>
      <w:szCs w:val="22"/>
      <w:lang w:val="en-GB" w:eastAsia="en-GB"/>
    </w:rPr>
  </w:style>
  <w:style w:type="paragraph" w:customStyle="1" w:styleId="Parafirstline">
    <w:name w:val="Para first line"/>
    <w:basedOn w:val="Normal"/>
    <w:link w:val="ParafirstlineChar"/>
    <w:qFormat/>
    <w:rsid w:val="00FC0786"/>
    <w:pPr>
      <w:spacing w:line="264" w:lineRule="auto"/>
      <w:ind w:left="720"/>
      <w:jc w:val="left"/>
    </w:pPr>
    <w:rPr>
      <w:rFonts w:eastAsia="Calibri" w:cs="Arial"/>
      <w:szCs w:val="22"/>
      <w:lang w:val="en-GB" w:eastAsia="en-GB"/>
    </w:rPr>
  </w:style>
  <w:style w:type="character" w:customStyle="1" w:styleId="ParafirstlineChar">
    <w:name w:val="Para first line Char"/>
    <w:link w:val="Parafirstline"/>
    <w:rsid w:val="008E13DE"/>
    <w:rPr>
      <w:rFonts w:ascii="Arial" w:eastAsia="Calibri" w:hAnsi="Arial" w:cs="Arial"/>
      <w:sz w:val="22"/>
      <w:szCs w:val="22"/>
      <w:lang w:val="en-GB" w:eastAsia="en-GB"/>
    </w:rPr>
  </w:style>
  <w:style w:type="character" w:customStyle="1" w:styleId="A3">
    <w:name w:val="A3"/>
    <w:uiPriority w:val="99"/>
    <w:rsid w:val="008E13DE"/>
    <w:rPr>
      <w:rFonts w:cs="Bliss Light"/>
      <w:color w:val="000000"/>
      <w:sz w:val="18"/>
      <w:szCs w:val="18"/>
    </w:rPr>
  </w:style>
  <w:style w:type="paragraph" w:customStyle="1" w:styleId="lg-definition">
    <w:name w:val="lg-definition"/>
    <w:basedOn w:val="Normal"/>
    <w:rsid w:val="00FC0786"/>
    <w:pPr>
      <w:spacing w:before="180" w:after="200" w:line="276" w:lineRule="auto"/>
      <w:ind w:left="198" w:firstLine="198"/>
      <w:jc w:val="left"/>
    </w:pPr>
    <w:rPr>
      <w:rFonts w:ascii="Verdana" w:eastAsia="Calibri" w:hAnsi="Verdana" w:cs="Arial"/>
      <w:color w:val="000000"/>
      <w:sz w:val="18"/>
      <w:szCs w:val="18"/>
      <w:lang w:val="en-US"/>
    </w:rPr>
  </w:style>
  <w:style w:type="paragraph" w:customStyle="1" w:styleId="lg-definitiontext">
    <w:name w:val="lg-definitiontext"/>
    <w:basedOn w:val="Normal"/>
    <w:rsid w:val="00FC0786"/>
    <w:pPr>
      <w:spacing w:before="180" w:after="200" w:line="276" w:lineRule="auto"/>
      <w:ind w:left="198"/>
      <w:jc w:val="left"/>
    </w:pPr>
    <w:rPr>
      <w:rFonts w:ascii="Verdana" w:eastAsia="Calibri" w:hAnsi="Verdana" w:cs="Arial"/>
      <w:color w:val="000000"/>
      <w:sz w:val="18"/>
      <w:szCs w:val="18"/>
      <w:lang w:val="en-US"/>
    </w:rPr>
  </w:style>
  <w:style w:type="paragraph" w:styleId="PlainText">
    <w:name w:val="Plain Text"/>
    <w:basedOn w:val="Normal"/>
    <w:link w:val="PlainTextChar"/>
    <w:uiPriority w:val="99"/>
    <w:rsid w:val="00FC0786"/>
    <w:pPr>
      <w:spacing w:after="200" w:line="276" w:lineRule="auto"/>
      <w:ind w:left="720"/>
      <w:jc w:val="left"/>
    </w:pPr>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rsid w:val="008E13DE"/>
    <w:rPr>
      <w:rFonts w:ascii="Consolas" w:eastAsia="Calibri" w:hAnsi="Consolas" w:cs="Consolas"/>
      <w:sz w:val="21"/>
      <w:szCs w:val="21"/>
      <w:lang w:val="en-US" w:eastAsia="en-US"/>
    </w:rPr>
  </w:style>
  <w:style w:type="paragraph" w:customStyle="1" w:styleId="Paragraph">
    <w:name w:val="Paragraph"/>
    <w:basedOn w:val="Normal"/>
    <w:link w:val="ParagraphChar"/>
    <w:qFormat/>
    <w:rsid w:val="00FC0786"/>
    <w:pPr>
      <w:tabs>
        <w:tab w:val="left" w:pos="284"/>
        <w:tab w:val="left" w:pos="567"/>
        <w:tab w:val="left" w:pos="851"/>
      </w:tabs>
      <w:spacing w:after="160" w:line="260" w:lineRule="atLeast"/>
      <w:ind w:left="720"/>
      <w:jc w:val="left"/>
    </w:pPr>
    <w:rPr>
      <w:rFonts w:ascii="Times New Roman" w:eastAsia="Calibri" w:hAnsi="Times New Roman" w:cs="Arial"/>
      <w:sz w:val="21"/>
      <w:szCs w:val="20"/>
    </w:rPr>
  </w:style>
  <w:style w:type="character" w:customStyle="1" w:styleId="ParagraphChar">
    <w:name w:val="Paragraph Char"/>
    <w:link w:val="Paragraph"/>
    <w:rsid w:val="008E13DE"/>
    <w:rPr>
      <w:rFonts w:eastAsia="Calibri" w:cs="Arial"/>
      <w:sz w:val="21"/>
      <w:lang w:eastAsia="en-US"/>
    </w:rPr>
  </w:style>
  <w:style w:type="table" w:customStyle="1" w:styleId="TableGrid1">
    <w:name w:val="Table Grid1"/>
    <w:basedOn w:val="TableNormal"/>
    <w:next w:val="TableGrid"/>
    <w:uiPriority w:val="39"/>
    <w:rsid w:val="008E13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 3"/>
    <w:basedOn w:val="NoList"/>
    <w:uiPriority w:val="99"/>
    <w:rsid w:val="0034298A"/>
    <w:pPr>
      <w:numPr>
        <w:numId w:val="16"/>
      </w:numPr>
    </w:pPr>
  </w:style>
  <w:style w:type="paragraph" w:customStyle="1" w:styleId="3Mainreference">
    <w:name w:val="3.Main reference"/>
    <w:basedOn w:val="ListParagraph"/>
    <w:link w:val="3MainreferenceChar"/>
    <w:qFormat/>
    <w:rsid w:val="00FC0786"/>
    <w:pPr>
      <w:spacing w:after="0" w:line="276" w:lineRule="auto"/>
      <w:ind w:left="993"/>
      <w:contextualSpacing/>
    </w:pPr>
    <w:rPr>
      <w:rFonts w:eastAsiaTheme="minorHAnsi" w:cs="Arial"/>
      <w:szCs w:val="22"/>
      <w:lang w:val="en-US"/>
    </w:rPr>
  </w:style>
  <w:style w:type="character" w:customStyle="1" w:styleId="3MainreferenceChar">
    <w:name w:val="3.Main reference Char"/>
    <w:basedOn w:val="ListParagraphChar"/>
    <w:link w:val="3Mainreference"/>
    <w:rsid w:val="00C72CEB"/>
    <w:rPr>
      <w:rFonts w:ascii="Arial" w:eastAsiaTheme="minorHAnsi" w:hAnsi="Arial" w:cs="Arial"/>
      <w:sz w:val="22"/>
      <w:szCs w:val="22"/>
      <w:lang w:val="en-US" w:eastAsia="en-US"/>
    </w:rPr>
  </w:style>
  <w:style w:type="character" w:customStyle="1" w:styleId="UnresolvedMention1">
    <w:name w:val="Unresolved Mention1"/>
    <w:basedOn w:val="DefaultParagraphFont"/>
    <w:uiPriority w:val="99"/>
    <w:semiHidden/>
    <w:unhideWhenUsed/>
    <w:rsid w:val="007775BD"/>
    <w:rPr>
      <w:color w:val="605E5C"/>
      <w:shd w:val="clear" w:color="auto" w:fill="E1DFDD"/>
    </w:rPr>
  </w:style>
  <w:style w:type="table" w:customStyle="1" w:styleId="ListTable31">
    <w:name w:val="List Table 31"/>
    <w:basedOn w:val="TableNormal"/>
    <w:uiPriority w:val="48"/>
    <w:rsid w:val="00D156D2"/>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DB01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DB0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62A2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2A2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B784B"/>
    <w:pPr>
      <w:spacing w:after="0"/>
    </w:pPr>
    <w:rPr>
      <w:sz w:val="20"/>
      <w:szCs w:val="20"/>
    </w:rPr>
  </w:style>
  <w:style w:type="character" w:customStyle="1" w:styleId="FootnoteTextChar">
    <w:name w:val="Footnote Text Char"/>
    <w:basedOn w:val="DefaultParagraphFont"/>
    <w:link w:val="FootnoteText"/>
    <w:semiHidden/>
    <w:rsid w:val="007B784B"/>
    <w:rPr>
      <w:rFonts w:ascii="Arial" w:hAnsi="Arial"/>
      <w:lang w:eastAsia="en-US"/>
    </w:rPr>
  </w:style>
  <w:style w:type="character" w:styleId="FootnoteReference">
    <w:name w:val="footnote reference"/>
    <w:basedOn w:val="DefaultParagraphFont"/>
    <w:semiHidden/>
    <w:unhideWhenUsed/>
    <w:rsid w:val="007B784B"/>
    <w:rPr>
      <w:vertAlign w:val="superscript"/>
    </w:rPr>
  </w:style>
  <w:style w:type="paragraph" w:styleId="EndnoteText">
    <w:name w:val="endnote text"/>
    <w:basedOn w:val="Normal"/>
    <w:link w:val="EndnoteTextChar"/>
    <w:semiHidden/>
    <w:unhideWhenUsed/>
    <w:rsid w:val="007B784B"/>
    <w:pPr>
      <w:spacing w:after="0"/>
    </w:pPr>
    <w:rPr>
      <w:sz w:val="20"/>
      <w:szCs w:val="20"/>
    </w:rPr>
  </w:style>
  <w:style w:type="character" w:customStyle="1" w:styleId="EndnoteTextChar">
    <w:name w:val="Endnote Text Char"/>
    <w:basedOn w:val="DefaultParagraphFont"/>
    <w:link w:val="EndnoteText"/>
    <w:semiHidden/>
    <w:rsid w:val="007B784B"/>
    <w:rPr>
      <w:rFonts w:ascii="Arial" w:hAnsi="Arial"/>
      <w:lang w:eastAsia="en-US"/>
    </w:rPr>
  </w:style>
  <w:style w:type="character" w:styleId="EndnoteReference">
    <w:name w:val="endnote reference"/>
    <w:basedOn w:val="DefaultParagraphFont"/>
    <w:semiHidden/>
    <w:unhideWhenUsed/>
    <w:rsid w:val="007B784B"/>
    <w:rPr>
      <w:vertAlign w:val="superscript"/>
    </w:rPr>
  </w:style>
  <w:style w:type="character" w:customStyle="1" w:styleId="normaltextrun">
    <w:name w:val="normaltextrun"/>
    <w:basedOn w:val="DefaultParagraphFont"/>
    <w:rsid w:val="00071B02"/>
  </w:style>
  <w:style w:type="character" w:customStyle="1" w:styleId="eop">
    <w:name w:val="eop"/>
    <w:basedOn w:val="DefaultParagraphFont"/>
    <w:rsid w:val="00071B02"/>
  </w:style>
  <w:style w:type="character" w:styleId="Mention">
    <w:name w:val="Mention"/>
    <w:basedOn w:val="DefaultParagraphFont"/>
    <w:uiPriority w:val="99"/>
    <w:unhideWhenUsed/>
    <w:rsid w:val="004B4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196235">
      <w:bodyDiv w:val="1"/>
      <w:marLeft w:val="0"/>
      <w:marRight w:val="0"/>
      <w:marTop w:val="0"/>
      <w:marBottom w:val="0"/>
      <w:divBdr>
        <w:top w:val="none" w:sz="0" w:space="0" w:color="auto"/>
        <w:left w:val="none" w:sz="0" w:space="0" w:color="auto"/>
        <w:bottom w:val="none" w:sz="0" w:space="0" w:color="auto"/>
        <w:right w:val="none" w:sz="0" w:space="0" w:color="auto"/>
      </w:divBdr>
    </w:div>
    <w:div w:id="14699524">
      <w:bodyDiv w:val="1"/>
      <w:marLeft w:val="0"/>
      <w:marRight w:val="0"/>
      <w:marTop w:val="0"/>
      <w:marBottom w:val="0"/>
      <w:divBdr>
        <w:top w:val="none" w:sz="0" w:space="0" w:color="auto"/>
        <w:left w:val="none" w:sz="0" w:space="0" w:color="auto"/>
        <w:bottom w:val="none" w:sz="0" w:space="0" w:color="auto"/>
        <w:right w:val="none" w:sz="0" w:space="0" w:color="auto"/>
      </w:divBdr>
    </w:div>
    <w:div w:id="28143539">
      <w:bodyDiv w:val="1"/>
      <w:marLeft w:val="0"/>
      <w:marRight w:val="0"/>
      <w:marTop w:val="0"/>
      <w:marBottom w:val="0"/>
      <w:divBdr>
        <w:top w:val="none" w:sz="0" w:space="0" w:color="auto"/>
        <w:left w:val="none" w:sz="0" w:space="0" w:color="auto"/>
        <w:bottom w:val="none" w:sz="0" w:space="0" w:color="auto"/>
        <w:right w:val="none" w:sz="0" w:space="0" w:color="auto"/>
      </w:divBdr>
    </w:div>
    <w:div w:id="39982507">
      <w:bodyDiv w:val="1"/>
      <w:marLeft w:val="0"/>
      <w:marRight w:val="0"/>
      <w:marTop w:val="0"/>
      <w:marBottom w:val="0"/>
      <w:divBdr>
        <w:top w:val="none" w:sz="0" w:space="0" w:color="auto"/>
        <w:left w:val="none" w:sz="0" w:space="0" w:color="auto"/>
        <w:bottom w:val="none" w:sz="0" w:space="0" w:color="auto"/>
        <w:right w:val="none" w:sz="0" w:space="0" w:color="auto"/>
      </w:divBdr>
    </w:div>
    <w:div w:id="44958612">
      <w:bodyDiv w:val="1"/>
      <w:marLeft w:val="0"/>
      <w:marRight w:val="0"/>
      <w:marTop w:val="0"/>
      <w:marBottom w:val="0"/>
      <w:divBdr>
        <w:top w:val="none" w:sz="0" w:space="0" w:color="auto"/>
        <w:left w:val="none" w:sz="0" w:space="0" w:color="auto"/>
        <w:bottom w:val="none" w:sz="0" w:space="0" w:color="auto"/>
        <w:right w:val="none" w:sz="0" w:space="0" w:color="auto"/>
      </w:divBdr>
    </w:div>
    <w:div w:id="58871630">
      <w:bodyDiv w:val="1"/>
      <w:marLeft w:val="0"/>
      <w:marRight w:val="0"/>
      <w:marTop w:val="0"/>
      <w:marBottom w:val="0"/>
      <w:divBdr>
        <w:top w:val="none" w:sz="0" w:space="0" w:color="auto"/>
        <w:left w:val="none" w:sz="0" w:space="0" w:color="auto"/>
        <w:bottom w:val="none" w:sz="0" w:space="0" w:color="auto"/>
        <w:right w:val="none" w:sz="0" w:space="0" w:color="auto"/>
      </w:divBdr>
    </w:div>
    <w:div w:id="59407090">
      <w:bodyDiv w:val="1"/>
      <w:marLeft w:val="0"/>
      <w:marRight w:val="0"/>
      <w:marTop w:val="0"/>
      <w:marBottom w:val="0"/>
      <w:divBdr>
        <w:top w:val="none" w:sz="0" w:space="0" w:color="auto"/>
        <w:left w:val="none" w:sz="0" w:space="0" w:color="auto"/>
        <w:bottom w:val="none" w:sz="0" w:space="0" w:color="auto"/>
        <w:right w:val="none" w:sz="0" w:space="0" w:color="auto"/>
      </w:divBdr>
    </w:div>
    <w:div w:id="59905221">
      <w:bodyDiv w:val="1"/>
      <w:marLeft w:val="0"/>
      <w:marRight w:val="0"/>
      <w:marTop w:val="0"/>
      <w:marBottom w:val="0"/>
      <w:divBdr>
        <w:top w:val="none" w:sz="0" w:space="0" w:color="auto"/>
        <w:left w:val="none" w:sz="0" w:space="0" w:color="auto"/>
        <w:bottom w:val="none" w:sz="0" w:space="0" w:color="auto"/>
        <w:right w:val="none" w:sz="0" w:space="0" w:color="auto"/>
      </w:divBdr>
    </w:div>
    <w:div w:id="70124703">
      <w:bodyDiv w:val="1"/>
      <w:marLeft w:val="0"/>
      <w:marRight w:val="0"/>
      <w:marTop w:val="0"/>
      <w:marBottom w:val="0"/>
      <w:divBdr>
        <w:top w:val="none" w:sz="0" w:space="0" w:color="auto"/>
        <w:left w:val="none" w:sz="0" w:space="0" w:color="auto"/>
        <w:bottom w:val="none" w:sz="0" w:space="0" w:color="auto"/>
        <w:right w:val="none" w:sz="0" w:space="0" w:color="auto"/>
      </w:divBdr>
    </w:div>
    <w:div w:id="73826075">
      <w:bodyDiv w:val="1"/>
      <w:marLeft w:val="0"/>
      <w:marRight w:val="0"/>
      <w:marTop w:val="0"/>
      <w:marBottom w:val="0"/>
      <w:divBdr>
        <w:top w:val="none" w:sz="0" w:space="0" w:color="auto"/>
        <w:left w:val="none" w:sz="0" w:space="0" w:color="auto"/>
        <w:bottom w:val="none" w:sz="0" w:space="0" w:color="auto"/>
        <w:right w:val="none" w:sz="0" w:space="0" w:color="auto"/>
      </w:divBdr>
    </w:div>
    <w:div w:id="76287524">
      <w:bodyDiv w:val="1"/>
      <w:marLeft w:val="0"/>
      <w:marRight w:val="0"/>
      <w:marTop w:val="0"/>
      <w:marBottom w:val="0"/>
      <w:divBdr>
        <w:top w:val="none" w:sz="0" w:space="0" w:color="auto"/>
        <w:left w:val="none" w:sz="0" w:space="0" w:color="auto"/>
        <w:bottom w:val="none" w:sz="0" w:space="0" w:color="auto"/>
        <w:right w:val="none" w:sz="0" w:space="0" w:color="auto"/>
      </w:divBdr>
    </w:div>
    <w:div w:id="85150665">
      <w:bodyDiv w:val="1"/>
      <w:marLeft w:val="0"/>
      <w:marRight w:val="0"/>
      <w:marTop w:val="0"/>
      <w:marBottom w:val="0"/>
      <w:divBdr>
        <w:top w:val="none" w:sz="0" w:space="0" w:color="auto"/>
        <w:left w:val="none" w:sz="0" w:space="0" w:color="auto"/>
        <w:bottom w:val="none" w:sz="0" w:space="0" w:color="auto"/>
        <w:right w:val="none" w:sz="0" w:space="0" w:color="auto"/>
      </w:divBdr>
    </w:div>
    <w:div w:id="121774814">
      <w:bodyDiv w:val="1"/>
      <w:marLeft w:val="0"/>
      <w:marRight w:val="0"/>
      <w:marTop w:val="0"/>
      <w:marBottom w:val="0"/>
      <w:divBdr>
        <w:top w:val="none" w:sz="0" w:space="0" w:color="auto"/>
        <w:left w:val="none" w:sz="0" w:space="0" w:color="auto"/>
        <w:bottom w:val="none" w:sz="0" w:space="0" w:color="auto"/>
        <w:right w:val="none" w:sz="0" w:space="0" w:color="auto"/>
      </w:divBdr>
    </w:div>
    <w:div w:id="127863804">
      <w:bodyDiv w:val="1"/>
      <w:marLeft w:val="0"/>
      <w:marRight w:val="0"/>
      <w:marTop w:val="0"/>
      <w:marBottom w:val="0"/>
      <w:divBdr>
        <w:top w:val="none" w:sz="0" w:space="0" w:color="auto"/>
        <w:left w:val="none" w:sz="0" w:space="0" w:color="auto"/>
        <w:bottom w:val="none" w:sz="0" w:space="0" w:color="auto"/>
        <w:right w:val="none" w:sz="0" w:space="0" w:color="auto"/>
      </w:divBdr>
    </w:div>
    <w:div w:id="131407474">
      <w:bodyDiv w:val="1"/>
      <w:marLeft w:val="0"/>
      <w:marRight w:val="0"/>
      <w:marTop w:val="0"/>
      <w:marBottom w:val="0"/>
      <w:divBdr>
        <w:top w:val="none" w:sz="0" w:space="0" w:color="auto"/>
        <w:left w:val="none" w:sz="0" w:space="0" w:color="auto"/>
        <w:bottom w:val="none" w:sz="0" w:space="0" w:color="auto"/>
        <w:right w:val="none" w:sz="0" w:space="0" w:color="auto"/>
      </w:divBdr>
    </w:div>
    <w:div w:id="161623782">
      <w:bodyDiv w:val="1"/>
      <w:marLeft w:val="0"/>
      <w:marRight w:val="0"/>
      <w:marTop w:val="0"/>
      <w:marBottom w:val="0"/>
      <w:divBdr>
        <w:top w:val="none" w:sz="0" w:space="0" w:color="auto"/>
        <w:left w:val="none" w:sz="0" w:space="0" w:color="auto"/>
        <w:bottom w:val="none" w:sz="0" w:space="0" w:color="auto"/>
        <w:right w:val="none" w:sz="0" w:space="0" w:color="auto"/>
      </w:divBdr>
    </w:div>
    <w:div w:id="183399373">
      <w:bodyDiv w:val="1"/>
      <w:marLeft w:val="0"/>
      <w:marRight w:val="0"/>
      <w:marTop w:val="0"/>
      <w:marBottom w:val="0"/>
      <w:divBdr>
        <w:top w:val="none" w:sz="0" w:space="0" w:color="auto"/>
        <w:left w:val="none" w:sz="0" w:space="0" w:color="auto"/>
        <w:bottom w:val="none" w:sz="0" w:space="0" w:color="auto"/>
        <w:right w:val="none" w:sz="0" w:space="0" w:color="auto"/>
      </w:divBdr>
    </w:div>
    <w:div w:id="185563142">
      <w:bodyDiv w:val="1"/>
      <w:marLeft w:val="0"/>
      <w:marRight w:val="0"/>
      <w:marTop w:val="0"/>
      <w:marBottom w:val="0"/>
      <w:divBdr>
        <w:top w:val="none" w:sz="0" w:space="0" w:color="auto"/>
        <w:left w:val="none" w:sz="0" w:space="0" w:color="auto"/>
        <w:bottom w:val="none" w:sz="0" w:space="0" w:color="auto"/>
        <w:right w:val="none" w:sz="0" w:space="0" w:color="auto"/>
      </w:divBdr>
    </w:div>
    <w:div w:id="191190106">
      <w:bodyDiv w:val="1"/>
      <w:marLeft w:val="0"/>
      <w:marRight w:val="0"/>
      <w:marTop w:val="0"/>
      <w:marBottom w:val="0"/>
      <w:divBdr>
        <w:top w:val="none" w:sz="0" w:space="0" w:color="auto"/>
        <w:left w:val="none" w:sz="0" w:space="0" w:color="auto"/>
        <w:bottom w:val="none" w:sz="0" w:space="0" w:color="auto"/>
        <w:right w:val="none" w:sz="0" w:space="0" w:color="auto"/>
      </w:divBdr>
    </w:div>
    <w:div w:id="211622760">
      <w:bodyDiv w:val="1"/>
      <w:marLeft w:val="0"/>
      <w:marRight w:val="0"/>
      <w:marTop w:val="0"/>
      <w:marBottom w:val="0"/>
      <w:divBdr>
        <w:top w:val="none" w:sz="0" w:space="0" w:color="auto"/>
        <w:left w:val="none" w:sz="0" w:space="0" w:color="auto"/>
        <w:bottom w:val="none" w:sz="0" w:space="0" w:color="auto"/>
        <w:right w:val="none" w:sz="0" w:space="0" w:color="auto"/>
      </w:divBdr>
    </w:div>
    <w:div w:id="217202871">
      <w:bodyDiv w:val="1"/>
      <w:marLeft w:val="0"/>
      <w:marRight w:val="0"/>
      <w:marTop w:val="0"/>
      <w:marBottom w:val="0"/>
      <w:divBdr>
        <w:top w:val="none" w:sz="0" w:space="0" w:color="auto"/>
        <w:left w:val="none" w:sz="0" w:space="0" w:color="auto"/>
        <w:bottom w:val="none" w:sz="0" w:space="0" w:color="auto"/>
        <w:right w:val="none" w:sz="0" w:space="0" w:color="auto"/>
      </w:divBdr>
    </w:div>
    <w:div w:id="217672714">
      <w:bodyDiv w:val="1"/>
      <w:marLeft w:val="0"/>
      <w:marRight w:val="0"/>
      <w:marTop w:val="0"/>
      <w:marBottom w:val="0"/>
      <w:divBdr>
        <w:top w:val="none" w:sz="0" w:space="0" w:color="auto"/>
        <w:left w:val="none" w:sz="0" w:space="0" w:color="auto"/>
        <w:bottom w:val="none" w:sz="0" w:space="0" w:color="auto"/>
        <w:right w:val="none" w:sz="0" w:space="0" w:color="auto"/>
      </w:divBdr>
    </w:div>
    <w:div w:id="227767226">
      <w:bodyDiv w:val="1"/>
      <w:marLeft w:val="0"/>
      <w:marRight w:val="0"/>
      <w:marTop w:val="0"/>
      <w:marBottom w:val="0"/>
      <w:divBdr>
        <w:top w:val="none" w:sz="0" w:space="0" w:color="auto"/>
        <w:left w:val="none" w:sz="0" w:space="0" w:color="auto"/>
        <w:bottom w:val="none" w:sz="0" w:space="0" w:color="auto"/>
        <w:right w:val="none" w:sz="0" w:space="0" w:color="auto"/>
      </w:divBdr>
    </w:div>
    <w:div w:id="237519683">
      <w:bodyDiv w:val="1"/>
      <w:marLeft w:val="0"/>
      <w:marRight w:val="0"/>
      <w:marTop w:val="0"/>
      <w:marBottom w:val="0"/>
      <w:divBdr>
        <w:top w:val="none" w:sz="0" w:space="0" w:color="auto"/>
        <w:left w:val="none" w:sz="0" w:space="0" w:color="auto"/>
        <w:bottom w:val="none" w:sz="0" w:space="0" w:color="auto"/>
        <w:right w:val="none" w:sz="0" w:space="0" w:color="auto"/>
      </w:divBdr>
      <w:divsChild>
        <w:div w:id="638614090">
          <w:marLeft w:val="0"/>
          <w:marRight w:val="0"/>
          <w:marTop w:val="0"/>
          <w:marBottom w:val="0"/>
          <w:divBdr>
            <w:top w:val="none" w:sz="0" w:space="0" w:color="auto"/>
            <w:left w:val="none" w:sz="0" w:space="0" w:color="auto"/>
            <w:bottom w:val="none" w:sz="0" w:space="0" w:color="auto"/>
            <w:right w:val="none" w:sz="0" w:space="0" w:color="auto"/>
          </w:divBdr>
        </w:div>
      </w:divsChild>
    </w:div>
    <w:div w:id="242841263">
      <w:bodyDiv w:val="1"/>
      <w:marLeft w:val="0"/>
      <w:marRight w:val="0"/>
      <w:marTop w:val="0"/>
      <w:marBottom w:val="0"/>
      <w:divBdr>
        <w:top w:val="none" w:sz="0" w:space="0" w:color="auto"/>
        <w:left w:val="none" w:sz="0" w:space="0" w:color="auto"/>
        <w:bottom w:val="none" w:sz="0" w:space="0" w:color="auto"/>
        <w:right w:val="none" w:sz="0" w:space="0" w:color="auto"/>
      </w:divBdr>
    </w:div>
    <w:div w:id="275065007">
      <w:bodyDiv w:val="1"/>
      <w:marLeft w:val="0"/>
      <w:marRight w:val="0"/>
      <w:marTop w:val="0"/>
      <w:marBottom w:val="0"/>
      <w:divBdr>
        <w:top w:val="none" w:sz="0" w:space="0" w:color="auto"/>
        <w:left w:val="none" w:sz="0" w:space="0" w:color="auto"/>
        <w:bottom w:val="none" w:sz="0" w:space="0" w:color="auto"/>
        <w:right w:val="none" w:sz="0" w:space="0" w:color="auto"/>
      </w:divBdr>
      <w:divsChild>
        <w:div w:id="1418404029">
          <w:marLeft w:val="0"/>
          <w:marRight w:val="0"/>
          <w:marTop w:val="0"/>
          <w:marBottom w:val="0"/>
          <w:divBdr>
            <w:top w:val="none" w:sz="0" w:space="0" w:color="auto"/>
            <w:left w:val="none" w:sz="0" w:space="0" w:color="auto"/>
            <w:bottom w:val="none" w:sz="0" w:space="0" w:color="auto"/>
            <w:right w:val="none" w:sz="0" w:space="0" w:color="auto"/>
          </w:divBdr>
        </w:div>
      </w:divsChild>
    </w:div>
    <w:div w:id="282541133">
      <w:bodyDiv w:val="1"/>
      <w:marLeft w:val="0"/>
      <w:marRight w:val="0"/>
      <w:marTop w:val="0"/>
      <w:marBottom w:val="0"/>
      <w:divBdr>
        <w:top w:val="none" w:sz="0" w:space="0" w:color="auto"/>
        <w:left w:val="none" w:sz="0" w:space="0" w:color="auto"/>
        <w:bottom w:val="none" w:sz="0" w:space="0" w:color="auto"/>
        <w:right w:val="none" w:sz="0" w:space="0" w:color="auto"/>
      </w:divBdr>
    </w:div>
    <w:div w:id="283735206">
      <w:bodyDiv w:val="1"/>
      <w:marLeft w:val="0"/>
      <w:marRight w:val="0"/>
      <w:marTop w:val="0"/>
      <w:marBottom w:val="0"/>
      <w:divBdr>
        <w:top w:val="none" w:sz="0" w:space="0" w:color="auto"/>
        <w:left w:val="none" w:sz="0" w:space="0" w:color="auto"/>
        <w:bottom w:val="none" w:sz="0" w:space="0" w:color="auto"/>
        <w:right w:val="none" w:sz="0" w:space="0" w:color="auto"/>
      </w:divBdr>
      <w:divsChild>
        <w:div w:id="1307012548">
          <w:marLeft w:val="0"/>
          <w:marRight w:val="0"/>
          <w:marTop w:val="0"/>
          <w:marBottom w:val="0"/>
          <w:divBdr>
            <w:top w:val="none" w:sz="0" w:space="0" w:color="auto"/>
            <w:left w:val="none" w:sz="0" w:space="0" w:color="auto"/>
            <w:bottom w:val="none" w:sz="0" w:space="0" w:color="auto"/>
            <w:right w:val="none" w:sz="0" w:space="0" w:color="auto"/>
          </w:divBdr>
        </w:div>
      </w:divsChild>
    </w:div>
    <w:div w:id="285284353">
      <w:bodyDiv w:val="1"/>
      <w:marLeft w:val="0"/>
      <w:marRight w:val="0"/>
      <w:marTop w:val="0"/>
      <w:marBottom w:val="0"/>
      <w:divBdr>
        <w:top w:val="none" w:sz="0" w:space="0" w:color="auto"/>
        <w:left w:val="none" w:sz="0" w:space="0" w:color="auto"/>
        <w:bottom w:val="none" w:sz="0" w:space="0" w:color="auto"/>
        <w:right w:val="none" w:sz="0" w:space="0" w:color="auto"/>
      </w:divBdr>
    </w:div>
    <w:div w:id="297688096">
      <w:bodyDiv w:val="1"/>
      <w:marLeft w:val="0"/>
      <w:marRight w:val="0"/>
      <w:marTop w:val="0"/>
      <w:marBottom w:val="0"/>
      <w:divBdr>
        <w:top w:val="none" w:sz="0" w:space="0" w:color="auto"/>
        <w:left w:val="none" w:sz="0" w:space="0" w:color="auto"/>
        <w:bottom w:val="none" w:sz="0" w:space="0" w:color="auto"/>
        <w:right w:val="none" w:sz="0" w:space="0" w:color="auto"/>
      </w:divBdr>
    </w:div>
    <w:div w:id="306205179">
      <w:bodyDiv w:val="1"/>
      <w:marLeft w:val="0"/>
      <w:marRight w:val="0"/>
      <w:marTop w:val="0"/>
      <w:marBottom w:val="0"/>
      <w:divBdr>
        <w:top w:val="none" w:sz="0" w:space="0" w:color="auto"/>
        <w:left w:val="none" w:sz="0" w:space="0" w:color="auto"/>
        <w:bottom w:val="none" w:sz="0" w:space="0" w:color="auto"/>
        <w:right w:val="none" w:sz="0" w:space="0" w:color="auto"/>
      </w:divBdr>
    </w:div>
    <w:div w:id="320618816">
      <w:bodyDiv w:val="1"/>
      <w:marLeft w:val="0"/>
      <w:marRight w:val="0"/>
      <w:marTop w:val="0"/>
      <w:marBottom w:val="0"/>
      <w:divBdr>
        <w:top w:val="none" w:sz="0" w:space="0" w:color="auto"/>
        <w:left w:val="none" w:sz="0" w:space="0" w:color="auto"/>
        <w:bottom w:val="none" w:sz="0" w:space="0" w:color="auto"/>
        <w:right w:val="none" w:sz="0" w:space="0" w:color="auto"/>
      </w:divBdr>
    </w:div>
    <w:div w:id="327711866">
      <w:bodyDiv w:val="1"/>
      <w:marLeft w:val="0"/>
      <w:marRight w:val="0"/>
      <w:marTop w:val="0"/>
      <w:marBottom w:val="0"/>
      <w:divBdr>
        <w:top w:val="none" w:sz="0" w:space="0" w:color="auto"/>
        <w:left w:val="none" w:sz="0" w:space="0" w:color="auto"/>
        <w:bottom w:val="none" w:sz="0" w:space="0" w:color="auto"/>
        <w:right w:val="none" w:sz="0" w:space="0" w:color="auto"/>
      </w:divBdr>
    </w:div>
    <w:div w:id="339742502">
      <w:bodyDiv w:val="1"/>
      <w:marLeft w:val="0"/>
      <w:marRight w:val="0"/>
      <w:marTop w:val="0"/>
      <w:marBottom w:val="0"/>
      <w:divBdr>
        <w:top w:val="none" w:sz="0" w:space="0" w:color="auto"/>
        <w:left w:val="none" w:sz="0" w:space="0" w:color="auto"/>
        <w:bottom w:val="none" w:sz="0" w:space="0" w:color="auto"/>
        <w:right w:val="none" w:sz="0" w:space="0" w:color="auto"/>
      </w:divBdr>
    </w:div>
    <w:div w:id="351803568">
      <w:bodyDiv w:val="1"/>
      <w:marLeft w:val="0"/>
      <w:marRight w:val="0"/>
      <w:marTop w:val="0"/>
      <w:marBottom w:val="0"/>
      <w:divBdr>
        <w:top w:val="none" w:sz="0" w:space="0" w:color="auto"/>
        <w:left w:val="none" w:sz="0" w:space="0" w:color="auto"/>
        <w:bottom w:val="none" w:sz="0" w:space="0" w:color="auto"/>
        <w:right w:val="none" w:sz="0" w:space="0" w:color="auto"/>
      </w:divBdr>
    </w:div>
    <w:div w:id="395395044">
      <w:bodyDiv w:val="1"/>
      <w:marLeft w:val="0"/>
      <w:marRight w:val="0"/>
      <w:marTop w:val="0"/>
      <w:marBottom w:val="0"/>
      <w:divBdr>
        <w:top w:val="none" w:sz="0" w:space="0" w:color="auto"/>
        <w:left w:val="none" w:sz="0" w:space="0" w:color="auto"/>
        <w:bottom w:val="none" w:sz="0" w:space="0" w:color="auto"/>
        <w:right w:val="none" w:sz="0" w:space="0" w:color="auto"/>
      </w:divBdr>
    </w:div>
    <w:div w:id="395514212">
      <w:bodyDiv w:val="1"/>
      <w:marLeft w:val="0"/>
      <w:marRight w:val="0"/>
      <w:marTop w:val="0"/>
      <w:marBottom w:val="0"/>
      <w:divBdr>
        <w:top w:val="none" w:sz="0" w:space="0" w:color="auto"/>
        <w:left w:val="none" w:sz="0" w:space="0" w:color="auto"/>
        <w:bottom w:val="none" w:sz="0" w:space="0" w:color="auto"/>
        <w:right w:val="none" w:sz="0" w:space="0" w:color="auto"/>
      </w:divBdr>
    </w:div>
    <w:div w:id="410808271">
      <w:bodyDiv w:val="1"/>
      <w:marLeft w:val="0"/>
      <w:marRight w:val="0"/>
      <w:marTop w:val="0"/>
      <w:marBottom w:val="0"/>
      <w:divBdr>
        <w:top w:val="none" w:sz="0" w:space="0" w:color="auto"/>
        <w:left w:val="none" w:sz="0" w:space="0" w:color="auto"/>
        <w:bottom w:val="none" w:sz="0" w:space="0" w:color="auto"/>
        <w:right w:val="none" w:sz="0" w:space="0" w:color="auto"/>
      </w:divBdr>
    </w:div>
    <w:div w:id="413626577">
      <w:bodyDiv w:val="1"/>
      <w:marLeft w:val="0"/>
      <w:marRight w:val="0"/>
      <w:marTop w:val="0"/>
      <w:marBottom w:val="0"/>
      <w:divBdr>
        <w:top w:val="none" w:sz="0" w:space="0" w:color="auto"/>
        <w:left w:val="none" w:sz="0" w:space="0" w:color="auto"/>
        <w:bottom w:val="none" w:sz="0" w:space="0" w:color="auto"/>
        <w:right w:val="none" w:sz="0" w:space="0" w:color="auto"/>
      </w:divBdr>
    </w:div>
    <w:div w:id="414397027">
      <w:bodyDiv w:val="1"/>
      <w:marLeft w:val="0"/>
      <w:marRight w:val="0"/>
      <w:marTop w:val="0"/>
      <w:marBottom w:val="0"/>
      <w:divBdr>
        <w:top w:val="none" w:sz="0" w:space="0" w:color="auto"/>
        <w:left w:val="none" w:sz="0" w:space="0" w:color="auto"/>
        <w:bottom w:val="none" w:sz="0" w:space="0" w:color="auto"/>
        <w:right w:val="none" w:sz="0" w:space="0" w:color="auto"/>
      </w:divBdr>
    </w:div>
    <w:div w:id="429744164">
      <w:bodyDiv w:val="1"/>
      <w:marLeft w:val="0"/>
      <w:marRight w:val="0"/>
      <w:marTop w:val="0"/>
      <w:marBottom w:val="0"/>
      <w:divBdr>
        <w:top w:val="none" w:sz="0" w:space="0" w:color="auto"/>
        <w:left w:val="none" w:sz="0" w:space="0" w:color="auto"/>
        <w:bottom w:val="none" w:sz="0" w:space="0" w:color="auto"/>
        <w:right w:val="none" w:sz="0" w:space="0" w:color="auto"/>
      </w:divBdr>
    </w:div>
    <w:div w:id="434329508">
      <w:bodyDiv w:val="1"/>
      <w:marLeft w:val="0"/>
      <w:marRight w:val="0"/>
      <w:marTop w:val="0"/>
      <w:marBottom w:val="0"/>
      <w:divBdr>
        <w:top w:val="none" w:sz="0" w:space="0" w:color="auto"/>
        <w:left w:val="none" w:sz="0" w:space="0" w:color="auto"/>
        <w:bottom w:val="none" w:sz="0" w:space="0" w:color="auto"/>
        <w:right w:val="none" w:sz="0" w:space="0" w:color="auto"/>
      </w:divBdr>
    </w:div>
    <w:div w:id="434516598">
      <w:bodyDiv w:val="1"/>
      <w:marLeft w:val="0"/>
      <w:marRight w:val="0"/>
      <w:marTop w:val="0"/>
      <w:marBottom w:val="0"/>
      <w:divBdr>
        <w:top w:val="none" w:sz="0" w:space="0" w:color="auto"/>
        <w:left w:val="none" w:sz="0" w:space="0" w:color="auto"/>
        <w:bottom w:val="none" w:sz="0" w:space="0" w:color="auto"/>
        <w:right w:val="none" w:sz="0" w:space="0" w:color="auto"/>
      </w:divBdr>
    </w:div>
    <w:div w:id="434860249">
      <w:bodyDiv w:val="1"/>
      <w:marLeft w:val="0"/>
      <w:marRight w:val="0"/>
      <w:marTop w:val="0"/>
      <w:marBottom w:val="0"/>
      <w:divBdr>
        <w:top w:val="none" w:sz="0" w:space="0" w:color="auto"/>
        <w:left w:val="none" w:sz="0" w:space="0" w:color="auto"/>
        <w:bottom w:val="none" w:sz="0" w:space="0" w:color="auto"/>
        <w:right w:val="none" w:sz="0" w:space="0" w:color="auto"/>
      </w:divBdr>
    </w:div>
    <w:div w:id="446588820">
      <w:bodyDiv w:val="1"/>
      <w:marLeft w:val="0"/>
      <w:marRight w:val="0"/>
      <w:marTop w:val="0"/>
      <w:marBottom w:val="0"/>
      <w:divBdr>
        <w:top w:val="none" w:sz="0" w:space="0" w:color="auto"/>
        <w:left w:val="none" w:sz="0" w:space="0" w:color="auto"/>
        <w:bottom w:val="none" w:sz="0" w:space="0" w:color="auto"/>
        <w:right w:val="none" w:sz="0" w:space="0" w:color="auto"/>
      </w:divBdr>
    </w:div>
    <w:div w:id="473185628">
      <w:bodyDiv w:val="1"/>
      <w:marLeft w:val="0"/>
      <w:marRight w:val="0"/>
      <w:marTop w:val="0"/>
      <w:marBottom w:val="0"/>
      <w:divBdr>
        <w:top w:val="none" w:sz="0" w:space="0" w:color="auto"/>
        <w:left w:val="none" w:sz="0" w:space="0" w:color="auto"/>
        <w:bottom w:val="none" w:sz="0" w:space="0" w:color="auto"/>
        <w:right w:val="none" w:sz="0" w:space="0" w:color="auto"/>
      </w:divBdr>
    </w:div>
    <w:div w:id="479542455">
      <w:bodyDiv w:val="1"/>
      <w:marLeft w:val="0"/>
      <w:marRight w:val="0"/>
      <w:marTop w:val="0"/>
      <w:marBottom w:val="0"/>
      <w:divBdr>
        <w:top w:val="none" w:sz="0" w:space="0" w:color="auto"/>
        <w:left w:val="none" w:sz="0" w:space="0" w:color="auto"/>
        <w:bottom w:val="none" w:sz="0" w:space="0" w:color="auto"/>
        <w:right w:val="none" w:sz="0" w:space="0" w:color="auto"/>
      </w:divBdr>
      <w:divsChild>
        <w:div w:id="2095007242">
          <w:marLeft w:val="0"/>
          <w:marRight w:val="0"/>
          <w:marTop w:val="0"/>
          <w:marBottom w:val="0"/>
          <w:divBdr>
            <w:top w:val="none" w:sz="0" w:space="0" w:color="auto"/>
            <w:left w:val="none" w:sz="0" w:space="0" w:color="auto"/>
            <w:bottom w:val="none" w:sz="0" w:space="0" w:color="auto"/>
            <w:right w:val="none" w:sz="0" w:space="0" w:color="auto"/>
          </w:divBdr>
        </w:div>
      </w:divsChild>
    </w:div>
    <w:div w:id="548107209">
      <w:bodyDiv w:val="1"/>
      <w:marLeft w:val="0"/>
      <w:marRight w:val="0"/>
      <w:marTop w:val="0"/>
      <w:marBottom w:val="0"/>
      <w:divBdr>
        <w:top w:val="none" w:sz="0" w:space="0" w:color="auto"/>
        <w:left w:val="none" w:sz="0" w:space="0" w:color="auto"/>
        <w:bottom w:val="none" w:sz="0" w:space="0" w:color="auto"/>
        <w:right w:val="none" w:sz="0" w:space="0" w:color="auto"/>
      </w:divBdr>
    </w:div>
    <w:div w:id="568198059">
      <w:bodyDiv w:val="1"/>
      <w:marLeft w:val="0"/>
      <w:marRight w:val="0"/>
      <w:marTop w:val="0"/>
      <w:marBottom w:val="0"/>
      <w:divBdr>
        <w:top w:val="none" w:sz="0" w:space="0" w:color="auto"/>
        <w:left w:val="none" w:sz="0" w:space="0" w:color="auto"/>
        <w:bottom w:val="none" w:sz="0" w:space="0" w:color="auto"/>
        <w:right w:val="none" w:sz="0" w:space="0" w:color="auto"/>
      </w:divBdr>
    </w:div>
    <w:div w:id="576936722">
      <w:bodyDiv w:val="1"/>
      <w:marLeft w:val="0"/>
      <w:marRight w:val="0"/>
      <w:marTop w:val="0"/>
      <w:marBottom w:val="0"/>
      <w:divBdr>
        <w:top w:val="none" w:sz="0" w:space="0" w:color="auto"/>
        <w:left w:val="none" w:sz="0" w:space="0" w:color="auto"/>
        <w:bottom w:val="none" w:sz="0" w:space="0" w:color="auto"/>
        <w:right w:val="none" w:sz="0" w:space="0" w:color="auto"/>
      </w:divBdr>
    </w:div>
    <w:div w:id="589315224">
      <w:bodyDiv w:val="1"/>
      <w:marLeft w:val="0"/>
      <w:marRight w:val="0"/>
      <w:marTop w:val="0"/>
      <w:marBottom w:val="0"/>
      <w:divBdr>
        <w:top w:val="none" w:sz="0" w:space="0" w:color="auto"/>
        <w:left w:val="none" w:sz="0" w:space="0" w:color="auto"/>
        <w:bottom w:val="none" w:sz="0" w:space="0" w:color="auto"/>
        <w:right w:val="none" w:sz="0" w:space="0" w:color="auto"/>
      </w:divBdr>
      <w:divsChild>
        <w:div w:id="676543890">
          <w:marLeft w:val="0"/>
          <w:marRight w:val="0"/>
          <w:marTop w:val="0"/>
          <w:marBottom w:val="0"/>
          <w:divBdr>
            <w:top w:val="none" w:sz="0" w:space="0" w:color="auto"/>
            <w:left w:val="none" w:sz="0" w:space="0" w:color="auto"/>
            <w:bottom w:val="none" w:sz="0" w:space="0" w:color="auto"/>
            <w:right w:val="none" w:sz="0" w:space="0" w:color="auto"/>
          </w:divBdr>
        </w:div>
      </w:divsChild>
    </w:div>
    <w:div w:id="591202709">
      <w:bodyDiv w:val="1"/>
      <w:marLeft w:val="0"/>
      <w:marRight w:val="0"/>
      <w:marTop w:val="0"/>
      <w:marBottom w:val="0"/>
      <w:divBdr>
        <w:top w:val="none" w:sz="0" w:space="0" w:color="auto"/>
        <w:left w:val="none" w:sz="0" w:space="0" w:color="auto"/>
        <w:bottom w:val="none" w:sz="0" w:space="0" w:color="auto"/>
        <w:right w:val="none" w:sz="0" w:space="0" w:color="auto"/>
      </w:divBdr>
    </w:div>
    <w:div w:id="593244927">
      <w:bodyDiv w:val="1"/>
      <w:marLeft w:val="0"/>
      <w:marRight w:val="0"/>
      <w:marTop w:val="0"/>
      <w:marBottom w:val="0"/>
      <w:divBdr>
        <w:top w:val="none" w:sz="0" w:space="0" w:color="auto"/>
        <w:left w:val="none" w:sz="0" w:space="0" w:color="auto"/>
        <w:bottom w:val="none" w:sz="0" w:space="0" w:color="auto"/>
        <w:right w:val="none" w:sz="0" w:space="0" w:color="auto"/>
      </w:divBdr>
    </w:div>
    <w:div w:id="599333837">
      <w:bodyDiv w:val="1"/>
      <w:marLeft w:val="0"/>
      <w:marRight w:val="0"/>
      <w:marTop w:val="0"/>
      <w:marBottom w:val="0"/>
      <w:divBdr>
        <w:top w:val="none" w:sz="0" w:space="0" w:color="auto"/>
        <w:left w:val="none" w:sz="0" w:space="0" w:color="auto"/>
        <w:bottom w:val="none" w:sz="0" w:space="0" w:color="auto"/>
        <w:right w:val="none" w:sz="0" w:space="0" w:color="auto"/>
      </w:divBdr>
    </w:div>
    <w:div w:id="600187966">
      <w:bodyDiv w:val="1"/>
      <w:marLeft w:val="0"/>
      <w:marRight w:val="0"/>
      <w:marTop w:val="0"/>
      <w:marBottom w:val="0"/>
      <w:divBdr>
        <w:top w:val="none" w:sz="0" w:space="0" w:color="auto"/>
        <w:left w:val="none" w:sz="0" w:space="0" w:color="auto"/>
        <w:bottom w:val="none" w:sz="0" w:space="0" w:color="auto"/>
        <w:right w:val="none" w:sz="0" w:space="0" w:color="auto"/>
      </w:divBdr>
    </w:div>
    <w:div w:id="601500786">
      <w:bodyDiv w:val="1"/>
      <w:marLeft w:val="0"/>
      <w:marRight w:val="0"/>
      <w:marTop w:val="0"/>
      <w:marBottom w:val="0"/>
      <w:divBdr>
        <w:top w:val="none" w:sz="0" w:space="0" w:color="auto"/>
        <w:left w:val="none" w:sz="0" w:space="0" w:color="auto"/>
        <w:bottom w:val="none" w:sz="0" w:space="0" w:color="auto"/>
        <w:right w:val="none" w:sz="0" w:space="0" w:color="auto"/>
      </w:divBdr>
    </w:div>
    <w:div w:id="613557371">
      <w:bodyDiv w:val="1"/>
      <w:marLeft w:val="0"/>
      <w:marRight w:val="0"/>
      <w:marTop w:val="0"/>
      <w:marBottom w:val="0"/>
      <w:divBdr>
        <w:top w:val="none" w:sz="0" w:space="0" w:color="auto"/>
        <w:left w:val="none" w:sz="0" w:space="0" w:color="auto"/>
        <w:bottom w:val="none" w:sz="0" w:space="0" w:color="auto"/>
        <w:right w:val="none" w:sz="0" w:space="0" w:color="auto"/>
      </w:divBdr>
    </w:div>
    <w:div w:id="618487438">
      <w:bodyDiv w:val="1"/>
      <w:marLeft w:val="0"/>
      <w:marRight w:val="0"/>
      <w:marTop w:val="0"/>
      <w:marBottom w:val="0"/>
      <w:divBdr>
        <w:top w:val="none" w:sz="0" w:space="0" w:color="auto"/>
        <w:left w:val="none" w:sz="0" w:space="0" w:color="auto"/>
        <w:bottom w:val="none" w:sz="0" w:space="0" w:color="auto"/>
        <w:right w:val="none" w:sz="0" w:space="0" w:color="auto"/>
      </w:divBdr>
    </w:div>
    <w:div w:id="634335739">
      <w:bodyDiv w:val="1"/>
      <w:marLeft w:val="0"/>
      <w:marRight w:val="0"/>
      <w:marTop w:val="0"/>
      <w:marBottom w:val="0"/>
      <w:divBdr>
        <w:top w:val="none" w:sz="0" w:space="0" w:color="auto"/>
        <w:left w:val="none" w:sz="0" w:space="0" w:color="auto"/>
        <w:bottom w:val="none" w:sz="0" w:space="0" w:color="auto"/>
        <w:right w:val="none" w:sz="0" w:space="0" w:color="auto"/>
      </w:divBdr>
    </w:div>
    <w:div w:id="662783360">
      <w:bodyDiv w:val="1"/>
      <w:marLeft w:val="0"/>
      <w:marRight w:val="0"/>
      <w:marTop w:val="0"/>
      <w:marBottom w:val="0"/>
      <w:divBdr>
        <w:top w:val="none" w:sz="0" w:space="0" w:color="auto"/>
        <w:left w:val="none" w:sz="0" w:space="0" w:color="auto"/>
        <w:bottom w:val="none" w:sz="0" w:space="0" w:color="auto"/>
        <w:right w:val="none" w:sz="0" w:space="0" w:color="auto"/>
      </w:divBdr>
    </w:div>
    <w:div w:id="669796406">
      <w:bodyDiv w:val="1"/>
      <w:marLeft w:val="0"/>
      <w:marRight w:val="0"/>
      <w:marTop w:val="0"/>
      <w:marBottom w:val="0"/>
      <w:divBdr>
        <w:top w:val="none" w:sz="0" w:space="0" w:color="auto"/>
        <w:left w:val="none" w:sz="0" w:space="0" w:color="auto"/>
        <w:bottom w:val="none" w:sz="0" w:space="0" w:color="auto"/>
        <w:right w:val="none" w:sz="0" w:space="0" w:color="auto"/>
      </w:divBdr>
    </w:div>
    <w:div w:id="671488251">
      <w:bodyDiv w:val="1"/>
      <w:marLeft w:val="0"/>
      <w:marRight w:val="0"/>
      <w:marTop w:val="0"/>
      <w:marBottom w:val="0"/>
      <w:divBdr>
        <w:top w:val="none" w:sz="0" w:space="0" w:color="auto"/>
        <w:left w:val="none" w:sz="0" w:space="0" w:color="auto"/>
        <w:bottom w:val="none" w:sz="0" w:space="0" w:color="auto"/>
        <w:right w:val="none" w:sz="0" w:space="0" w:color="auto"/>
      </w:divBdr>
    </w:div>
    <w:div w:id="678973416">
      <w:bodyDiv w:val="1"/>
      <w:marLeft w:val="0"/>
      <w:marRight w:val="0"/>
      <w:marTop w:val="0"/>
      <w:marBottom w:val="0"/>
      <w:divBdr>
        <w:top w:val="none" w:sz="0" w:space="0" w:color="auto"/>
        <w:left w:val="none" w:sz="0" w:space="0" w:color="auto"/>
        <w:bottom w:val="none" w:sz="0" w:space="0" w:color="auto"/>
        <w:right w:val="none" w:sz="0" w:space="0" w:color="auto"/>
      </w:divBdr>
    </w:div>
    <w:div w:id="688723955">
      <w:bodyDiv w:val="1"/>
      <w:marLeft w:val="0"/>
      <w:marRight w:val="0"/>
      <w:marTop w:val="0"/>
      <w:marBottom w:val="0"/>
      <w:divBdr>
        <w:top w:val="none" w:sz="0" w:space="0" w:color="auto"/>
        <w:left w:val="none" w:sz="0" w:space="0" w:color="auto"/>
        <w:bottom w:val="none" w:sz="0" w:space="0" w:color="auto"/>
        <w:right w:val="none" w:sz="0" w:space="0" w:color="auto"/>
      </w:divBdr>
    </w:div>
    <w:div w:id="691419254">
      <w:bodyDiv w:val="1"/>
      <w:marLeft w:val="0"/>
      <w:marRight w:val="0"/>
      <w:marTop w:val="0"/>
      <w:marBottom w:val="0"/>
      <w:divBdr>
        <w:top w:val="none" w:sz="0" w:space="0" w:color="auto"/>
        <w:left w:val="none" w:sz="0" w:space="0" w:color="auto"/>
        <w:bottom w:val="none" w:sz="0" w:space="0" w:color="auto"/>
        <w:right w:val="none" w:sz="0" w:space="0" w:color="auto"/>
      </w:divBdr>
    </w:div>
    <w:div w:id="701520986">
      <w:bodyDiv w:val="1"/>
      <w:marLeft w:val="0"/>
      <w:marRight w:val="0"/>
      <w:marTop w:val="0"/>
      <w:marBottom w:val="0"/>
      <w:divBdr>
        <w:top w:val="none" w:sz="0" w:space="0" w:color="auto"/>
        <w:left w:val="none" w:sz="0" w:space="0" w:color="auto"/>
        <w:bottom w:val="none" w:sz="0" w:space="0" w:color="auto"/>
        <w:right w:val="none" w:sz="0" w:space="0" w:color="auto"/>
      </w:divBdr>
    </w:div>
    <w:div w:id="716468450">
      <w:bodyDiv w:val="1"/>
      <w:marLeft w:val="0"/>
      <w:marRight w:val="0"/>
      <w:marTop w:val="0"/>
      <w:marBottom w:val="0"/>
      <w:divBdr>
        <w:top w:val="none" w:sz="0" w:space="0" w:color="auto"/>
        <w:left w:val="none" w:sz="0" w:space="0" w:color="auto"/>
        <w:bottom w:val="none" w:sz="0" w:space="0" w:color="auto"/>
        <w:right w:val="none" w:sz="0" w:space="0" w:color="auto"/>
      </w:divBdr>
    </w:div>
    <w:div w:id="717358087">
      <w:bodyDiv w:val="1"/>
      <w:marLeft w:val="0"/>
      <w:marRight w:val="0"/>
      <w:marTop w:val="0"/>
      <w:marBottom w:val="0"/>
      <w:divBdr>
        <w:top w:val="none" w:sz="0" w:space="0" w:color="auto"/>
        <w:left w:val="none" w:sz="0" w:space="0" w:color="auto"/>
        <w:bottom w:val="none" w:sz="0" w:space="0" w:color="auto"/>
        <w:right w:val="none" w:sz="0" w:space="0" w:color="auto"/>
      </w:divBdr>
    </w:div>
    <w:div w:id="732436745">
      <w:bodyDiv w:val="1"/>
      <w:marLeft w:val="0"/>
      <w:marRight w:val="0"/>
      <w:marTop w:val="0"/>
      <w:marBottom w:val="0"/>
      <w:divBdr>
        <w:top w:val="none" w:sz="0" w:space="0" w:color="auto"/>
        <w:left w:val="none" w:sz="0" w:space="0" w:color="auto"/>
        <w:bottom w:val="none" w:sz="0" w:space="0" w:color="auto"/>
        <w:right w:val="none" w:sz="0" w:space="0" w:color="auto"/>
      </w:divBdr>
    </w:div>
    <w:div w:id="748698617">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7">
          <w:marLeft w:val="0"/>
          <w:marRight w:val="0"/>
          <w:marTop w:val="0"/>
          <w:marBottom w:val="0"/>
          <w:divBdr>
            <w:top w:val="none" w:sz="0" w:space="0" w:color="auto"/>
            <w:left w:val="none" w:sz="0" w:space="0" w:color="auto"/>
            <w:bottom w:val="none" w:sz="0" w:space="0" w:color="auto"/>
            <w:right w:val="none" w:sz="0" w:space="0" w:color="auto"/>
          </w:divBdr>
        </w:div>
      </w:divsChild>
    </w:div>
    <w:div w:id="750583888">
      <w:bodyDiv w:val="1"/>
      <w:marLeft w:val="0"/>
      <w:marRight w:val="0"/>
      <w:marTop w:val="0"/>
      <w:marBottom w:val="0"/>
      <w:divBdr>
        <w:top w:val="none" w:sz="0" w:space="0" w:color="auto"/>
        <w:left w:val="none" w:sz="0" w:space="0" w:color="auto"/>
        <w:bottom w:val="none" w:sz="0" w:space="0" w:color="auto"/>
        <w:right w:val="none" w:sz="0" w:space="0" w:color="auto"/>
      </w:divBdr>
    </w:div>
    <w:div w:id="779647657">
      <w:bodyDiv w:val="1"/>
      <w:marLeft w:val="0"/>
      <w:marRight w:val="0"/>
      <w:marTop w:val="0"/>
      <w:marBottom w:val="0"/>
      <w:divBdr>
        <w:top w:val="none" w:sz="0" w:space="0" w:color="auto"/>
        <w:left w:val="none" w:sz="0" w:space="0" w:color="auto"/>
        <w:bottom w:val="none" w:sz="0" w:space="0" w:color="auto"/>
        <w:right w:val="none" w:sz="0" w:space="0" w:color="auto"/>
      </w:divBdr>
    </w:div>
    <w:div w:id="810637514">
      <w:bodyDiv w:val="1"/>
      <w:marLeft w:val="0"/>
      <w:marRight w:val="0"/>
      <w:marTop w:val="0"/>
      <w:marBottom w:val="0"/>
      <w:divBdr>
        <w:top w:val="none" w:sz="0" w:space="0" w:color="auto"/>
        <w:left w:val="none" w:sz="0" w:space="0" w:color="auto"/>
        <w:bottom w:val="none" w:sz="0" w:space="0" w:color="auto"/>
        <w:right w:val="none" w:sz="0" w:space="0" w:color="auto"/>
      </w:divBdr>
    </w:div>
    <w:div w:id="824122752">
      <w:bodyDiv w:val="1"/>
      <w:marLeft w:val="0"/>
      <w:marRight w:val="0"/>
      <w:marTop w:val="0"/>
      <w:marBottom w:val="0"/>
      <w:divBdr>
        <w:top w:val="none" w:sz="0" w:space="0" w:color="auto"/>
        <w:left w:val="none" w:sz="0" w:space="0" w:color="auto"/>
        <w:bottom w:val="none" w:sz="0" w:space="0" w:color="auto"/>
        <w:right w:val="none" w:sz="0" w:space="0" w:color="auto"/>
      </w:divBdr>
    </w:div>
    <w:div w:id="838616676">
      <w:bodyDiv w:val="1"/>
      <w:marLeft w:val="0"/>
      <w:marRight w:val="0"/>
      <w:marTop w:val="0"/>
      <w:marBottom w:val="0"/>
      <w:divBdr>
        <w:top w:val="none" w:sz="0" w:space="0" w:color="auto"/>
        <w:left w:val="none" w:sz="0" w:space="0" w:color="auto"/>
        <w:bottom w:val="none" w:sz="0" w:space="0" w:color="auto"/>
        <w:right w:val="none" w:sz="0" w:space="0" w:color="auto"/>
      </w:divBdr>
    </w:div>
    <w:div w:id="853147708">
      <w:bodyDiv w:val="1"/>
      <w:marLeft w:val="0"/>
      <w:marRight w:val="0"/>
      <w:marTop w:val="0"/>
      <w:marBottom w:val="0"/>
      <w:divBdr>
        <w:top w:val="none" w:sz="0" w:space="0" w:color="auto"/>
        <w:left w:val="none" w:sz="0" w:space="0" w:color="auto"/>
        <w:bottom w:val="none" w:sz="0" w:space="0" w:color="auto"/>
        <w:right w:val="none" w:sz="0" w:space="0" w:color="auto"/>
      </w:divBdr>
    </w:div>
    <w:div w:id="859662397">
      <w:bodyDiv w:val="1"/>
      <w:marLeft w:val="0"/>
      <w:marRight w:val="0"/>
      <w:marTop w:val="0"/>
      <w:marBottom w:val="0"/>
      <w:divBdr>
        <w:top w:val="none" w:sz="0" w:space="0" w:color="auto"/>
        <w:left w:val="none" w:sz="0" w:space="0" w:color="auto"/>
        <w:bottom w:val="none" w:sz="0" w:space="0" w:color="auto"/>
        <w:right w:val="none" w:sz="0" w:space="0" w:color="auto"/>
      </w:divBdr>
    </w:div>
    <w:div w:id="861430644">
      <w:bodyDiv w:val="1"/>
      <w:marLeft w:val="0"/>
      <w:marRight w:val="0"/>
      <w:marTop w:val="0"/>
      <w:marBottom w:val="0"/>
      <w:divBdr>
        <w:top w:val="none" w:sz="0" w:space="0" w:color="auto"/>
        <w:left w:val="none" w:sz="0" w:space="0" w:color="auto"/>
        <w:bottom w:val="none" w:sz="0" w:space="0" w:color="auto"/>
        <w:right w:val="none" w:sz="0" w:space="0" w:color="auto"/>
      </w:divBdr>
    </w:div>
    <w:div w:id="907691824">
      <w:bodyDiv w:val="1"/>
      <w:marLeft w:val="0"/>
      <w:marRight w:val="0"/>
      <w:marTop w:val="0"/>
      <w:marBottom w:val="0"/>
      <w:divBdr>
        <w:top w:val="none" w:sz="0" w:space="0" w:color="auto"/>
        <w:left w:val="none" w:sz="0" w:space="0" w:color="auto"/>
        <w:bottom w:val="none" w:sz="0" w:space="0" w:color="auto"/>
        <w:right w:val="none" w:sz="0" w:space="0" w:color="auto"/>
      </w:divBdr>
    </w:div>
    <w:div w:id="918908068">
      <w:bodyDiv w:val="1"/>
      <w:marLeft w:val="0"/>
      <w:marRight w:val="0"/>
      <w:marTop w:val="0"/>
      <w:marBottom w:val="0"/>
      <w:divBdr>
        <w:top w:val="none" w:sz="0" w:space="0" w:color="auto"/>
        <w:left w:val="none" w:sz="0" w:space="0" w:color="auto"/>
        <w:bottom w:val="none" w:sz="0" w:space="0" w:color="auto"/>
        <w:right w:val="none" w:sz="0" w:space="0" w:color="auto"/>
      </w:divBdr>
    </w:div>
    <w:div w:id="934285220">
      <w:bodyDiv w:val="1"/>
      <w:marLeft w:val="0"/>
      <w:marRight w:val="0"/>
      <w:marTop w:val="0"/>
      <w:marBottom w:val="0"/>
      <w:divBdr>
        <w:top w:val="none" w:sz="0" w:space="0" w:color="auto"/>
        <w:left w:val="none" w:sz="0" w:space="0" w:color="auto"/>
        <w:bottom w:val="none" w:sz="0" w:space="0" w:color="auto"/>
        <w:right w:val="none" w:sz="0" w:space="0" w:color="auto"/>
      </w:divBdr>
    </w:div>
    <w:div w:id="938371350">
      <w:bodyDiv w:val="1"/>
      <w:marLeft w:val="0"/>
      <w:marRight w:val="0"/>
      <w:marTop w:val="0"/>
      <w:marBottom w:val="0"/>
      <w:divBdr>
        <w:top w:val="none" w:sz="0" w:space="0" w:color="auto"/>
        <w:left w:val="none" w:sz="0" w:space="0" w:color="auto"/>
        <w:bottom w:val="none" w:sz="0" w:space="0" w:color="auto"/>
        <w:right w:val="none" w:sz="0" w:space="0" w:color="auto"/>
      </w:divBdr>
    </w:div>
    <w:div w:id="943222794">
      <w:bodyDiv w:val="1"/>
      <w:marLeft w:val="0"/>
      <w:marRight w:val="0"/>
      <w:marTop w:val="0"/>
      <w:marBottom w:val="0"/>
      <w:divBdr>
        <w:top w:val="none" w:sz="0" w:space="0" w:color="auto"/>
        <w:left w:val="none" w:sz="0" w:space="0" w:color="auto"/>
        <w:bottom w:val="none" w:sz="0" w:space="0" w:color="auto"/>
        <w:right w:val="none" w:sz="0" w:space="0" w:color="auto"/>
      </w:divBdr>
    </w:div>
    <w:div w:id="960113577">
      <w:bodyDiv w:val="1"/>
      <w:marLeft w:val="0"/>
      <w:marRight w:val="0"/>
      <w:marTop w:val="0"/>
      <w:marBottom w:val="0"/>
      <w:divBdr>
        <w:top w:val="none" w:sz="0" w:space="0" w:color="auto"/>
        <w:left w:val="none" w:sz="0" w:space="0" w:color="auto"/>
        <w:bottom w:val="none" w:sz="0" w:space="0" w:color="auto"/>
        <w:right w:val="none" w:sz="0" w:space="0" w:color="auto"/>
      </w:divBdr>
    </w:div>
    <w:div w:id="994798642">
      <w:bodyDiv w:val="1"/>
      <w:marLeft w:val="0"/>
      <w:marRight w:val="0"/>
      <w:marTop w:val="0"/>
      <w:marBottom w:val="0"/>
      <w:divBdr>
        <w:top w:val="none" w:sz="0" w:space="0" w:color="auto"/>
        <w:left w:val="none" w:sz="0" w:space="0" w:color="auto"/>
        <w:bottom w:val="none" w:sz="0" w:space="0" w:color="auto"/>
        <w:right w:val="none" w:sz="0" w:space="0" w:color="auto"/>
      </w:divBdr>
    </w:div>
    <w:div w:id="997419666">
      <w:bodyDiv w:val="1"/>
      <w:marLeft w:val="0"/>
      <w:marRight w:val="0"/>
      <w:marTop w:val="0"/>
      <w:marBottom w:val="0"/>
      <w:divBdr>
        <w:top w:val="none" w:sz="0" w:space="0" w:color="auto"/>
        <w:left w:val="none" w:sz="0" w:space="0" w:color="auto"/>
        <w:bottom w:val="none" w:sz="0" w:space="0" w:color="auto"/>
        <w:right w:val="none" w:sz="0" w:space="0" w:color="auto"/>
      </w:divBdr>
    </w:div>
    <w:div w:id="1002858601">
      <w:bodyDiv w:val="1"/>
      <w:marLeft w:val="0"/>
      <w:marRight w:val="0"/>
      <w:marTop w:val="0"/>
      <w:marBottom w:val="0"/>
      <w:divBdr>
        <w:top w:val="none" w:sz="0" w:space="0" w:color="auto"/>
        <w:left w:val="none" w:sz="0" w:space="0" w:color="auto"/>
        <w:bottom w:val="none" w:sz="0" w:space="0" w:color="auto"/>
        <w:right w:val="none" w:sz="0" w:space="0" w:color="auto"/>
      </w:divBdr>
    </w:div>
    <w:div w:id="1011562199">
      <w:bodyDiv w:val="1"/>
      <w:marLeft w:val="0"/>
      <w:marRight w:val="0"/>
      <w:marTop w:val="0"/>
      <w:marBottom w:val="0"/>
      <w:divBdr>
        <w:top w:val="none" w:sz="0" w:space="0" w:color="auto"/>
        <w:left w:val="none" w:sz="0" w:space="0" w:color="auto"/>
        <w:bottom w:val="none" w:sz="0" w:space="0" w:color="auto"/>
        <w:right w:val="none" w:sz="0" w:space="0" w:color="auto"/>
      </w:divBdr>
    </w:div>
    <w:div w:id="1022047613">
      <w:bodyDiv w:val="1"/>
      <w:marLeft w:val="0"/>
      <w:marRight w:val="0"/>
      <w:marTop w:val="0"/>
      <w:marBottom w:val="0"/>
      <w:divBdr>
        <w:top w:val="none" w:sz="0" w:space="0" w:color="auto"/>
        <w:left w:val="none" w:sz="0" w:space="0" w:color="auto"/>
        <w:bottom w:val="none" w:sz="0" w:space="0" w:color="auto"/>
        <w:right w:val="none" w:sz="0" w:space="0" w:color="auto"/>
      </w:divBdr>
    </w:div>
    <w:div w:id="1036344576">
      <w:bodyDiv w:val="1"/>
      <w:marLeft w:val="0"/>
      <w:marRight w:val="0"/>
      <w:marTop w:val="0"/>
      <w:marBottom w:val="0"/>
      <w:divBdr>
        <w:top w:val="none" w:sz="0" w:space="0" w:color="auto"/>
        <w:left w:val="none" w:sz="0" w:space="0" w:color="auto"/>
        <w:bottom w:val="none" w:sz="0" w:space="0" w:color="auto"/>
        <w:right w:val="none" w:sz="0" w:space="0" w:color="auto"/>
      </w:divBdr>
    </w:div>
    <w:div w:id="1076131497">
      <w:bodyDiv w:val="1"/>
      <w:marLeft w:val="0"/>
      <w:marRight w:val="0"/>
      <w:marTop w:val="0"/>
      <w:marBottom w:val="0"/>
      <w:divBdr>
        <w:top w:val="none" w:sz="0" w:space="0" w:color="auto"/>
        <w:left w:val="none" w:sz="0" w:space="0" w:color="auto"/>
        <w:bottom w:val="none" w:sz="0" w:space="0" w:color="auto"/>
        <w:right w:val="none" w:sz="0" w:space="0" w:color="auto"/>
      </w:divBdr>
      <w:divsChild>
        <w:div w:id="2085368240">
          <w:marLeft w:val="0"/>
          <w:marRight w:val="0"/>
          <w:marTop w:val="0"/>
          <w:marBottom w:val="0"/>
          <w:divBdr>
            <w:top w:val="none" w:sz="0" w:space="0" w:color="auto"/>
            <w:left w:val="none" w:sz="0" w:space="0" w:color="auto"/>
            <w:bottom w:val="none" w:sz="0" w:space="0" w:color="auto"/>
            <w:right w:val="none" w:sz="0" w:space="0" w:color="auto"/>
          </w:divBdr>
        </w:div>
      </w:divsChild>
    </w:div>
    <w:div w:id="1088187808">
      <w:bodyDiv w:val="1"/>
      <w:marLeft w:val="0"/>
      <w:marRight w:val="0"/>
      <w:marTop w:val="0"/>
      <w:marBottom w:val="0"/>
      <w:divBdr>
        <w:top w:val="none" w:sz="0" w:space="0" w:color="auto"/>
        <w:left w:val="none" w:sz="0" w:space="0" w:color="auto"/>
        <w:bottom w:val="none" w:sz="0" w:space="0" w:color="auto"/>
        <w:right w:val="none" w:sz="0" w:space="0" w:color="auto"/>
      </w:divBdr>
    </w:div>
    <w:div w:id="1097097353">
      <w:bodyDiv w:val="1"/>
      <w:marLeft w:val="0"/>
      <w:marRight w:val="0"/>
      <w:marTop w:val="0"/>
      <w:marBottom w:val="0"/>
      <w:divBdr>
        <w:top w:val="none" w:sz="0" w:space="0" w:color="auto"/>
        <w:left w:val="none" w:sz="0" w:space="0" w:color="auto"/>
        <w:bottom w:val="none" w:sz="0" w:space="0" w:color="auto"/>
        <w:right w:val="none" w:sz="0" w:space="0" w:color="auto"/>
      </w:divBdr>
    </w:div>
    <w:div w:id="1121997796">
      <w:bodyDiv w:val="1"/>
      <w:marLeft w:val="0"/>
      <w:marRight w:val="0"/>
      <w:marTop w:val="0"/>
      <w:marBottom w:val="0"/>
      <w:divBdr>
        <w:top w:val="none" w:sz="0" w:space="0" w:color="auto"/>
        <w:left w:val="none" w:sz="0" w:space="0" w:color="auto"/>
        <w:bottom w:val="none" w:sz="0" w:space="0" w:color="auto"/>
        <w:right w:val="none" w:sz="0" w:space="0" w:color="auto"/>
      </w:divBdr>
    </w:div>
    <w:div w:id="1122118364">
      <w:bodyDiv w:val="1"/>
      <w:marLeft w:val="0"/>
      <w:marRight w:val="0"/>
      <w:marTop w:val="0"/>
      <w:marBottom w:val="0"/>
      <w:divBdr>
        <w:top w:val="none" w:sz="0" w:space="0" w:color="auto"/>
        <w:left w:val="none" w:sz="0" w:space="0" w:color="auto"/>
        <w:bottom w:val="none" w:sz="0" w:space="0" w:color="auto"/>
        <w:right w:val="none" w:sz="0" w:space="0" w:color="auto"/>
      </w:divBdr>
    </w:div>
    <w:div w:id="1124233603">
      <w:bodyDiv w:val="1"/>
      <w:marLeft w:val="0"/>
      <w:marRight w:val="0"/>
      <w:marTop w:val="0"/>
      <w:marBottom w:val="0"/>
      <w:divBdr>
        <w:top w:val="none" w:sz="0" w:space="0" w:color="auto"/>
        <w:left w:val="none" w:sz="0" w:space="0" w:color="auto"/>
        <w:bottom w:val="none" w:sz="0" w:space="0" w:color="auto"/>
        <w:right w:val="none" w:sz="0" w:space="0" w:color="auto"/>
      </w:divBdr>
    </w:div>
    <w:div w:id="1130589434">
      <w:bodyDiv w:val="1"/>
      <w:marLeft w:val="0"/>
      <w:marRight w:val="0"/>
      <w:marTop w:val="0"/>
      <w:marBottom w:val="0"/>
      <w:divBdr>
        <w:top w:val="none" w:sz="0" w:space="0" w:color="auto"/>
        <w:left w:val="none" w:sz="0" w:space="0" w:color="auto"/>
        <w:bottom w:val="none" w:sz="0" w:space="0" w:color="auto"/>
        <w:right w:val="none" w:sz="0" w:space="0" w:color="auto"/>
      </w:divBdr>
    </w:div>
    <w:div w:id="1133594434">
      <w:bodyDiv w:val="1"/>
      <w:marLeft w:val="0"/>
      <w:marRight w:val="0"/>
      <w:marTop w:val="0"/>
      <w:marBottom w:val="0"/>
      <w:divBdr>
        <w:top w:val="none" w:sz="0" w:space="0" w:color="auto"/>
        <w:left w:val="none" w:sz="0" w:space="0" w:color="auto"/>
        <w:bottom w:val="none" w:sz="0" w:space="0" w:color="auto"/>
        <w:right w:val="none" w:sz="0" w:space="0" w:color="auto"/>
      </w:divBdr>
    </w:div>
    <w:div w:id="1149977724">
      <w:bodyDiv w:val="1"/>
      <w:marLeft w:val="0"/>
      <w:marRight w:val="0"/>
      <w:marTop w:val="0"/>
      <w:marBottom w:val="0"/>
      <w:divBdr>
        <w:top w:val="none" w:sz="0" w:space="0" w:color="auto"/>
        <w:left w:val="none" w:sz="0" w:space="0" w:color="auto"/>
        <w:bottom w:val="none" w:sz="0" w:space="0" w:color="auto"/>
        <w:right w:val="none" w:sz="0" w:space="0" w:color="auto"/>
      </w:divBdr>
    </w:div>
    <w:div w:id="1152254243">
      <w:bodyDiv w:val="1"/>
      <w:marLeft w:val="0"/>
      <w:marRight w:val="0"/>
      <w:marTop w:val="0"/>
      <w:marBottom w:val="0"/>
      <w:divBdr>
        <w:top w:val="none" w:sz="0" w:space="0" w:color="auto"/>
        <w:left w:val="none" w:sz="0" w:space="0" w:color="auto"/>
        <w:bottom w:val="none" w:sz="0" w:space="0" w:color="auto"/>
        <w:right w:val="none" w:sz="0" w:space="0" w:color="auto"/>
      </w:divBdr>
    </w:div>
    <w:div w:id="1159267169">
      <w:bodyDiv w:val="1"/>
      <w:marLeft w:val="0"/>
      <w:marRight w:val="0"/>
      <w:marTop w:val="0"/>
      <w:marBottom w:val="0"/>
      <w:divBdr>
        <w:top w:val="none" w:sz="0" w:space="0" w:color="auto"/>
        <w:left w:val="none" w:sz="0" w:space="0" w:color="auto"/>
        <w:bottom w:val="none" w:sz="0" w:space="0" w:color="auto"/>
        <w:right w:val="none" w:sz="0" w:space="0" w:color="auto"/>
      </w:divBdr>
    </w:div>
    <w:div w:id="1179780892">
      <w:bodyDiv w:val="1"/>
      <w:marLeft w:val="0"/>
      <w:marRight w:val="0"/>
      <w:marTop w:val="0"/>
      <w:marBottom w:val="0"/>
      <w:divBdr>
        <w:top w:val="none" w:sz="0" w:space="0" w:color="auto"/>
        <w:left w:val="none" w:sz="0" w:space="0" w:color="auto"/>
        <w:bottom w:val="none" w:sz="0" w:space="0" w:color="auto"/>
        <w:right w:val="none" w:sz="0" w:space="0" w:color="auto"/>
      </w:divBdr>
    </w:div>
    <w:div w:id="1196965382">
      <w:bodyDiv w:val="1"/>
      <w:marLeft w:val="0"/>
      <w:marRight w:val="0"/>
      <w:marTop w:val="0"/>
      <w:marBottom w:val="0"/>
      <w:divBdr>
        <w:top w:val="none" w:sz="0" w:space="0" w:color="auto"/>
        <w:left w:val="none" w:sz="0" w:space="0" w:color="auto"/>
        <w:bottom w:val="none" w:sz="0" w:space="0" w:color="auto"/>
        <w:right w:val="none" w:sz="0" w:space="0" w:color="auto"/>
      </w:divBdr>
    </w:div>
    <w:div w:id="1202087310">
      <w:bodyDiv w:val="1"/>
      <w:marLeft w:val="0"/>
      <w:marRight w:val="0"/>
      <w:marTop w:val="0"/>
      <w:marBottom w:val="0"/>
      <w:divBdr>
        <w:top w:val="none" w:sz="0" w:space="0" w:color="auto"/>
        <w:left w:val="none" w:sz="0" w:space="0" w:color="auto"/>
        <w:bottom w:val="none" w:sz="0" w:space="0" w:color="auto"/>
        <w:right w:val="none" w:sz="0" w:space="0" w:color="auto"/>
      </w:divBdr>
    </w:div>
    <w:div w:id="1218124174">
      <w:bodyDiv w:val="1"/>
      <w:marLeft w:val="0"/>
      <w:marRight w:val="0"/>
      <w:marTop w:val="0"/>
      <w:marBottom w:val="0"/>
      <w:divBdr>
        <w:top w:val="none" w:sz="0" w:space="0" w:color="auto"/>
        <w:left w:val="none" w:sz="0" w:space="0" w:color="auto"/>
        <w:bottom w:val="none" w:sz="0" w:space="0" w:color="auto"/>
        <w:right w:val="none" w:sz="0" w:space="0" w:color="auto"/>
      </w:divBdr>
    </w:div>
    <w:div w:id="1224682455">
      <w:bodyDiv w:val="1"/>
      <w:marLeft w:val="0"/>
      <w:marRight w:val="0"/>
      <w:marTop w:val="0"/>
      <w:marBottom w:val="0"/>
      <w:divBdr>
        <w:top w:val="none" w:sz="0" w:space="0" w:color="auto"/>
        <w:left w:val="none" w:sz="0" w:space="0" w:color="auto"/>
        <w:bottom w:val="none" w:sz="0" w:space="0" w:color="auto"/>
        <w:right w:val="none" w:sz="0" w:space="0" w:color="auto"/>
      </w:divBdr>
    </w:div>
    <w:div w:id="1231961945">
      <w:bodyDiv w:val="1"/>
      <w:marLeft w:val="0"/>
      <w:marRight w:val="0"/>
      <w:marTop w:val="0"/>
      <w:marBottom w:val="0"/>
      <w:divBdr>
        <w:top w:val="none" w:sz="0" w:space="0" w:color="auto"/>
        <w:left w:val="none" w:sz="0" w:space="0" w:color="auto"/>
        <w:bottom w:val="none" w:sz="0" w:space="0" w:color="auto"/>
        <w:right w:val="none" w:sz="0" w:space="0" w:color="auto"/>
      </w:divBdr>
    </w:div>
    <w:div w:id="1234002887">
      <w:bodyDiv w:val="1"/>
      <w:marLeft w:val="0"/>
      <w:marRight w:val="0"/>
      <w:marTop w:val="0"/>
      <w:marBottom w:val="0"/>
      <w:divBdr>
        <w:top w:val="none" w:sz="0" w:space="0" w:color="auto"/>
        <w:left w:val="none" w:sz="0" w:space="0" w:color="auto"/>
        <w:bottom w:val="none" w:sz="0" w:space="0" w:color="auto"/>
        <w:right w:val="none" w:sz="0" w:space="0" w:color="auto"/>
      </w:divBdr>
    </w:div>
    <w:div w:id="1235747339">
      <w:bodyDiv w:val="1"/>
      <w:marLeft w:val="0"/>
      <w:marRight w:val="0"/>
      <w:marTop w:val="0"/>
      <w:marBottom w:val="0"/>
      <w:divBdr>
        <w:top w:val="none" w:sz="0" w:space="0" w:color="auto"/>
        <w:left w:val="none" w:sz="0" w:space="0" w:color="auto"/>
        <w:bottom w:val="none" w:sz="0" w:space="0" w:color="auto"/>
        <w:right w:val="none" w:sz="0" w:space="0" w:color="auto"/>
      </w:divBdr>
    </w:div>
    <w:div w:id="1243222321">
      <w:bodyDiv w:val="1"/>
      <w:marLeft w:val="0"/>
      <w:marRight w:val="0"/>
      <w:marTop w:val="0"/>
      <w:marBottom w:val="0"/>
      <w:divBdr>
        <w:top w:val="none" w:sz="0" w:space="0" w:color="auto"/>
        <w:left w:val="none" w:sz="0" w:space="0" w:color="auto"/>
        <w:bottom w:val="none" w:sz="0" w:space="0" w:color="auto"/>
        <w:right w:val="none" w:sz="0" w:space="0" w:color="auto"/>
      </w:divBdr>
    </w:div>
    <w:div w:id="1254582580">
      <w:bodyDiv w:val="1"/>
      <w:marLeft w:val="0"/>
      <w:marRight w:val="0"/>
      <w:marTop w:val="0"/>
      <w:marBottom w:val="0"/>
      <w:divBdr>
        <w:top w:val="none" w:sz="0" w:space="0" w:color="auto"/>
        <w:left w:val="none" w:sz="0" w:space="0" w:color="auto"/>
        <w:bottom w:val="none" w:sz="0" w:space="0" w:color="auto"/>
        <w:right w:val="none" w:sz="0" w:space="0" w:color="auto"/>
      </w:divBdr>
    </w:div>
    <w:div w:id="1263997635">
      <w:bodyDiv w:val="1"/>
      <w:marLeft w:val="0"/>
      <w:marRight w:val="0"/>
      <w:marTop w:val="0"/>
      <w:marBottom w:val="0"/>
      <w:divBdr>
        <w:top w:val="none" w:sz="0" w:space="0" w:color="auto"/>
        <w:left w:val="none" w:sz="0" w:space="0" w:color="auto"/>
        <w:bottom w:val="none" w:sz="0" w:space="0" w:color="auto"/>
        <w:right w:val="none" w:sz="0" w:space="0" w:color="auto"/>
      </w:divBdr>
    </w:div>
    <w:div w:id="1279678271">
      <w:bodyDiv w:val="1"/>
      <w:marLeft w:val="0"/>
      <w:marRight w:val="0"/>
      <w:marTop w:val="0"/>
      <w:marBottom w:val="0"/>
      <w:divBdr>
        <w:top w:val="none" w:sz="0" w:space="0" w:color="auto"/>
        <w:left w:val="none" w:sz="0" w:space="0" w:color="auto"/>
        <w:bottom w:val="none" w:sz="0" w:space="0" w:color="auto"/>
        <w:right w:val="none" w:sz="0" w:space="0" w:color="auto"/>
      </w:divBdr>
      <w:divsChild>
        <w:div w:id="1007294491">
          <w:marLeft w:val="0"/>
          <w:marRight w:val="0"/>
          <w:marTop w:val="0"/>
          <w:marBottom w:val="0"/>
          <w:divBdr>
            <w:top w:val="none" w:sz="0" w:space="0" w:color="auto"/>
            <w:left w:val="none" w:sz="0" w:space="0" w:color="auto"/>
            <w:bottom w:val="none" w:sz="0" w:space="0" w:color="auto"/>
            <w:right w:val="none" w:sz="0" w:space="0" w:color="auto"/>
          </w:divBdr>
        </w:div>
      </w:divsChild>
    </w:div>
    <w:div w:id="1288586788">
      <w:bodyDiv w:val="1"/>
      <w:marLeft w:val="0"/>
      <w:marRight w:val="0"/>
      <w:marTop w:val="0"/>
      <w:marBottom w:val="0"/>
      <w:divBdr>
        <w:top w:val="none" w:sz="0" w:space="0" w:color="auto"/>
        <w:left w:val="none" w:sz="0" w:space="0" w:color="auto"/>
        <w:bottom w:val="none" w:sz="0" w:space="0" w:color="auto"/>
        <w:right w:val="none" w:sz="0" w:space="0" w:color="auto"/>
      </w:divBdr>
    </w:div>
    <w:div w:id="1301688698">
      <w:bodyDiv w:val="1"/>
      <w:marLeft w:val="0"/>
      <w:marRight w:val="0"/>
      <w:marTop w:val="0"/>
      <w:marBottom w:val="0"/>
      <w:divBdr>
        <w:top w:val="none" w:sz="0" w:space="0" w:color="auto"/>
        <w:left w:val="none" w:sz="0" w:space="0" w:color="auto"/>
        <w:bottom w:val="none" w:sz="0" w:space="0" w:color="auto"/>
        <w:right w:val="none" w:sz="0" w:space="0" w:color="auto"/>
      </w:divBdr>
    </w:div>
    <w:div w:id="1306818377">
      <w:bodyDiv w:val="1"/>
      <w:marLeft w:val="0"/>
      <w:marRight w:val="0"/>
      <w:marTop w:val="0"/>
      <w:marBottom w:val="0"/>
      <w:divBdr>
        <w:top w:val="none" w:sz="0" w:space="0" w:color="auto"/>
        <w:left w:val="none" w:sz="0" w:space="0" w:color="auto"/>
        <w:bottom w:val="none" w:sz="0" w:space="0" w:color="auto"/>
        <w:right w:val="none" w:sz="0" w:space="0" w:color="auto"/>
      </w:divBdr>
    </w:div>
    <w:div w:id="1314216313">
      <w:bodyDiv w:val="1"/>
      <w:marLeft w:val="0"/>
      <w:marRight w:val="0"/>
      <w:marTop w:val="0"/>
      <w:marBottom w:val="0"/>
      <w:divBdr>
        <w:top w:val="none" w:sz="0" w:space="0" w:color="auto"/>
        <w:left w:val="none" w:sz="0" w:space="0" w:color="auto"/>
        <w:bottom w:val="none" w:sz="0" w:space="0" w:color="auto"/>
        <w:right w:val="none" w:sz="0" w:space="0" w:color="auto"/>
      </w:divBdr>
    </w:div>
    <w:div w:id="1320230723">
      <w:bodyDiv w:val="1"/>
      <w:marLeft w:val="0"/>
      <w:marRight w:val="0"/>
      <w:marTop w:val="0"/>
      <w:marBottom w:val="0"/>
      <w:divBdr>
        <w:top w:val="none" w:sz="0" w:space="0" w:color="auto"/>
        <w:left w:val="none" w:sz="0" w:space="0" w:color="auto"/>
        <w:bottom w:val="none" w:sz="0" w:space="0" w:color="auto"/>
        <w:right w:val="none" w:sz="0" w:space="0" w:color="auto"/>
      </w:divBdr>
    </w:div>
    <w:div w:id="1383675955">
      <w:bodyDiv w:val="1"/>
      <w:marLeft w:val="0"/>
      <w:marRight w:val="0"/>
      <w:marTop w:val="0"/>
      <w:marBottom w:val="0"/>
      <w:divBdr>
        <w:top w:val="none" w:sz="0" w:space="0" w:color="auto"/>
        <w:left w:val="none" w:sz="0" w:space="0" w:color="auto"/>
        <w:bottom w:val="none" w:sz="0" w:space="0" w:color="auto"/>
        <w:right w:val="none" w:sz="0" w:space="0" w:color="auto"/>
      </w:divBdr>
    </w:div>
    <w:div w:id="1386292714">
      <w:bodyDiv w:val="1"/>
      <w:marLeft w:val="0"/>
      <w:marRight w:val="0"/>
      <w:marTop w:val="0"/>
      <w:marBottom w:val="0"/>
      <w:divBdr>
        <w:top w:val="none" w:sz="0" w:space="0" w:color="auto"/>
        <w:left w:val="none" w:sz="0" w:space="0" w:color="auto"/>
        <w:bottom w:val="none" w:sz="0" w:space="0" w:color="auto"/>
        <w:right w:val="none" w:sz="0" w:space="0" w:color="auto"/>
      </w:divBdr>
    </w:div>
    <w:div w:id="1390958535">
      <w:bodyDiv w:val="1"/>
      <w:marLeft w:val="0"/>
      <w:marRight w:val="0"/>
      <w:marTop w:val="0"/>
      <w:marBottom w:val="0"/>
      <w:divBdr>
        <w:top w:val="none" w:sz="0" w:space="0" w:color="auto"/>
        <w:left w:val="none" w:sz="0" w:space="0" w:color="auto"/>
        <w:bottom w:val="none" w:sz="0" w:space="0" w:color="auto"/>
        <w:right w:val="none" w:sz="0" w:space="0" w:color="auto"/>
      </w:divBdr>
    </w:div>
    <w:div w:id="1415858153">
      <w:bodyDiv w:val="1"/>
      <w:marLeft w:val="0"/>
      <w:marRight w:val="0"/>
      <w:marTop w:val="0"/>
      <w:marBottom w:val="0"/>
      <w:divBdr>
        <w:top w:val="none" w:sz="0" w:space="0" w:color="auto"/>
        <w:left w:val="none" w:sz="0" w:space="0" w:color="auto"/>
        <w:bottom w:val="none" w:sz="0" w:space="0" w:color="auto"/>
        <w:right w:val="none" w:sz="0" w:space="0" w:color="auto"/>
      </w:divBdr>
    </w:div>
    <w:div w:id="1433015000">
      <w:bodyDiv w:val="1"/>
      <w:marLeft w:val="0"/>
      <w:marRight w:val="0"/>
      <w:marTop w:val="0"/>
      <w:marBottom w:val="0"/>
      <w:divBdr>
        <w:top w:val="none" w:sz="0" w:space="0" w:color="auto"/>
        <w:left w:val="none" w:sz="0" w:space="0" w:color="auto"/>
        <w:bottom w:val="none" w:sz="0" w:space="0" w:color="auto"/>
        <w:right w:val="none" w:sz="0" w:space="0" w:color="auto"/>
      </w:divBdr>
    </w:div>
    <w:div w:id="1435593360">
      <w:bodyDiv w:val="1"/>
      <w:marLeft w:val="0"/>
      <w:marRight w:val="0"/>
      <w:marTop w:val="0"/>
      <w:marBottom w:val="0"/>
      <w:divBdr>
        <w:top w:val="none" w:sz="0" w:space="0" w:color="auto"/>
        <w:left w:val="none" w:sz="0" w:space="0" w:color="auto"/>
        <w:bottom w:val="none" w:sz="0" w:space="0" w:color="auto"/>
        <w:right w:val="none" w:sz="0" w:space="0" w:color="auto"/>
      </w:divBdr>
    </w:div>
    <w:div w:id="1438022728">
      <w:bodyDiv w:val="1"/>
      <w:marLeft w:val="0"/>
      <w:marRight w:val="0"/>
      <w:marTop w:val="0"/>
      <w:marBottom w:val="0"/>
      <w:divBdr>
        <w:top w:val="none" w:sz="0" w:space="0" w:color="auto"/>
        <w:left w:val="none" w:sz="0" w:space="0" w:color="auto"/>
        <w:bottom w:val="none" w:sz="0" w:space="0" w:color="auto"/>
        <w:right w:val="none" w:sz="0" w:space="0" w:color="auto"/>
      </w:divBdr>
    </w:div>
    <w:div w:id="1445492822">
      <w:bodyDiv w:val="1"/>
      <w:marLeft w:val="0"/>
      <w:marRight w:val="0"/>
      <w:marTop w:val="0"/>
      <w:marBottom w:val="0"/>
      <w:divBdr>
        <w:top w:val="none" w:sz="0" w:space="0" w:color="auto"/>
        <w:left w:val="none" w:sz="0" w:space="0" w:color="auto"/>
        <w:bottom w:val="none" w:sz="0" w:space="0" w:color="auto"/>
        <w:right w:val="none" w:sz="0" w:space="0" w:color="auto"/>
      </w:divBdr>
    </w:div>
    <w:div w:id="1477912549">
      <w:bodyDiv w:val="1"/>
      <w:marLeft w:val="0"/>
      <w:marRight w:val="0"/>
      <w:marTop w:val="0"/>
      <w:marBottom w:val="0"/>
      <w:divBdr>
        <w:top w:val="none" w:sz="0" w:space="0" w:color="auto"/>
        <w:left w:val="none" w:sz="0" w:space="0" w:color="auto"/>
        <w:bottom w:val="none" w:sz="0" w:space="0" w:color="auto"/>
        <w:right w:val="none" w:sz="0" w:space="0" w:color="auto"/>
      </w:divBdr>
    </w:div>
    <w:div w:id="1481190992">
      <w:bodyDiv w:val="1"/>
      <w:marLeft w:val="0"/>
      <w:marRight w:val="0"/>
      <w:marTop w:val="0"/>
      <w:marBottom w:val="0"/>
      <w:divBdr>
        <w:top w:val="none" w:sz="0" w:space="0" w:color="auto"/>
        <w:left w:val="none" w:sz="0" w:space="0" w:color="auto"/>
        <w:bottom w:val="none" w:sz="0" w:space="0" w:color="auto"/>
        <w:right w:val="none" w:sz="0" w:space="0" w:color="auto"/>
      </w:divBdr>
    </w:div>
    <w:div w:id="1507939489">
      <w:bodyDiv w:val="1"/>
      <w:marLeft w:val="0"/>
      <w:marRight w:val="0"/>
      <w:marTop w:val="0"/>
      <w:marBottom w:val="0"/>
      <w:divBdr>
        <w:top w:val="none" w:sz="0" w:space="0" w:color="auto"/>
        <w:left w:val="none" w:sz="0" w:space="0" w:color="auto"/>
        <w:bottom w:val="none" w:sz="0" w:space="0" w:color="auto"/>
        <w:right w:val="none" w:sz="0" w:space="0" w:color="auto"/>
      </w:divBdr>
    </w:div>
    <w:div w:id="1521967139">
      <w:bodyDiv w:val="1"/>
      <w:marLeft w:val="0"/>
      <w:marRight w:val="0"/>
      <w:marTop w:val="0"/>
      <w:marBottom w:val="0"/>
      <w:divBdr>
        <w:top w:val="none" w:sz="0" w:space="0" w:color="auto"/>
        <w:left w:val="none" w:sz="0" w:space="0" w:color="auto"/>
        <w:bottom w:val="none" w:sz="0" w:space="0" w:color="auto"/>
        <w:right w:val="none" w:sz="0" w:space="0" w:color="auto"/>
      </w:divBdr>
    </w:div>
    <w:div w:id="1539513464">
      <w:bodyDiv w:val="1"/>
      <w:marLeft w:val="0"/>
      <w:marRight w:val="0"/>
      <w:marTop w:val="0"/>
      <w:marBottom w:val="0"/>
      <w:divBdr>
        <w:top w:val="none" w:sz="0" w:space="0" w:color="auto"/>
        <w:left w:val="none" w:sz="0" w:space="0" w:color="auto"/>
        <w:bottom w:val="none" w:sz="0" w:space="0" w:color="auto"/>
        <w:right w:val="none" w:sz="0" w:space="0" w:color="auto"/>
      </w:divBdr>
    </w:div>
    <w:div w:id="1563566614">
      <w:bodyDiv w:val="1"/>
      <w:marLeft w:val="0"/>
      <w:marRight w:val="0"/>
      <w:marTop w:val="0"/>
      <w:marBottom w:val="0"/>
      <w:divBdr>
        <w:top w:val="none" w:sz="0" w:space="0" w:color="auto"/>
        <w:left w:val="none" w:sz="0" w:space="0" w:color="auto"/>
        <w:bottom w:val="none" w:sz="0" w:space="0" w:color="auto"/>
        <w:right w:val="none" w:sz="0" w:space="0" w:color="auto"/>
      </w:divBdr>
    </w:div>
    <w:div w:id="1569998781">
      <w:bodyDiv w:val="1"/>
      <w:marLeft w:val="0"/>
      <w:marRight w:val="0"/>
      <w:marTop w:val="0"/>
      <w:marBottom w:val="0"/>
      <w:divBdr>
        <w:top w:val="none" w:sz="0" w:space="0" w:color="auto"/>
        <w:left w:val="none" w:sz="0" w:space="0" w:color="auto"/>
        <w:bottom w:val="none" w:sz="0" w:space="0" w:color="auto"/>
        <w:right w:val="none" w:sz="0" w:space="0" w:color="auto"/>
      </w:divBdr>
    </w:div>
    <w:div w:id="1589849990">
      <w:bodyDiv w:val="1"/>
      <w:marLeft w:val="0"/>
      <w:marRight w:val="0"/>
      <w:marTop w:val="0"/>
      <w:marBottom w:val="0"/>
      <w:divBdr>
        <w:top w:val="none" w:sz="0" w:space="0" w:color="auto"/>
        <w:left w:val="none" w:sz="0" w:space="0" w:color="auto"/>
        <w:bottom w:val="none" w:sz="0" w:space="0" w:color="auto"/>
        <w:right w:val="none" w:sz="0" w:space="0" w:color="auto"/>
      </w:divBdr>
    </w:div>
    <w:div w:id="1625889592">
      <w:bodyDiv w:val="1"/>
      <w:marLeft w:val="0"/>
      <w:marRight w:val="0"/>
      <w:marTop w:val="0"/>
      <w:marBottom w:val="0"/>
      <w:divBdr>
        <w:top w:val="none" w:sz="0" w:space="0" w:color="auto"/>
        <w:left w:val="none" w:sz="0" w:space="0" w:color="auto"/>
        <w:bottom w:val="none" w:sz="0" w:space="0" w:color="auto"/>
        <w:right w:val="none" w:sz="0" w:space="0" w:color="auto"/>
      </w:divBdr>
    </w:div>
    <w:div w:id="1644894199">
      <w:bodyDiv w:val="1"/>
      <w:marLeft w:val="0"/>
      <w:marRight w:val="0"/>
      <w:marTop w:val="0"/>
      <w:marBottom w:val="0"/>
      <w:divBdr>
        <w:top w:val="none" w:sz="0" w:space="0" w:color="auto"/>
        <w:left w:val="none" w:sz="0" w:space="0" w:color="auto"/>
        <w:bottom w:val="none" w:sz="0" w:space="0" w:color="auto"/>
        <w:right w:val="none" w:sz="0" w:space="0" w:color="auto"/>
      </w:divBdr>
    </w:div>
    <w:div w:id="1648047528">
      <w:bodyDiv w:val="1"/>
      <w:marLeft w:val="0"/>
      <w:marRight w:val="0"/>
      <w:marTop w:val="0"/>
      <w:marBottom w:val="0"/>
      <w:divBdr>
        <w:top w:val="none" w:sz="0" w:space="0" w:color="auto"/>
        <w:left w:val="none" w:sz="0" w:space="0" w:color="auto"/>
        <w:bottom w:val="none" w:sz="0" w:space="0" w:color="auto"/>
        <w:right w:val="none" w:sz="0" w:space="0" w:color="auto"/>
      </w:divBdr>
    </w:div>
    <w:div w:id="1660108270">
      <w:bodyDiv w:val="1"/>
      <w:marLeft w:val="0"/>
      <w:marRight w:val="0"/>
      <w:marTop w:val="0"/>
      <w:marBottom w:val="0"/>
      <w:divBdr>
        <w:top w:val="none" w:sz="0" w:space="0" w:color="auto"/>
        <w:left w:val="none" w:sz="0" w:space="0" w:color="auto"/>
        <w:bottom w:val="none" w:sz="0" w:space="0" w:color="auto"/>
        <w:right w:val="none" w:sz="0" w:space="0" w:color="auto"/>
      </w:divBdr>
    </w:div>
    <w:div w:id="1660232628">
      <w:bodyDiv w:val="1"/>
      <w:marLeft w:val="0"/>
      <w:marRight w:val="0"/>
      <w:marTop w:val="0"/>
      <w:marBottom w:val="0"/>
      <w:divBdr>
        <w:top w:val="none" w:sz="0" w:space="0" w:color="auto"/>
        <w:left w:val="none" w:sz="0" w:space="0" w:color="auto"/>
        <w:bottom w:val="none" w:sz="0" w:space="0" w:color="auto"/>
        <w:right w:val="none" w:sz="0" w:space="0" w:color="auto"/>
      </w:divBdr>
    </w:div>
    <w:div w:id="1662657729">
      <w:bodyDiv w:val="1"/>
      <w:marLeft w:val="0"/>
      <w:marRight w:val="0"/>
      <w:marTop w:val="0"/>
      <w:marBottom w:val="0"/>
      <w:divBdr>
        <w:top w:val="none" w:sz="0" w:space="0" w:color="auto"/>
        <w:left w:val="none" w:sz="0" w:space="0" w:color="auto"/>
        <w:bottom w:val="none" w:sz="0" w:space="0" w:color="auto"/>
        <w:right w:val="none" w:sz="0" w:space="0" w:color="auto"/>
      </w:divBdr>
    </w:div>
    <w:div w:id="1697539154">
      <w:bodyDiv w:val="1"/>
      <w:marLeft w:val="0"/>
      <w:marRight w:val="0"/>
      <w:marTop w:val="0"/>
      <w:marBottom w:val="0"/>
      <w:divBdr>
        <w:top w:val="none" w:sz="0" w:space="0" w:color="auto"/>
        <w:left w:val="none" w:sz="0" w:space="0" w:color="auto"/>
        <w:bottom w:val="none" w:sz="0" w:space="0" w:color="auto"/>
        <w:right w:val="none" w:sz="0" w:space="0" w:color="auto"/>
      </w:divBdr>
    </w:div>
    <w:div w:id="1717310310">
      <w:bodyDiv w:val="1"/>
      <w:marLeft w:val="0"/>
      <w:marRight w:val="0"/>
      <w:marTop w:val="0"/>
      <w:marBottom w:val="0"/>
      <w:divBdr>
        <w:top w:val="none" w:sz="0" w:space="0" w:color="auto"/>
        <w:left w:val="none" w:sz="0" w:space="0" w:color="auto"/>
        <w:bottom w:val="none" w:sz="0" w:space="0" w:color="auto"/>
        <w:right w:val="none" w:sz="0" w:space="0" w:color="auto"/>
      </w:divBdr>
    </w:div>
    <w:div w:id="1724668527">
      <w:bodyDiv w:val="1"/>
      <w:marLeft w:val="0"/>
      <w:marRight w:val="0"/>
      <w:marTop w:val="0"/>
      <w:marBottom w:val="0"/>
      <w:divBdr>
        <w:top w:val="none" w:sz="0" w:space="0" w:color="auto"/>
        <w:left w:val="none" w:sz="0" w:space="0" w:color="auto"/>
        <w:bottom w:val="none" w:sz="0" w:space="0" w:color="auto"/>
        <w:right w:val="none" w:sz="0" w:space="0" w:color="auto"/>
      </w:divBdr>
    </w:div>
    <w:div w:id="1738279972">
      <w:bodyDiv w:val="1"/>
      <w:marLeft w:val="0"/>
      <w:marRight w:val="0"/>
      <w:marTop w:val="0"/>
      <w:marBottom w:val="0"/>
      <w:divBdr>
        <w:top w:val="none" w:sz="0" w:space="0" w:color="auto"/>
        <w:left w:val="none" w:sz="0" w:space="0" w:color="auto"/>
        <w:bottom w:val="none" w:sz="0" w:space="0" w:color="auto"/>
        <w:right w:val="none" w:sz="0" w:space="0" w:color="auto"/>
      </w:divBdr>
    </w:div>
    <w:div w:id="1757938030">
      <w:bodyDiv w:val="1"/>
      <w:marLeft w:val="0"/>
      <w:marRight w:val="0"/>
      <w:marTop w:val="0"/>
      <w:marBottom w:val="0"/>
      <w:divBdr>
        <w:top w:val="none" w:sz="0" w:space="0" w:color="auto"/>
        <w:left w:val="none" w:sz="0" w:space="0" w:color="auto"/>
        <w:bottom w:val="none" w:sz="0" w:space="0" w:color="auto"/>
        <w:right w:val="none" w:sz="0" w:space="0" w:color="auto"/>
      </w:divBdr>
    </w:div>
    <w:div w:id="1764255851">
      <w:bodyDiv w:val="1"/>
      <w:marLeft w:val="0"/>
      <w:marRight w:val="0"/>
      <w:marTop w:val="0"/>
      <w:marBottom w:val="0"/>
      <w:divBdr>
        <w:top w:val="none" w:sz="0" w:space="0" w:color="auto"/>
        <w:left w:val="none" w:sz="0" w:space="0" w:color="auto"/>
        <w:bottom w:val="none" w:sz="0" w:space="0" w:color="auto"/>
        <w:right w:val="none" w:sz="0" w:space="0" w:color="auto"/>
      </w:divBdr>
    </w:div>
    <w:div w:id="1765418378">
      <w:bodyDiv w:val="1"/>
      <w:marLeft w:val="0"/>
      <w:marRight w:val="0"/>
      <w:marTop w:val="0"/>
      <w:marBottom w:val="0"/>
      <w:divBdr>
        <w:top w:val="none" w:sz="0" w:space="0" w:color="auto"/>
        <w:left w:val="none" w:sz="0" w:space="0" w:color="auto"/>
        <w:bottom w:val="none" w:sz="0" w:space="0" w:color="auto"/>
        <w:right w:val="none" w:sz="0" w:space="0" w:color="auto"/>
      </w:divBdr>
    </w:div>
    <w:div w:id="1787116462">
      <w:bodyDiv w:val="1"/>
      <w:marLeft w:val="0"/>
      <w:marRight w:val="0"/>
      <w:marTop w:val="0"/>
      <w:marBottom w:val="0"/>
      <w:divBdr>
        <w:top w:val="none" w:sz="0" w:space="0" w:color="auto"/>
        <w:left w:val="none" w:sz="0" w:space="0" w:color="auto"/>
        <w:bottom w:val="none" w:sz="0" w:space="0" w:color="auto"/>
        <w:right w:val="none" w:sz="0" w:space="0" w:color="auto"/>
      </w:divBdr>
    </w:div>
    <w:div w:id="1792093698">
      <w:bodyDiv w:val="1"/>
      <w:marLeft w:val="0"/>
      <w:marRight w:val="0"/>
      <w:marTop w:val="0"/>
      <w:marBottom w:val="0"/>
      <w:divBdr>
        <w:top w:val="none" w:sz="0" w:space="0" w:color="auto"/>
        <w:left w:val="none" w:sz="0" w:space="0" w:color="auto"/>
        <w:bottom w:val="none" w:sz="0" w:space="0" w:color="auto"/>
        <w:right w:val="none" w:sz="0" w:space="0" w:color="auto"/>
      </w:divBdr>
    </w:div>
    <w:div w:id="1812097237">
      <w:bodyDiv w:val="1"/>
      <w:marLeft w:val="0"/>
      <w:marRight w:val="0"/>
      <w:marTop w:val="0"/>
      <w:marBottom w:val="0"/>
      <w:divBdr>
        <w:top w:val="none" w:sz="0" w:space="0" w:color="auto"/>
        <w:left w:val="none" w:sz="0" w:space="0" w:color="auto"/>
        <w:bottom w:val="none" w:sz="0" w:space="0" w:color="auto"/>
        <w:right w:val="none" w:sz="0" w:space="0" w:color="auto"/>
      </w:divBdr>
    </w:div>
    <w:div w:id="1816557814">
      <w:bodyDiv w:val="1"/>
      <w:marLeft w:val="0"/>
      <w:marRight w:val="0"/>
      <w:marTop w:val="0"/>
      <w:marBottom w:val="0"/>
      <w:divBdr>
        <w:top w:val="none" w:sz="0" w:space="0" w:color="auto"/>
        <w:left w:val="none" w:sz="0" w:space="0" w:color="auto"/>
        <w:bottom w:val="none" w:sz="0" w:space="0" w:color="auto"/>
        <w:right w:val="none" w:sz="0" w:space="0" w:color="auto"/>
      </w:divBdr>
    </w:div>
    <w:div w:id="1830975630">
      <w:bodyDiv w:val="1"/>
      <w:marLeft w:val="0"/>
      <w:marRight w:val="0"/>
      <w:marTop w:val="0"/>
      <w:marBottom w:val="0"/>
      <w:divBdr>
        <w:top w:val="none" w:sz="0" w:space="0" w:color="auto"/>
        <w:left w:val="none" w:sz="0" w:space="0" w:color="auto"/>
        <w:bottom w:val="none" w:sz="0" w:space="0" w:color="auto"/>
        <w:right w:val="none" w:sz="0" w:space="0" w:color="auto"/>
      </w:divBdr>
    </w:div>
    <w:div w:id="1842962044">
      <w:bodyDiv w:val="1"/>
      <w:marLeft w:val="0"/>
      <w:marRight w:val="0"/>
      <w:marTop w:val="0"/>
      <w:marBottom w:val="0"/>
      <w:divBdr>
        <w:top w:val="none" w:sz="0" w:space="0" w:color="auto"/>
        <w:left w:val="none" w:sz="0" w:space="0" w:color="auto"/>
        <w:bottom w:val="none" w:sz="0" w:space="0" w:color="auto"/>
        <w:right w:val="none" w:sz="0" w:space="0" w:color="auto"/>
      </w:divBdr>
    </w:div>
    <w:div w:id="1843424395">
      <w:bodyDiv w:val="1"/>
      <w:marLeft w:val="0"/>
      <w:marRight w:val="0"/>
      <w:marTop w:val="0"/>
      <w:marBottom w:val="0"/>
      <w:divBdr>
        <w:top w:val="none" w:sz="0" w:space="0" w:color="auto"/>
        <w:left w:val="none" w:sz="0" w:space="0" w:color="auto"/>
        <w:bottom w:val="none" w:sz="0" w:space="0" w:color="auto"/>
        <w:right w:val="none" w:sz="0" w:space="0" w:color="auto"/>
      </w:divBdr>
    </w:div>
    <w:div w:id="1848669850">
      <w:bodyDiv w:val="1"/>
      <w:marLeft w:val="0"/>
      <w:marRight w:val="0"/>
      <w:marTop w:val="0"/>
      <w:marBottom w:val="0"/>
      <w:divBdr>
        <w:top w:val="none" w:sz="0" w:space="0" w:color="auto"/>
        <w:left w:val="none" w:sz="0" w:space="0" w:color="auto"/>
        <w:bottom w:val="none" w:sz="0" w:space="0" w:color="auto"/>
        <w:right w:val="none" w:sz="0" w:space="0" w:color="auto"/>
      </w:divBdr>
    </w:div>
    <w:div w:id="1875000546">
      <w:bodyDiv w:val="1"/>
      <w:marLeft w:val="0"/>
      <w:marRight w:val="0"/>
      <w:marTop w:val="0"/>
      <w:marBottom w:val="0"/>
      <w:divBdr>
        <w:top w:val="none" w:sz="0" w:space="0" w:color="auto"/>
        <w:left w:val="none" w:sz="0" w:space="0" w:color="auto"/>
        <w:bottom w:val="none" w:sz="0" w:space="0" w:color="auto"/>
        <w:right w:val="none" w:sz="0" w:space="0" w:color="auto"/>
      </w:divBdr>
    </w:div>
    <w:div w:id="1875117697">
      <w:bodyDiv w:val="1"/>
      <w:marLeft w:val="0"/>
      <w:marRight w:val="0"/>
      <w:marTop w:val="0"/>
      <w:marBottom w:val="0"/>
      <w:divBdr>
        <w:top w:val="none" w:sz="0" w:space="0" w:color="auto"/>
        <w:left w:val="none" w:sz="0" w:space="0" w:color="auto"/>
        <w:bottom w:val="none" w:sz="0" w:space="0" w:color="auto"/>
        <w:right w:val="none" w:sz="0" w:space="0" w:color="auto"/>
      </w:divBdr>
    </w:div>
    <w:div w:id="1876691164">
      <w:bodyDiv w:val="1"/>
      <w:marLeft w:val="0"/>
      <w:marRight w:val="0"/>
      <w:marTop w:val="0"/>
      <w:marBottom w:val="0"/>
      <w:divBdr>
        <w:top w:val="none" w:sz="0" w:space="0" w:color="auto"/>
        <w:left w:val="none" w:sz="0" w:space="0" w:color="auto"/>
        <w:bottom w:val="none" w:sz="0" w:space="0" w:color="auto"/>
        <w:right w:val="none" w:sz="0" w:space="0" w:color="auto"/>
      </w:divBdr>
    </w:div>
    <w:div w:id="1880776639">
      <w:bodyDiv w:val="1"/>
      <w:marLeft w:val="0"/>
      <w:marRight w:val="0"/>
      <w:marTop w:val="0"/>
      <w:marBottom w:val="0"/>
      <w:divBdr>
        <w:top w:val="none" w:sz="0" w:space="0" w:color="auto"/>
        <w:left w:val="none" w:sz="0" w:space="0" w:color="auto"/>
        <w:bottom w:val="none" w:sz="0" w:space="0" w:color="auto"/>
        <w:right w:val="none" w:sz="0" w:space="0" w:color="auto"/>
      </w:divBdr>
    </w:div>
    <w:div w:id="1911961793">
      <w:bodyDiv w:val="1"/>
      <w:marLeft w:val="0"/>
      <w:marRight w:val="0"/>
      <w:marTop w:val="0"/>
      <w:marBottom w:val="0"/>
      <w:divBdr>
        <w:top w:val="none" w:sz="0" w:space="0" w:color="auto"/>
        <w:left w:val="none" w:sz="0" w:space="0" w:color="auto"/>
        <w:bottom w:val="none" w:sz="0" w:space="0" w:color="auto"/>
        <w:right w:val="none" w:sz="0" w:space="0" w:color="auto"/>
      </w:divBdr>
    </w:div>
    <w:div w:id="1912084666">
      <w:bodyDiv w:val="1"/>
      <w:marLeft w:val="0"/>
      <w:marRight w:val="0"/>
      <w:marTop w:val="0"/>
      <w:marBottom w:val="0"/>
      <w:divBdr>
        <w:top w:val="none" w:sz="0" w:space="0" w:color="auto"/>
        <w:left w:val="none" w:sz="0" w:space="0" w:color="auto"/>
        <w:bottom w:val="none" w:sz="0" w:space="0" w:color="auto"/>
        <w:right w:val="none" w:sz="0" w:space="0" w:color="auto"/>
      </w:divBdr>
    </w:div>
    <w:div w:id="1915433154">
      <w:bodyDiv w:val="1"/>
      <w:marLeft w:val="0"/>
      <w:marRight w:val="0"/>
      <w:marTop w:val="0"/>
      <w:marBottom w:val="0"/>
      <w:divBdr>
        <w:top w:val="none" w:sz="0" w:space="0" w:color="auto"/>
        <w:left w:val="none" w:sz="0" w:space="0" w:color="auto"/>
        <w:bottom w:val="none" w:sz="0" w:space="0" w:color="auto"/>
        <w:right w:val="none" w:sz="0" w:space="0" w:color="auto"/>
      </w:divBdr>
    </w:div>
    <w:div w:id="1917977907">
      <w:bodyDiv w:val="1"/>
      <w:marLeft w:val="0"/>
      <w:marRight w:val="0"/>
      <w:marTop w:val="0"/>
      <w:marBottom w:val="0"/>
      <w:divBdr>
        <w:top w:val="none" w:sz="0" w:space="0" w:color="auto"/>
        <w:left w:val="none" w:sz="0" w:space="0" w:color="auto"/>
        <w:bottom w:val="none" w:sz="0" w:space="0" w:color="auto"/>
        <w:right w:val="none" w:sz="0" w:space="0" w:color="auto"/>
      </w:divBdr>
    </w:div>
    <w:div w:id="1927031970">
      <w:bodyDiv w:val="1"/>
      <w:marLeft w:val="0"/>
      <w:marRight w:val="0"/>
      <w:marTop w:val="0"/>
      <w:marBottom w:val="0"/>
      <w:divBdr>
        <w:top w:val="none" w:sz="0" w:space="0" w:color="auto"/>
        <w:left w:val="none" w:sz="0" w:space="0" w:color="auto"/>
        <w:bottom w:val="none" w:sz="0" w:space="0" w:color="auto"/>
        <w:right w:val="none" w:sz="0" w:space="0" w:color="auto"/>
      </w:divBdr>
    </w:div>
    <w:div w:id="1937397296">
      <w:bodyDiv w:val="1"/>
      <w:marLeft w:val="0"/>
      <w:marRight w:val="0"/>
      <w:marTop w:val="0"/>
      <w:marBottom w:val="0"/>
      <w:divBdr>
        <w:top w:val="none" w:sz="0" w:space="0" w:color="auto"/>
        <w:left w:val="none" w:sz="0" w:space="0" w:color="auto"/>
        <w:bottom w:val="none" w:sz="0" w:space="0" w:color="auto"/>
        <w:right w:val="none" w:sz="0" w:space="0" w:color="auto"/>
      </w:divBdr>
    </w:div>
    <w:div w:id="1945067069">
      <w:bodyDiv w:val="1"/>
      <w:marLeft w:val="0"/>
      <w:marRight w:val="0"/>
      <w:marTop w:val="0"/>
      <w:marBottom w:val="0"/>
      <w:divBdr>
        <w:top w:val="none" w:sz="0" w:space="0" w:color="auto"/>
        <w:left w:val="none" w:sz="0" w:space="0" w:color="auto"/>
        <w:bottom w:val="none" w:sz="0" w:space="0" w:color="auto"/>
        <w:right w:val="none" w:sz="0" w:space="0" w:color="auto"/>
      </w:divBdr>
    </w:div>
    <w:div w:id="1960337476">
      <w:bodyDiv w:val="1"/>
      <w:marLeft w:val="0"/>
      <w:marRight w:val="0"/>
      <w:marTop w:val="0"/>
      <w:marBottom w:val="0"/>
      <w:divBdr>
        <w:top w:val="none" w:sz="0" w:space="0" w:color="auto"/>
        <w:left w:val="none" w:sz="0" w:space="0" w:color="auto"/>
        <w:bottom w:val="none" w:sz="0" w:space="0" w:color="auto"/>
        <w:right w:val="none" w:sz="0" w:space="0" w:color="auto"/>
      </w:divBdr>
    </w:div>
    <w:div w:id="1964116782">
      <w:bodyDiv w:val="1"/>
      <w:marLeft w:val="0"/>
      <w:marRight w:val="0"/>
      <w:marTop w:val="0"/>
      <w:marBottom w:val="0"/>
      <w:divBdr>
        <w:top w:val="none" w:sz="0" w:space="0" w:color="auto"/>
        <w:left w:val="none" w:sz="0" w:space="0" w:color="auto"/>
        <w:bottom w:val="none" w:sz="0" w:space="0" w:color="auto"/>
        <w:right w:val="none" w:sz="0" w:space="0" w:color="auto"/>
      </w:divBdr>
    </w:div>
    <w:div w:id="1965310562">
      <w:bodyDiv w:val="1"/>
      <w:marLeft w:val="0"/>
      <w:marRight w:val="0"/>
      <w:marTop w:val="0"/>
      <w:marBottom w:val="0"/>
      <w:divBdr>
        <w:top w:val="none" w:sz="0" w:space="0" w:color="auto"/>
        <w:left w:val="none" w:sz="0" w:space="0" w:color="auto"/>
        <w:bottom w:val="none" w:sz="0" w:space="0" w:color="auto"/>
        <w:right w:val="none" w:sz="0" w:space="0" w:color="auto"/>
      </w:divBdr>
    </w:div>
    <w:div w:id="1967199058">
      <w:bodyDiv w:val="1"/>
      <w:marLeft w:val="0"/>
      <w:marRight w:val="0"/>
      <w:marTop w:val="0"/>
      <w:marBottom w:val="0"/>
      <w:divBdr>
        <w:top w:val="none" w:sz="0" w:space="0" w:color="auto"/>
        <w:left w:val="none" w:sz="0" w:space="0" w:color="auto"/>
        <w:bottom w:val="none" w:sz="0" w:space="0" w:color="auto"/>
        <w:right w:val="none" w:sz="0" w:space="0" w:color="auto"/>
      </w:divBdr>
    </w:div>
    <w:div w:id="1975483307">
      <w:bodyDiv w:val="1"/>
      <w:marLeft w:val="0"/>
      <w:marRight w:val="0"/>
      <w:marTop w:val="0"/>
      <w:marBottom w:val="0"/>
      <w:divBdr>
        <w:top w:val="none" w:sz="0" w:space="0" w:color="auto"/>
        <w:left w:val="none" w:sz="0" w:space="0" w:color="auto"/>
        <w:bottom w:val="none" w:sz="0" w:space="0" w:color="auto"/>
        <w:right w:val="none" w:sz="0" w:space="0" w:color="auto"/>
      </w:divBdr>
    </w:div>
    <w:div w:id="1976451212">
      <w:bodyDiv w:val="1"/>
      <w:marLeft w:val="0"/>
      <w:marRight w:val="0"/>
      <w:marTop w:val="0"/>
      <w:marBottom w:val="0"/>
      <w:divBdr>
        <w:top w:val="none" w:sz="0" w:space="0" w:color="auto"/>
        <w:left w:val="none" w:sz="0" w:space="0" w:color="auto"/>
        <w:bottom w:val="none" w:sz="0" w:space="0" w:color="auto"/>
        <w:right w:val="none" w:sz="0" w:space="0" w:color="auto"/>
      </w:divBdr>
    </w:div>
    <w:div w:id="1976525903">
      <w:bodyDiv w:val="1"/>
      <w:marLeft w:val="0"/>
      <w:marRight w:val="0"/>
      <w:marTop w:val="0"/>
      <w:marBottom w:val="0"/>
      <w:divBdr>
        <w:top w:val="none" w:sz="0" w:space="0" w:color="auto"/>
        <w:left w:val="none" w:sz="0" w:space="0" w:color="auto"/>
        <w:bottom w:val="none" w:sz="0" w:space="0" w:color="auto"/>
        <w:right w:val="none" w:sz="0" w:space="0" w:color="auto"/>
      </w:divBdr>
    </w:div>
    <w:div w:id="2003652994">
      <w:bodyDiv w:val="1"/>
      <w:marLeft w:val="0"/>
      <w:marRight w:val="0"/>
      <w:marTop w:val="0"/>
      <w:marBottom w:val="0"/>
      <w:divBdr>
        <w:top w:val="none" w:sz="0" w:space="0" w:color="auto"/>
        <w:left w:val="none" w:sz="0" w:space="0" w:color="auto"/>
        <w:bottom w:val="none" w:sz="0" w:space="0" w:color="auto"/>
        <w:right w:val="none" w:sz="0" w:space="0" w:color="auto"/>
      </w:divBdr>
    </w:div>
    <w:div w:id="2004702815">
      <w:bodyDiv w:val="1"/>
      <w:marLeft w:val="0"/>
      <w:marRight w:val="0"/>
      <w:marTop w:val="0"/>
      <w:marBottom w:val="0"/>
      <w:divBdr>
        <w:top w:val="none" w:sz="0" w:space="0" w:color="auto"/>
        <w:left w:val="none" w:sz="0" w:space="0" w:color="auto"/>
        <w:bottom w:val="none" w:sz="0" w:space="0" w:color="auto"/>
        <w:right w:val="none" w:sz="0" w:space="0" w:color="auto"/>
      </w:divBdr>
    </w:div>
    <w:div w:id="2013793197">
      <w:bodyDiv w:val="1"/>
      <w:marLeft w:val="0"/>
      <w:marRight w:val="0"/>
      <w:marTop w:val="0"/>
      <w:marBottom w:val="0"/>
      <w:divBdr>
        <w:top w:val="none" w:sz="0" w:space="0" w:color="auto"/>
        <w:left w:val="none" w:sz="0" w:space="0" w:color="auto"/>
        <w:bottom w:val="none" w:sz="0" w:space="0" w:color="auto"/>
        <w:right w:val="none" w:sz="0" w:space="0" w:color="auto"/>
      </w:divBdr>
    </w:div>
    <w:div w:id="2023387381">
      <w:bodyDiv w:val="1"/>
      <w:marLeft w:val="0"/>
      <w:marRight w:val="0"/>
      <w:marTop w:val="0"/>
      <w:marBottom w:val="0"/>
      <w:divBdr>
        <w:top w:val="none" w:sz="0" w:space="0" w:color="auto"/>
        <w:left w:val="none" w:sz="0" w:space="0" w:color="auto"/>
        <w:bottom w:val="none" w:sz="0" w:space="0" w:color="auto"/>
        <w:right w:val="none" w:sz="0" w:space="0" w:color="auto"/>
      </w:divBdr>
    </w:div>
    <w:div w:id="2031295005">
      <w:bodyDiv w:val="1"/>
      <w:marLeft w:val="0"/>
      <w:marRight w:val="0"/>
      <w:marTop w:val="0"/>
      <w:marBottom w:val="0"/>
      <w:divBdr>
        <w:top w:val="none" w:sz="0" w:space="0" w:color="auto"/>
        <w:left w:val="none" w:sz="0" w:space="0" w:color="auto"/>
        <w:bottom w:val="none" w:sz="0" w:space="0" w:color="auto"/>
        <w:right w:val="none" w:sz="0" w:space="0" w:color="auto"/>
      </w:divBdr>
    </w:div>
    <w:div w:id="2040619862">
      <w:bodyDiv w:val="1"/>
      <w:marLeft w:val="0"/>
      <w:marRight w:val="0"/>
      <w:marTop w:val="0"/>
      <w:marBottom w:val="0"/>
      <w:divBdr>
        <w:top w:val="none" w:sz="0" w:space="0" w:color="auto"/>
        <w:left w:val="none" w:sz="0" w:space="0" w:color="auto"/>
        <w:bottom w:val="none" w:sz="0" w:space="0" w:color="auto"/>
        <w:right w:val="none" w:sz="0" w:space="0" w:color="auto"/>
      </w:divBdr>
    </w:div>
    <w:div w:id="2099061908">
      <w:bodyDiv w:val="1"/>
      <w:marLeft w:val="0"/>
      <w:marRight w:val="0"/>
      <w:marTop w:val="0"/>
      <w:marBottom w:val="0"/>
      <w:divBdr>
        <w:top w:val="none" w:sz="0" w:space="0" w:color="auto"/>
        <w:left w:val="none" w:sz="0" w:space="0" w:color="auto"/>
        <w:bottom w:val="none" w:sz="0" w:space="0" w:color="auto"/>
        <w:right w:val="none" w:sz="0" w:space="0" w:color="auto"/>
      </w:divBdr>
    </w:div>
    <w:div w:id="2102023494">
      <w:bodyDiv w:val="1"/>
      <w:marLeft w:val="0"/>
      <w:marRight w:val="0"/>
      <w:marTop w:val="0"/>
      <w:marBottom w:val="0"/>
      <w:divBdr>
        <w:top w:val="none" w:sz="0" w:space="0" w:color="auto"/>
        <w:left w:val="none" w:sz="0" w:space="0" w:color="auto"/>
        <w:bottom w:val="none" w:sz="0" w:space="0" w:color="auto"/>
        <w:right w:val="none" w:sz="0" w:space="0" w:color="auto"/>
      </w:divBdr>
    </w:div>
    <w:div w:id="2124689326">
      <w:bodyDiv w:val="1"/>
      <w:marLeft w:val="0"/>
      <w:marRight w:val="0"/>
      <w:marTop w:val="0"/>
      <w:marBottom w:val="0"/>
      <w:divBdr>
        <w:top w:val="none" w:sz="0" w:space="0" w:color="auto"/>
        <w:left w:val="none" w:sz="0" w:space="0" w:color="auto"/>
        <w:bottom w:val="none" w:sz="0" w:space="0" w:color="auto"/>
        <w:right w:val="none" w:sz="0" w:space="0" w:color="auto"/>
      </w:divBdr>
      <w:divsChild>
        <w:div w:id="143828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D3CC5D3-246F-4C82-9258-033E8F18D370}">
    <t:Anchor>
      <t:Comment id="579371996"/>
    </t:Anchor>
    <t:History>
      <t:Event id="{EB09A828-9E8C-40C0-BC23-9C11496BB183}" time="2025-02-03T09:59:57.372Z">
        <t:Attribution userId="S::Aneesa.Baig@Treasury.gov.za::e62b7fd8-5fdd-45fc-8b01-0bb02ea3af09" userProvider="AD" userName="Aneesa Baig"/>
        <t:Anchor>
          <t:Comment id="579371996"/>
        </t:Anchor>
        <t:Create/>
      </t:Event>
      <t:Event id="{4AC3B546-35B1-4122-AE79-D60983B5E367}" time="2025-02-03T09:59:57.372Z">
        <t:Attribution userId="S::Aneesa.Baig@Treasury.gov.za::e62b7fd8-5fdd-45fc-8b01-0bb02ea3af09" userProvider="AD" userName="Aneesa Baig"/>
        <t:Anchor>
          <t:Comment id="579371996"/>
        </t:Anchor>
        <t:Assign userId="S::Mlungisi.Mthembu@Treasury.gov.za::b7271eb0-ed5b-4c4e-8230-5daddb0d5803" userProvider="AD" userName="Mlungisi Mthembu"/>
      </t:Event>
      <t:Event id="{896EE316-89D0-411E-AE96-D0580A98BF71}" time="2025-02-03T09:59:57.372Z">
        <t:Attribution userId="S::Aneesa.Baig@Treasury.gov.za::e62b7fd8-5fdd-45fc-8b01-0bb02ea3af09" userProvider="AD" userName="Aneesa Baig"/>
        <t:Anchor>
          <t:Comment id="579371996"/>
        </t:Anchor>
        <t:SetTitle title="@Mlungisi Mthembu @Arno Kotze @Nhlanhla Radebe since we are publishing so late, should we not change all these to “is deemed to have come into operation on 1 January 2025”? If you don’t agree, then please amend my VAT on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F2AC-981A-4BE7-B9FE-CF1F106AB6BA}">
  <ds:schemaRefs>
    <ds:schemaRef ds:uri="http://schemas.openxmlformats.org/officeDocument/2006/bibliography"/>
  </ds:schemaRefs>
</ds:datastoreItem>
</file>

<file path=customXml/itemProps10.xml><?xml version="1.0" encoding="utf-8"?>
<ds:datastoreItem xmlns:ds="http://schemas.openxmlformats.org/officeDocument/2006/customXml" ds:itemID="{C4DF3D8C-9802-4A1C-8236-84C8D4F89F6B}">
  <ds:schemaRefs>
    <ds:schemaRef ds:uri="http://schemas.openxmlformats.org/officeDocument/2006/bibliography"/>
  </ds:schemaRefs>
</ds:datastoreItem>
</file>

<file path=customXml/itemProps11.xml><?xml version="1.0" encoding="utf-8"?>
<ds:datastoreItem xmlns:ds="http://schemas.openxmlformats.org/officeDocument/2006/customXml" ds:itemID="{6106192A-4BCA-478E-A835-DE3225269E3F}">
  <ds:schemaRefs>
    <ds:schemaRef ds:uri="http://schemas.openxmlformats.org/officeDocument/2006/bibliography"/>
  </ds:schemaRefs>
</ds:datastoreItem>
</file>

<file path=customXml/itemProps12.xml><?xml version="1.0" encoding="utf-8"?>
<ds:datastoreItem xmlns:ds="http://schemas.openxmlformats.org/officeDocument/2006/customXml" ds:itemID="{FB1FA9BF-F378-445F-8E40-A97C354D9F88}">
  <ds:schemaRefs>
    <ds:schemaRef ds:uri="http://schemas.openxmlformats.org/officeDocument/2006/bibliography"/>
  </ds:schemaRefs>
</ds:datastoreItem>
</file>

<file path=customXml/itemProps2.xml><?xml version="1.0" encoding="utf-8"?>
<ds:datastoreItem xmlns:ds="http://schemas.openxmlformats.org/officeDocument/2006/customXml" ds:itemID="{9CCCEDFC-7540-494A-9AFD-51AD81D3B4C0}">
  <ds:schemaRefs>
    <ds:schemaRef ds:uri="http://schemas.openxmlformats.org/officeDocument/2006/bibliography"/>
  </ds:schemaRefs>
</ds:datastoreItem>
</file>

<file path=customXml/itemProps3.xml><?xml version="1.0" encoding="utf-8"?>
<ds:datastoreItem xmlns:ds="http://schemas.openxmlformats.org/officeDocument/2006/customXml" ds:itemID="{8A7A3309-5E81-4410-BB5F-F52E3A5943B6}">
  <ds:schemaRefs>
    <ds:schemaRef ds:uri="http://schemas.openxmlformats.org/officeDocument/2006/bibliography"/>
  </ds:schemaRefs>
</ds:datastoreItem>
</file>

<file path=customXml/itemProps4.xml><?xml version="1.0" encoding="utf-8"?>
<ds:datastoreItem xmlns:ds="http://schemas.openxmlformats.org/officeDocument/2006/customXml" ds:itemID="{3E0487D7-8D8C-426E-A375-9B357E9E18A7}">
  <ds:schemaRefs>
    <ds:schemaRef ds:uri="http://schemas.openxmlformats.org/officeDocument/2006/bibliography"/>
  </ds:schemaRefs>
</ds:datastoreItem>
</file>

<file path=customXml/itemProps5.xml><?xml version="1.0" encoding="utf-8"?>
<ds:datastoreItem xmlns:ds="http://schemas.openxmlformats.org/officeDocument/2006/customXml" ds:itemID="{F44A0443-E19B-4F09-8B36-E2E9D9CA661F}">
  <ds:schemaRefs>
    <ds:schemaRef ds:uri="http://schemas.openxmlformats.org/officeDocument/2006/bibliography"/>
  </ds:schemaRefs>
</ds:datastoreItem>
</file>

<file path=customXml/itemProps6.xml><?xml version="1.0" encoding="utf-8"?>
<ds:datastoreItem xmlns:ds="http://schemas.openxmlformats.org/officeDocument/2006/customXml" ds:itemID="{223B285A-D0AC-4396-852C-7749A305859C}">
  <ds:schemaRefs>
    <ds:schemaRef ds:uri="http://schemas.openxmlformats.org/officeDocument/2006/bibliography"/>
  </ds:schemaRefs>
</ds:datastoreItem>
</file>

<file path=customXml/itemProps7.xml><?xml version="1.0" encoding="utf-8"?>
<ds:datastoreItem xmlns:ds="http://schemas.openxmlformats.org/officeDocument/2006/customXml" ds:itemID="{C6A10716-62BE-4E27-A1D2-F9792285E806}">
  <ds:schemaRefs>
    <ds:schemaRef ds:uri="http://schemas.openxmlformats.org/officeDocument/2006/bibliography"/>
  </ds:schemaRefs>
</ds:datastoreItem>
</file>

<file path=customXml/itemProps8.xml><?xml version="1.0" encoding="utf-8"?>
<ds:datastoreItem xmlns:ds="http://schemas.openxmlformats.org/officeDocument/2006/customXml" ds:itemID="{B92DF4AA-AD52-49F8-9213-930E74B4614F}">
  <ds:schemaRefs>
    <ds:schemaRef ds:uri="http://schemas.openxmlformats.org/officeDocument/2006/bibliography"/>
  </ds:schemaRefs>
</ds:datastoreItem>
</file>

<file path=customXml/itemProps9.xml><?xml version="1.0" encoding="utf-8"?>
<ds:datastoreItem xmlns:ds="http://schemas.openxmlformats.org/officeDocument/2006/customXml" ds:itemID="{1AC11C2A-056F-4F9D-8179-F9C2C7A7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21007</Words>
  <Characters>111339</Characters>
  <Application>Microsoft Office Word</Application>
  <DocSecurity>0</DocSecurity>
  <Lines>2589</Lines>
  <Paragraphs>1284</Paragraphs>
  <ScaleCrop>false</ScaleCrop>
  <HeadingPairs>
    <vt:vector size="2" baseType="variant">
      <vt:variant>
        <vt:lpstr>Title</vt:lpstr>
      </vt:variant>
      <vt:variant>
        <vt:i4>1</vt:i4>
      </vt:variant>
    </vt:vector>
  </HeadingPairs>
  <TitlesOfParts>
    <vt:vector size="1" baseType="lpstr">
      <vt:lpstr>TABLE OF CONTENTS</vt:lpstr>
    </vt:vector>
  </TitlesOfParts>
  <Company>National Treasury</Company>
  <LinksUpToDate>false</LinksUpToDate>
  <CharactersWithSpaces>131062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Mlungisi Mthembu</dc:creator>
  <cp:keywords/>
  <cp:lastModifiedBy>Mlungisi Mthembu</cp:lastModifiedBy>
  <cp:revision>71</cp:revision>
  <cp:lastPrinted>2020-01-15T10:40:00Z</cp:lastPrinted>
  <dcterms:created xsi:type="dcterms:W3CDTF">2025-05-14T19:06:00Z</dcterms:created>
  <dcterms:modified xsi:type="dcterms:W3CDTF">2025-05-14T21:45:00Z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iteId">
    <vt:lpwstr>1a45348f-02b4-4f9a-a7a8-7786f6dd3245</vt:lpwstr>
  </property>
  <property fmtid="{D5CDD505-2E9C-101B-9397-08002B2CF9AE}" pid="4" name="MSIP_Label_93c4247e-447d-4732-af29-2e529a4288f1_Owner">
    <vt:lpwstr>6602@Treasury.gov.za</vt:lpwstr>
  </property>
  <property fmtid="{D5CDD505-2E9C-101B-9397-08002B2CF9AE}" pid="5" name="MSIP_Label_93c4247e-447d-4732-af29-2e529a4288f1_SetDate">
    <vt:lpwstr>2020-07-14T10:55:50.3746351Z</vt:lpwstr>
  </property>
  <property fmtid="{D5CDD505-2E9C-101B-9397-08002B2CF9AE}" pid="6" name="MSIP_Label_93c4247e-447d-4732-af29-2e529a4288f1_Name">
    <vt:lpwstr>Personal</vt:lpwstr>
  </property>
  <property fmtid="{D5CDD505-2E9C-101B-9397-08002B2CF9AE}" pid="7" name="MSIP_Label_93c4247e-447d-4732-af29-2e529a4288f1_Application">
    <vt:lpwstr>Microsoft Azure Information Protection</vt:lpwstr>
  </property>
  <property fmtid="{D5CDD505-2E9C-101B-9397-08002B2CF9AE}" pid="8" name="MSIP_Label_93c4247e-447d-4732-af29-2e529a4288f1_Extended_MSFT_Method">
    <vt:lpwstr>Automatic</vt:lpwstr>
  </property>
  <property fmtid="{D5CDD505-2E9C-101B-9397-08002B2CF9AE}" pid="9" name="Sensitivity">
    <vt:lpwstr>Personal</vt:lpwstr>
  </property>
  <property fmtid="{D5CDD505-2E9C-101B-9397-08002B2CF9AE}" pid="10" name="GrammarlyDocumentId">
    <vt:lpwstr>4a49c04f-8b68-457a-a634-90f993dfb0f5</vt:lpwstr>
  </property>
</Properties>
</file>